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825F73" w:rsidRDefault="000437FE" w:rsidP="00013DBD">
      <w:pPr>
        <w:spacing w:line="480" w:lineRule="auto"/>
        <w:rPr>
          <w:rFonts w:ascii="Arial" w:hAnsi="Arial" w:cs="Arial"/>
          <w:szCs w:val="24"/>
          <w:lang w:val="en-US"/>
        </w:rPr>
      </w:pPr>
      <w:r w:rsidRPr="00825F73">
        <w:rPr>
          <w:rFonts w:ascii="Arial" w:hAnsi="Arial" w:cs="Arial"/>
          <w:noProof/>
          <w:szCs w:val="24"/>
          <w:lang w:val="en-US"/>
        </w:rPr>
        <w:drawing>
          <wp:anchor distT="0" distB="0" distL="114300" distR="114300" simplePos="0" relativeHeight="251659264" behindDoc="1" locked="0" layoutInCell="1" allowOverlap="1" wp14:anchorId="1BEB24B7" wp14:editId="49407E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825F73" w:rsidRDefault="00D33052" w:rsidP="00013DBD">
      <w:pPr>
        <w:spacing w:line="480" w:lineRule="auto"/>
        <w:rPr>
          <w:rFonts w:ascii="Arial" w:hAnsi="Arial" w:cs="Arial"/>
          <w:szCs w:val="24"/>
          <w:lang w:val="en-US"/>
        </w:rPr>
      </w:pPr>
    </w:p>
    <w:p w14:paraId="0C7555A9" w14:textId="77777777" w:rsidR="004A1F6F" w:rsidRPr="00825F73" w:rsidRDefault="004A1F6F" w:rsidP="00D8310C">
      <w:pPr>
        <w:spacing w:line="480" w:lineRule="auto"/>
        <w:rPr>
          <w:rFonts w:ascii="Arial" w:hAnsi="Arial" w:cs="Arial"/>
          <w:szCs w:val="24"/>
        </w:rPr>
      </w:pPr>
    </w:p>
    <w:p w14:paraId="3E48C347" w14:textId="77777777" w:rsidR="00F72ED2" w:rsidRPr="00825F73" w:rsidRDefault="00F72ED2" w:rsidP="00825F73">
      <w:pPr>
        <w:spacing w:line="480" w:lineRule="auto"/>
        <w:jc w:val="center"/>
        <w:rPr>
          <w:rFonts w:ascii="Arial" w:hAnsi="Arial" w:cs="Arial"/>
          <w:b/>
          <w:bCs/>
          <w:szCs w:val="24"/>
        </w:rPr>
      </w:pPr>
      <w:proofErr w:type="gramStart"/>
      <w:r w:rsidRPr="00825F73">
        <w:rPr>
          <w:rFonts w:ascii="Arial" w:hAnsi="Arial" w:cs="Arial"/>
          <w:b/>
          <w:bCs/>
          <w:szCs w:val="24"/>
        </w:rPr>
        <w:t>Bachelor's</w:t>
      </w:r>
      <w:proofErr w:type="gramEnd"/>
      <w:r w:rsidRPr="00825F73">
        <w:rPr>
          <w:rFonts w:ascii="Arial" w:hAnsi="Arial" w:cs="Arial"/>
          <w:b/>
          <w:bCs/>
          <w:szCs w:val="24"/>
        </w:rPr>
        <w:t xml:space="preserve"> in Tourism and Recreation</w:t>
      </w:r>
    </w:p>
    <w:p w14:paraId="2BA9879A" w14:textId="77777777" w:rsidR="0023731E" w:rsidRPr="0023731E" w:rsidRDefault="0023731E" w:rsidP="00825F73">
      <w:pPr>
        <w:spacing w:line="480" w:lineRule="auto"/>
        <w:jc w:val="center"/>
        <w:rPr>
          <w:rFonts w:ascii="Arial" w:hAnsi="Arial" w:cs="Arial"/>
          <w:b/>
          <w:bCs/>
          <w:szCs w:val="24"/>
        </w:rPr>
      </w:pPr>
      <w:r w:rsidRPr="0023731E">
        <w:rPr>
          <w:rFonts w:ascii="Arial" w:hAnsi="Arial" w:cs="Arial"/>
          <w:b/>
          <w:bCs/>
          <w:szCs w:val="24"/>
        </w:rPr>
        <w:t>Tourism Law</w:t>
      </w:r>
    </w:p>
    <w:p w14:paraId="3E633815" w14:textId="77777777" w:rsidR="006826F9" w:rsidRPr="00825F73" w:rsidRDefault="006826F9" w:rsidP="00825F73">
      <w:pPr>
        <w:spacing w:line="480" w:lineRule="auto"/>
        <w:jc w:val="center"/>
        <w:rPr>
          <w:rFonts w:ascii="Arial" w:hAnsi="Arial" w:cs="Arial"/>
          <w:b/>
          <w:bCs/>
          <w:szCs w:val="24"/>
          <w:lang w:val="en-US"/>
        </w:rPr>
      </w:pPr>
      <w:r w:rsidRPr="00825F73">
        <w:rPr>
          <w:rFonts w:ascii="Arial" w:hAnsi="Arial" w:cs="Arial"/>
          <w:b/>
          <w:bCs/>
          <w:szCs w:val="24"/>
          <w:lang w:val="en-US"/>
        </w:rPr>
        <w:t>Assignment 2: Consumer Protection Laws in the Tourism Industry</w:t>
      </w:r>
    </w:p>
    <w:p w14:paraId="0A435005" w14:textId="77777777" w:rsidR="00825F73" w:rsidRPr="00825F73" w:rsidRDefault="00825F73" w:rsidP="006826F9">
      <w:pPr>
        <w:spacing w:line="480" w:lineRule="auto"/>
        <w:rPr>
          <w:rFonts w:ascii="Arial" w:hAnsi="Arial" w:cs="Arial"/>
          <w:b/>
          <w:bCs/>
          <w:szCs w:val="24"/>
          <w:lang w:val="en-US"/>
        </w:rPr>
      </w:pPr>
    </w:p>
    <w:p w14:paraId="38C3245C" w14:textId="77777777" w:rsidR="00825F73" w:rsidRPr="00825F73" w:rsidRDefault="00825F73" w:rsidP="006826F9">
      <w:pPr>
        <w:spacing w:line="480" w:lineRule="auto"/>
        <w:rPr>
          <w:rFonts w:ascii="Arial" w:hAnsi="Arial" w:cs="Arial"/>
          <w:b/>
          <w:bCs/>
          <w:szCs w:val="24"/>
          <w:lang w:val="en-US"/>
        </w:rPr>
      </w:pPr>
    </w:p>
    <w:p w14:paraId="1AF43F25" w14:textId="77777777" w:rsidR="00825F73" w:rsidRPr="00825F73" w:rsidRDefault="00825F73" w:rsidP="006826F9">
      <w:pPr>
        <w:spacing w:line="480" w:lineRule="auto"/>
        <w:rPr>
          <w:rFonts w:ascii="Arial" w:hAnsi="Arial" w:cs="Arial"/>
          <w:b/>
          <w:bCs/>
          <w:szCs w:val="24"/>
          <w:lang w:val="en-US"/>
        </w:rPr>
      </w:pPr>
    </w:p>
    <w:p w14:paraId="5C527C8A" w14:textId="77777777" w:rsidR="00825F73" w:rsidRPr="00825F73" w:rsidRDefault="00825F73" w:rsidP="006826F9">
      <w:pPr>
        <w:spacing w:line="480" w:lineRule="auto"/>
        <w:rPr>
          <w:rFonts w:ascii="Arial" w:hAnsi="Arial" w:cs="Arial"/>
          <w:b/>
          <w:bCs/>
          <w:szCs w:val="24"/>
          <w:lang w:val="en-US"/>
        </w:rPr>
      </w:pPr>
    </w:p>
    <w:p w14:paraId="51CACC24" w14:textId="77777777" w:rsidR="00825F73" w:rsidRPr="00825F73" w:rsidRDefault="00825F73" w:rsidP="006826F9">
      <w:pPr>
        <w:spacing w:line="480" w:lineRule="auto"/>
        <w:rPr>
          <w:rFonts w:ascii="Arial" w:hAnsi="Arial" w:cs="Arial"/>
          <w:b/>
          <w:bCs/>
          <w:szCs w:val="24"/>
          <w:lang w:val="en-US"/>
        </w:rPr>
      </w:pPr>
    </w:p>
    <w:p w14:paraId="16A18D7F" w14:textId="77777777" w:rsidR="00825F73" w:rsidRPr="00825F73" w:rsidRDefault="00825F73" w:rsidP="006826F9">
      <w:pPr>
        <w:spacing w:line="480" w:lineRule="auto"/>
        <w:rPr>
          <w:rFonts w:ascii="Arial" w:hAnsi="Arial" w:cs="Arial"/>
          <w:b/>
          <w:bCs/>
          <w:szCs w:val="24"/>
          <w:lang w:val="en-US"/>
        </w:rPr>
      </w:pPr>
    </w:p>
    <w:p w14:paraId="143AF74E" w14:textId="77777777" w:rsidR="00825F73" w:rsidRPr="00825F73" w:rsidRDefault="00825F73" w:rsidP="006826F9">
      <w:pPr>
        <w:spacing w:line="480" w:lineRule="auto"/>
        <w:rPr>
          <w:rFonts w:ascii="Arial" w:hAnsi="Arial" w:cs="Arial"/>
          <w:b/>
          <w:bCs/>
          <w:szCs w:val="24"/>
          <w:lang w:val="en-US"/>
        </w:rPr>
      </w:pPr>
    </w:p>
    <w:p w14:paraId="3EF90364" w14:textId="77777777" w:rsidR="00825F73" w:rsidRDefault="00825F73" w:rsidP="006826F9">
      <w:pPr>
        <w:spacing w:line="480" w:lineRule="auto"/>
        <w:rPr>
          <w:rFonts w:ascii="Arial" w:hAnsi="Arial" w:cs="Arial"/>
          <w:b/>
          <w:bCs/>
          <w:szCs w:val="24"/>
          <w:lang w:val="en-US"/>
        </w:rPr>
      </w:pPr>
    </w:p>
    <w:p w14:paraId="28943A98" w14:textId="77777777" w:rsidR="00825F73" w:rsidRPr="00825F73" w:rsidRDefault="00825F73" w:rsidP="006826F9">
      <w:pPr>
        <w:spacing w:line="480" w:lineRule="auto"/>
        <w:rPr>
          <w:rFonts w:ascii="Arial" w:hAnsi="Arial" w:cs="Arial"/>
          <w:b/>
          <w:bCs/>
          <w:szCs w:val="24"/>
          <w:lang w:val="en-US"/>
        </w:rPr>
      </w:pPr>
    </w:p>
    <w:p w14:paraId="72F396D5" w14:textId="77777777" w:rsidR="00825F73" w:rsidRPr="00825F73" w:rsidRDefault="00825F73" w:rsidP="006826F9">
      <w:pPr>
        <w:spacing w:line="480" w:lineRule="auto"/>
        <w:rPr>
          <w:rFonts w:ascii="Arial" w:hAnsi="Arial" w:cs="Arial"/>
          <w:b/>
          <w:bCs/>
          <w:szCs w:val="24"/>
          <w:lang w:val="en-US"/>
        </w:rPr>
      </w:pPr>
    </w:p>
    <w:p w14:paraId="1A88E77A" w14:textId="77777777" w:rsidR="00825F73" w:rsidRPr="00825F73" w:rsidRDefault="00825F73" w:rsidP="006826F9">
      <w:pPr>
        <w:spacing w:line="480" w:lineRule="auto"/>
        <w:rPr>
          <w:rFonts w:ascii="Arial" w:hAnsi="Arial" w:cs="Arial"/>
          <w:b/>
          <w:bCs/>
          <w:szCs w:val="24"/>
          <w:lang w:val="en-US"/>
        </w:rPr>
      </w:pPr>
    </w:p>
    <w:p w14:paraId="0B63917F" w14:textId="77777777" w:rsidR="00825F73" w:rsidRPr="00825F73" w:rsidRDefault="00825F73" w:rsidP="006826F9">
      <w:pPr>
        <w:spacing w:line="480" w:lineRule="auto"/>
        <w:rPr>
          <w:rFonts w:ascii="Arial" w:hAnsi="Arial" w:cs="Arial"/>
          <w:b/>
          <w:bCs/>
          <w:szCs w:val="24"/>
          <w:lang w:val="en-US"/>
        </w:rPr>
      </w:pPr>
    </w:p>
    <w:p w14:paraId="25BE1823" w14:textId="307F7400" w:rsidR="00EA7FD8" w:rsidRPr="00825F73" w:rsidRDefault="00D33052" w:rsidP="005B0192">
      <w:pPr>
        <w:spacing w:line="480" w:lineRule="auto"/>
        <w:rPr>
          <w:rFonts w:ascii="Arial" w:hAnsi="Arial" w:cs="Arial"/>
          <w:szCs w:val="24"/>
        </w:rPr>
      </w:pPr>
      <w:bookmarkStart w:id="0" w:name="_Toc221201954"/>
      <w:r w:rsidRPr="00825F73">
        <w:rPr>
          <w:rStyle w:val="Heading1Char"/>
          <w:rFonts w:ascii="Arial" w:hAnsi="Arial" w:cs="Arial"/>
          <w:b/>
          <w:bCs/>
          <w:color w:val="auto"/>
          <w:sz w:val="24"/>
          <w:szCs w:val="24"/>
        </w:rPr>
        <w:lastRenderedPageBreak/>
        <w:t>Abstract</w:t>
      </w:r>
      <w:bookmarkEnd w:id="0"/>
    </w:p>
    <w:p w14:paraId="1B96AFC0" w14:textId="77777777" w:rsidR="00DA5550" w:rsidRPr="00DA5550" w:rsidRDefault="00DA5550" w:rsidP="00DA5550">
      <w:pPr>
        <w:spacing w:line="480" w:lineRule="auto"/>
        <w:rPr>
          <w:rFonts w:ascii="Arial" w:eastAsiaTheme="majorEastAsia" w:hAnsi="Arial" w:cs="Arial"/>
          <w:kern w:val="0"/>
          <w:szCs w:val="24"/>
          <w:lang w:bidi="ar-SA"/>
          <w14:ligatures w14:val="none"/>
        </w:rPr>
      </w:pPr>
      <w:r w:rsidRPr="00DA5550">
        <w:rPr>
          <w:rFonts w:ascii="Arial" w:eastAsiaTheme="majorEastAsia" w:hAnsi="Arial" w:cs="Arial"/>
          <w:kern w:val="0"/>
          <w:szCs w:val="24"/>
          <w:lang w:bidi="ar-SA"/>
          <w14:ligatures w14:val="none"/>
        </w:rPr>
        <w:t xml:space="preserve">Consumer protection laws play an increasingly vital role in the tourism industry as travel markets become more globalised, digitalised, and complex. Tourism consumers routinely purchase services such as flights, accommodation, and travel packages in advance, often relying on online information and third-party platforms. This purchasing structure exposes </w:t>
      </w:r>
      <w:proofErr w:type="spellStart"/>
      <w:r w:rsidRPr="00DA5550">
        <w:rPr>
          <w:rFonts w:ascii="Arial" w:eastAsiaTheme="majorEastAsia" w:hAnsi="Arial" w:cs="Arial"/>
          <w:kern w:val="0"/>
          <w:szCs w:val="24"/>
          <w:lang w:bidi="ar-SA"/>
          <w14:ligatures w14:val="none"/>
        </w:rPr>
        <w:t>travelers</w:t>
      </w:r>
      <w:proofErr w:type="spellEnd"/>
      <w:r w:rsidRPr="00DA5550">
        <w:rPr>
          <w:rFonts w:ascii="Arial" w:eastAsiaTheme="majorEastAsia" w:hAnsi="Arial" w:cs="Arial"/>
          <w:kern w:val="0"/>
          <w:szCs w:val="24"/>
          <w:lang w:bidi="ar-SA"/>
          <w14:ligatures w14:val="none"/>
        </w:rPr>
        <w:t xml:space="preserve"> to risks including misleading advertising, unfair pricing practices, hidden charges, service cancellations, and safety concerns. </w:t>
      </w:r>
      <w:proofErr w:type="gramStart"/>
      <w:r w:rsidRPr="00DA5550">
        <w:rPr>
          <w:rFonts w:ascii="Arial" w:eastAsiaTheme="majorEastAsia" w:hAnsi="Arial" w:cs="Arial"/>
          <w:kern w:val="0"/>
          <w:szCs w:val="24"/>
          <w:lang w:bidi="ar-SA"/>
          <w14:ligatures w14:val="none"/>
        </w:rPr>
        <w:t>As a consequence of</w:t>
      </w:r>
      <w:proofErr w:type="gramEnd"/>
      <w:r w:rsidRPr="00DA5550">
        <w:rPr>
          <w:rFonts w:ascii="Arial" w:eastAsiaTheme="majorEastAsia" w:hAnsi="Arial" w:cs="Arial"/>
          <w:kern w:val="0"/>
          <w:szCs w:val="24"/>
          <w:lang w:bidi="ar-SA"/>
          <w14:ligatures w14:val="none"/>
        </w:rPr>
        <w:t xml:space="preserve"> this, consumer protection laws are </w:t>
      </w:r>
      <w:proofErr w:type="gramStart"/>
      <w:r w:rsidRPr="00DA5550">
        <w:rPr>
          <w:rFonts w:ascii="Arial" w:eastAsiaTheme="majorEastAsia" w:hAnsi="Arial" w:cs="Arial"/>
          <w:kern w:val="0"/>
          <w:szCs w:val="24"/>
          <w:lang w:bidi="ar-SA"/>
          <w14:ligatures w14:val="none"/>
        </w:rPr>
        <w:t>absolutely necessary</w:t>
      </w:r>
      <w:proofErr w:type="gramEnd"/>
      <w:r w:rsidRPr="00DA5550">
        <w:rPr>
          <w:rFonts w:ascii="Arial" w:eastAsiaTheme="majorEastAsia" w:hAnsi="Arial" w:cs="Arial"/>
          <w:kern w:val="0"/>
          <w:szCs w:val="24"/>
          <w:lang w:bidi="ar-SA"/>
          <w14:ligatures w14:val="none"/>
        </w:rPr>
        <w:t xml:space="preserve"> </w:t>
      </w:r>
      <w:proofErr w:type="gramStart"/>
      <w:r w:rsidRPr="00DA5550">
        <w:rPr>
          <w:rFonts w:ascii="Arial" w:eastAsiaTheme="majorEastAsia" w:hAnsi="Arial" w:cs="Arial"/>
          <w:kern w:val="0"/>
          <w:szCs w:val="24"/>
          <w:lang w:bidi="ar-SA"/>
          <w14:ligatures w14:val="none"/>
        </w:rPr>
        <w:t>in order to</w:t>
      </w:r>
      <w:proofErr w:type="gramEnd"/>
      <w:r w:rsidRPr="00DA5550">
        <w:rPr>
          <w:rFonts w:ascii="Arial" w:eastAsiaTheme="majorEastAsia" w:hAnsi="Arial" w:cs="Arial"/>
          <w:kern w:val="0"/>
          <w:szCs w:val="24"/>
          <w:lang w:bidi="ar-SA"/>
          <w14:ligatures w14:val="none"/>
        </w:rPr>
        <w:t xml:space="preserve"> address power imbalances that exist between tourists and the providers of tourism services.</w:t>
      </w:r>
      <w:r w:rsidRPr="00DA5550">
        <w:rPr>
          <w:rFonts w:ascii="Arial" w:eastAsiaTheme="majorEastAsia" w:hAnsi="Arial" w:cs="Arial"/>
          <w:kern w:val="0"/>
          <w:szCs w:val="24"/>
          <w:lang w:bidi="ar-SA"/>
          <w14:ligatures w14:val="none"/>
        </w:rPr>
        <w:br/>
      </w:r>
      <w:r w:rsidRPr="00DA5550">
        <w:rPr>
          <w:rFonts w:ascii="Arial" w:eastAsiaTheme="majorEastAsia" w:hAnsi="Arial" w:cs="Arial"/>
          <w:kern w:val="0"/>
          <w:szCs w:val="24"/>
          <w:lang w:bidi="ar-SA"/>
          <w14:ligatures w14:val="none"/>
        </w:rPr>
        <w:br/>
        <w:t xml:space="preserve">This assignment examines the role of consumer protection laws in the tourism industry with a focus on </w:t>
      </w:r>
      <w:proofErr w:type="spellStart"/>
      <w:r w:rsidRPr="00DA5550">
        <w:rPr>
          <w:rFonts w:ascii="Arial" w:eastAsiaTheme="majorEastAsia" w:hAnsi="Arial" w:cs="Arial"/>
          <w:kern w:val="0"/>
          <w:szCs w:val="24"/>
          <w:lang w:bidi="ar-SA"/>
          <w14:ligatures w14:val="none"/>
        </w:rPr>
        <w:t>travelers’</w:t>
      </w:r>
      <w:proofErr w:type="spellEnd"/>
      <w:r w:rsidRPr="00DA5550">
        <w:rPr>
          <w:rFonts w:ascii="Arial" w:eastAsiaTheme="majorEastAsia" w:hAnsi="Arial" w:cs="Arial"/>
          <w:kern w:val="0"/>
          <w:szCs w:val="24"/>
          <w:lang w:bidi="ar-SA"/>
          <w14:ligatures w14:val="none"/>
        </w:rPr>
        <w:t xml:space="preserve"> rights, business obligations, and regulatory enforcement mechanisms. It analyses how legal frameworks governing unfair commercial practices, pricing transparency, safety standards, and package travel arrangements protect consumers from exploitation and reduce legal uncertainty. The study also </w:t>
      </w:r>
      <w:proofErr w:type="gramStart"/>
      <w:r w:rsidRPr="00DA5550">
        <w:rPr>
          <w:rFonts w:ascii="Arial" w:eastAsiaTheme="majorEastAsia" w:hAnsi="Arial" w:cs="Arial"/>
          <w:kern w:val="0"/>
          <w:szCs w:val="24"/>
          <w:lang w:bidi="ar-SA"/>
          <w14:ligatures w14:val="none"/>
        </w:rPr>
        <w:t>takes into account</w:t>
      </w:r>
      <w:proofErr w:type="gramEnd"/>
      <w:r w:rsidRPr="00DA5550">
        <w:rPr>
          <w:rFonts w:ascii="Arial" w:eastAsiaTheme="majorEastAsia" w:hAnsi="Arial" w:cs="Arial"/>
          <w:kern w:val="0"/>
          <w:szCs w:val="24"/>
          <w:lang w:bidi="ar-SA"/>
          <w14:ligatures w14:val="none"/>
        </w:rPr>
        <w:t xml:space="preserve"> the impact that digital tourism platforms have on the vulnerability of consumers, particularly in relation to online booking systems, dynamic pricing, and information asymmetry. Furthermore, the effectiveness of consumer redress mechanisms, including refunds, compensation schemes, and alternative dispute resolution processes, is evaluated.</w:t>
      </w:r>
      <w:r w:rsidRPr="00DA5550">
        <w:rPr>
          <w:rFonts w:ascii="Arial" w:eastAsiaTheme="majorEastAsia" w:hAnsi="Arial" w:cs="Arial"/>
          <w:kern w:val="0"/>
          <w:szCs w:val="24"/>
          <w:lang w:bidi="ar-SA"/>
          <w14:ligatures w14:val="none"/>
        </w:rPr>
        <w:br/>
      </w:r>
      <w:r w:rsidRPr="00DA5550">
        <w:rPr>
          <w:rFonts w:ascii="Arial" w:eastAsiaTheme="majorEastAsia" w:hAnsi="Arial" w:cs="Arial"/>
          <w:kern w:val="0"/>
          <w:szCs w:val="24"/>
          <w:lang w:bidi="ar-SA"/>
          <w14:ligatures w14:val="none"/>
        </w:rPr>
        <w:br/>
        <w:t xml:space="preserve">By drawing on contemporary academic literature and regulatory perspectives, this </w:t>
      </w:r>
      <w:r w:rsidRPr="00DA5550">
        <w:rPr>
          <w:rFonts w:ascii="Arial" w:eastAsiaTheme="majorEastAsia" w:hAnsi="Arial" w:cs="Arial"/>
          <w:kern w:val="0"/>
          <w:szCs w:val="24"/>
          <w:lang w:bidi="ar-SA"/>
          <w14:ligatures w14:val="none"/>
        </w:rPr>
        <w:lastRenderedPageBreak/>
        <w:t xml:space="preserve">assignment demonstrates that consumer protection laws function as both preventive and corrective tools within tourism markets. Preventively, they influence ethical business behaviour and promote transparency. In a corrective manner, they offer mechanisms for redress </w:t>
      </w:r>
      <w:proofErr w:type="gramStart"/>
      <w:r w:rsidRPr="00DA5550">
        <w:rPr>
          <w:rFonts w:ascii="Arial" w:eastAsiaTheme="majorEastAsia" w:hAnsi="Arial" w:cs="Arial"/>
          <w:kern w:val="0"/>
          <w:szCs w:val="24"/>
          <w:lang w:bidi="ar-SA"/>
          <w14:ligatures w14:val="none"/>
        </w:rPr>
        <w:t>in the event that</w:t>
      </w:r>
      <w:proofErr w:type="gramEnd"/>
      <w:r w:rsidRPr="00DA5550">
        <w:rPr>
          <w:rFonts w:ascii="Arial" w:eastAsiaTheme="majorEastAsia" w:hAnsi="Arial" w:cs="Arial"/>
          <w:kern w:val="0"/>
          <w:szCs w:val="24"/>
          <w:lang w:bidi="ar-SA"/>
          <w14:ligatures w14:val="none"/>
        </w:rPr>
        <w:t xml:space="preserve"> disagreements arise. Overall, the study highlights that strong consumer protection frameworks are fundamental to maintaining </w:t>
      </w:r>
      <w:proofErr w:type="spellStart"/>
      <w:r w:rsidRPr="00DA5550">
        <w:rPr>
          <w:rFonts w:ascii="Arial" w:eastAsiaTheme="majorEastAsia" w:hAnsi="Arial" w:cs="Arial"/>
          <w:kern w:val="0"/>
          <w:szCs w:val="24"/>
          <w:lang w:bidi="ar-SA"/>
          <w14:ligatures w14:val="none"/>
        </w:rPr>
        <w:t>traveler</w:t>
      </w:r>
      <w:proofErr w:type="spellEnd"/>
      <w:r w:rsidRPr="00DA5550">
        <w:rPr>
          <w:rFonts w:ascii="Arial" w:eastAsiaTheme="majorEastAsia" w:hAnsi="Arial" w:cs="Arial"/>
          <w:kern w:val="0"/>
          <w:szCs w:val="24"/>
          <w:lang w:bidi="ar-SA"/>
          <w14:ligatures w14:val="none"/>
        </w:rPr>
        <w:t xml:space="preserve"> confidence, market fairness, and the sustainable development of the tourism industry in an increasingly digital and international environment.</w:t>
      </w:r>
    </w:p>
    <w:p w14:paraId="5BB51ACE" w14:textId="77777777" w:rsidR="00DA5550" w:rsidRDefault="00DA5550" w:rsidP="00EA7FD8">
      <w:pPr>
        <w:pStyle w:val="TOCHeading"/>
        <w:spacing w:line="480" w:lineRule="auto"/>
        <w:rPr>
          <w:rFonts w:ascii="Arial" w:hAnsi="Arial" w:cs="Arial"/>
          <w:color w:val="auto"/>
          <w:sz w:val="24"/>
          <w:szCs w:val="24"/>
        </w:rPr>
      </w:pPr>
    </w:p>
    <w:sdt>
      <w:sdtPr>
        <w:rPr>
          <w:rFonts w:ascii="Arial" w:hAnsi="Arial" w:cs="Arial"/>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3B757ED" w:rsidR="004D7D13" w:rsidRPr="00825F73" w:rsidRDefault="004D7D13" w:rsidP="00EA7FD8">
          <w:pPr>
            <w:pStyle w:val="TOCHeading"/>
            <w:spacing w:line="480" w:lineRule="auto"/>
            <w:rPr>
              <w:rFonts w:ascii="Arial" w:hAnsi="Arial" w:cs="Arial"/>
              <w:color w:val="auto"/>
              <w:sz w:val="24"/>
              <w:szCs w:val="24"/>
            </w:rPr>
          </w:pPr>
          <w:r w:rsidRPr="00825F73">
            <w:rPr>
              <w:rFonts w:ascii="Arial" w:hAnsi="Arial" w:cs="Arial"/>
              <w:color w:val="auto"/>
              <w:sz w:val="24"/>
              <w:szCs w:val="24"/>
            </w:rPr>
            <w:t>Contents</w:t>
          </w:r>
        </w:p>
        <w:p w14:paraId="7191005F" w14:textId="2E0B9E02" w:rsidR="000437FE" w:rsidRPr="00825F73" w:rsidRDefault="004D7D13">
          <w:pPr>
            <w:pStyle w:val="TOC1"/>
            <w:tabs>
              <w:tab w:val="right" w:leader="dot" w:pos="9350"/>
            </w:tabs>
            <w:rPr>
              <w:rFonts w:ascii="Arial" w:hAnsi="Arial" w:cs="Arial"/>
              <w:noProof/>
              <w:kern w:val="2"/>
              <w:sz w:val="24"/>
              <w:szCs w:val="24"/>
              <w:lang w:val="en-GB" w:eastAsia="en-GB" w:bidi="hi-IN"/>
              <w14:ligatures w14:val="standardContextual"/>
            </w:rPr>
          </w:pPr>
          <w:r w:rsidRPr="00825F73">
            <w:rPr>
              <w:rFonts w:ascii="Arial" w:hAnsi="Arial" w:cs="Arial"/>
              <w:sz w:val="24"/>
              <w:szCs w:val="24"/>
            </w:rPr>
            <w:fldChar w:fldCharType="begin"/>
          </w:r>
          <w:r w:rsidRPr="00825F73">
            <w:rPr>
              <w:rFonts w:ascii="Arial" w:hAnsi="Arial" w:cs="Arial"/>
              <w:sz w:val="24"/>
              <w:szCs w:val="24"/>
            </w:rPr>
            <w:instrText xml:space="preserve"> TOC \o "1-3" \h \z \u </w:instrText>
          </w:r>
          <w:r w:rsidRPr="00825F73">
            <w:rPr>
              <w:rFonts w:ascii="Arial" w:hAnsi="Arial" w:cs="Arial"/>
              <w:sz w:val="24"/>
              <w:szCs w:val="24"/>
            </w:rPr>
            <w:fldChar w:fldCharType="separate"/>
          </w:r>
          <w:hyperlink w:anchor="_Toc221201954" w:history="1">
            <w:r w:rsidR="000437FE" w:rsidRPr="00825F73">
              <w:rPr>
                <w:rStyle w:val="Hyperlink"/>
                <w:rFonts w:ascii="Arial" w:hAnsi="Arial" w:cs="Arial"/>
                <w:noProof/>
                <w:color w:val="auto"/>
                <w:sz w:val="24"/>
                <w:szCs w:val="24"/>
              </w:rPr>
              <w:t>Abstract</w:t>
            </w:r>
            <w:r w:rsidR="000437FE" w:rsidRPr="00825F73">
              <w:rPr>
                <w:rFonts w:ascii="Arial" w:hAnsi="Arial" w:cs="Arial"/>
                <w:noProof/>
                <w:webHidden/>
                <w:sz w:val="24"/>
                <w:szCs w:val="24"/>
              </w:rPr>
              <w:tab/>
            </w:r>
            <w:r w:rsidR="000437FE" w:rsidRPr="00825F73">
              <w:rPr>
                <w:rFonts w:ascii="Arial" w:hAnsi="Arial" w:cs="Arial"/>
                <w:noProof/>
                <w:webHidden/>
                <w:sz w:val="24"/>
                <w:szCs w:val="24"/>
              </w:rPr>
              <w:fldChar w:fldCharType="begin"/>
            </w:r>
            <w:r w:rsidR="000437FE" w:rsidRPr="00825F73">
              <w:rPr>
                <w:rFonts w:ascii="Arial" w:hAnsi="Arial" w:cs="Arial"/>
                <w:noProof/>
                <w:webHidden/>
                <w:sz w:val="24"/>
                <w:szCs w:val="24"/>
              </w:rPr>
              <w:instrText xml:space="preserve"> PAGEREF _Toc221201954 \h </w:instrText>
            </w:r>
            <w:r w:rsidR="000437FE" w:rsidRPr="00825F73">
              <w:rPr>
                <w:rFonts w:ascii="Arial" w:hAnsi="Arial" w:cs="Arial"/>
                <w:noProof/>
                <w:webHidden/>
                <w:sz w:val="24"/>
                <w:szCs w:val="24"/>
              </w:rPr>
            </w:r>
            <w:r w:rsidR="000437FE" w:rsidRPr="00825F73">
              <w:rPr>
                <w:rFonts w:ascii="Arial" w:hAnsi="Arial" w:cs="Arial"/>
                <w:noProof/>
                <w:webHidden/>
                <w:sz w:val="24"/>
                <w:szCs w:val="24"/>
              </w:rPr>
              <w:fldChar w:fldCharType="separate"/>
            </w:r>
            <w:r w:rsidR="000437FE" w:rsidRPr="00825F73">
              <w:rPr>
                <w:rFonts w:ascii="Arial" w:hAnsi="Arial" w:cs="Arial"/>
                <w:noProof/>
                <w:webHidden/>
                <w:sz w:val="24"/>
                <w:szCs w:val="24"/>
              </w:rPr>
              <w:t>2</w:t>
            </w:r>
            <w:r w:rsidR="000437FE" w:rsidRPr="00825F73">
              <w:rPr>
                <w:rFonts w:ascii="Arial" w:hAnsi="Arial" w:cs="Arial"/>
                <w:noProof/>
                <w:webHidden/>
                <w:sz w:val="24"/>
                <w:szCs w:val="24"/>
              </w:rPr>
              <w:fldChar w:fldCharType="end"/>
            </w:r>
          </w:hyperlink>
        </w:p>
        <w:p w14:paraId="62C82D21" w14:textId="7FCE02C8"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5" w:history="1">
            <w:r w:rsidRPr="00825F73">
              <w:rPr>
                <w:rStyle w:val="Hyperlink"/>
                <w:rFonts w:ascii="Arial" w:hAnsi="Arial" w:cs="Arial"/>
                <w:noProof/>
                <w:color w:val="auto"/>
                <w:sz w:val="24"/>
                <w:szCs w:val="24"/>
              </w:rPr>
              <w:t>1.Introduction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_Toc221201955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4</w:t>
            </w:r>
            <w:r w:rsidRPr="00825F73">
              <w:rPr>
                <w:rFonts w:ascii="Arial" w:hAnsi="Arial" w:cs="Arial"/>
                <w:noProof/>
                <w:webHidden/>
                <w:sz w:val="24"/>
                <w:szCs w:val="24"/>
              </w:rPr>
              <w:fldChar w:fldCharType="end"/>
            </w:r>
          </w:hyperlink>
        </w:p>
        <w:p w14:paraId="34782521" w14:textId="4AF2BB27"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6" w:history="1">
            <w:r w:rsidRPr="00825F73">
              <w:rPr>
                <w:rStyle w:val="Hyperlink"/>
                <w:rFonts w:ascii="Arial" w:hAnsi="Arial" w:cs="Arial"/>
                <w:noProof/>
                <w:color w:val="auto"/>
                <w:sz w:val="24"/>
                <w:szCs w:val="24"/>
              </w:rPr>
              <w:t>2. Literature Review</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_Toc221201956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6</w:t>
            </w:r>
            <w:r w:rsidRPr="00825F73">
              <w:rPr>
                <w:rFonts w:ascii="Arial" w:hAnsi="Arial" w:cs="Arial"/>
                <w:noProof/>
                <w:webHidden/>
                <w:sz w:val="24"/>
                <w:szCs w:val="24"/>
              </w:rPr>
              <w:fldChar w:fldCharType="end"/>
            </w:r>
          </w:hyperlink>
        </w:p>
        <w:p w14:paraId="00352A2D" w14:textId="4718D038"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7" w:history="1">
            <w:r w:rsidRPr="00825F73">
              <w:rPr>
                <w:rStyle w:val="Hyperlink"/>
                <w:rFonts w:ascii="Arial" w:hAnsi="Arial" w:cs="Arial"/>
                <w:noProof/>
                <w:color w:val="auto"/>
                <w:sz w:val="24"/>
                <w:szCs w:val="24"/>
              </w:rPr>
              <w:t>3 Methodology</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_Toc221201957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11</w:t>
            </w:r>
            <w:r w:rsidRPr="00825F73">
              <w:rPr>
                <w:rFonts w:ascii="Arial" w:hAnsi="Arial" w:cs="Arial"/>
                <w:noProof/>
                <w:webHidden/>
                <w:sz w:val="24"/>
                <w:szCs w:val="24"/>
              </w:rPr>
              <w:fldChar w:fldCharType="end"/>
            </w:r>
          </w:hyperlink>
        </w:p>
        <w:p w14:paraId="129FA2E5" w14:textId="6EAB7FFE"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8" w:history="1">
            <w:r w:rsidRPr="00825F73">
              <w:rPr>
                <w:rStyle w:val="Hyperlink"/>
                <w:rFonts w:ascii="Arial" w:hAnsi="Arial" w:cs="Arial"/>
                <w:noProof/>
                <w:color w:val="auto"/>
                <w:sz w:val="24"/>
                <w:szCs w:val="24"/>
              </w:rPr>
              <w:t>4 Finding</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_Toc221201958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15</w:t>
            </w:r>
            <w:r w:rsidRPr="00825F73">
              <w:rPr>
                <w:rFonts w:ascii="Arial" w:hAnsi="Arial" w:cs="Arial"/>
                <w:noProof/>
                <w:webHidden/>
                <w:sz w:val="24"/>
                <w:szCs w:val="24"/>
              </w:rPr>
              <w:fldChar w:fldCharType="end"/>
            </w:r>
          </w:hyperlink>
        </w:p>
        <w:p w14:paraId="1138D48E" w14:textId="50146812"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9" w:history="1">
            <w:r w:rsidRPr="00825F73">
              <w:rPr>
                <w:rStyle w:val="Hyperlink"/>
                <w:rFonts w:ascii="Arial" w:hAnsi="Arial" w:cs="Arial"/>
                <w:noProof/>
                <w:color w:val="auto"/>
                <w:sz w:val="24"/>
                <w:szCs w:val="24"/>
              </w:rPr>
              <w:t>5. Discussion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_Toc221201959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17</w:t>
            </w:r>
            <w:r w:rsidRPr="00825F73">
              <w:rPr>
                <w:rFonts w:ascii="Arial" w:hAnsi="Arial" w:cs="Arial"/>
                <w:noProof/>
                <w:webHidden/>
                <w:sz w:val="24"/>
                <w:szCs w:val="24"/>
              </w:rPr>
              <w:fldChar w:fldCharType="end"/>
            </w:r>
          </w:hyperlink>
        </w:p>
        <w:p w14:paraId="4C3F179E" w14:textId="458813BB"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60" w:history="1">
            <w:r w:rsidRPr="00825F73">
              <w:rPr>
                <w:rStyle w:val="Hyperlink"/>
                <w:rFonts w:ascii="Arial" w:hAnsi="Arial" w:cs="Arial"/>
                <w:noProof/>
                <w:color w:val="auto"/>
                <w:sz w:val="24"/>
                <w:szCs w:val="24"/>
              </w:rPr>
              <w:t>6. Conclusion</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_Toc221201960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19</w:t>
            </w:r>
            <w:r w:rsidRPr="00825F73">
              <w:rPr>
                <w:rFonts w:ascii="Arial" w:hAnsi="Arial" w:cs="Arial"/>
                <w:noProof/>
                <w:webHidden/>
                <w:sz w:val="24"/>
                <w:szCs w:val="24"/>
              </w:rPr>
              <w:fldChar w:fldCharType="end"/>
            </w:r>
          </w:hyperlink>
        </w:p>
        <w:p w14:paraId="2B79F819" w14:textId="469C38D9" w:rsidR="000437FE" w:rsidRPr="00825F73"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61" w:history="1">
            <w:r w:rsidRPr="00825F73">
              <w:rPr>
                <w:rStyle w:val="Hyperlink"/>
                <w:rFonts w:ascii="Arial" w:hAnsi="Arial" w:cs="Arial"/>
                <w:noProof/>
                <w:color w:val="auto"/>
                <w:sz w:val="24"/>
                <w:szCs w:val="24"/>
              </w:rPr>
              <w:t>Reference List</w:t>
            </w:r>
            <w:r w:rsidRPr="00825F73">
              <w:rPr>
                <w:rFonts w:ascii="Arial" w:hAnsi="Arial" w:cs="Arial"/>
                <w:noProof/>
                <w:webHidden/>
                <w:sz w:val="24"/>
                <w:szCs w:val="24"/>
              </w:rPr>
              <w:tab/>
            </w:r>
            <w:r w:rsidRPr="00825F73">
              <w:rPr>
                <w:rFonts w:ascii="Arial" w:hAnsi="Arial" w:cs="Arial"/>
                <w:noProof/>
                <w:webHidden/>
                <w:sz w:val="24"/>
                <w:szCs w:val="24"/>
              </w:rPr>
              <w:fldChar w:fldCharType="begin"/>
            </w:r>
            <w:r w:rsidRPr="00825F73">
              <w:rPr>
                <w:rFonts w:ascii="Arial" w:hAnsi="Arial" w:cs="Arial"/>
                <w:noProof/>
                <w:webHidden/>
                <w:sz w:val="24"/>
                <w:szCs w:val="24"/>
              </w:rPr>
              <w:instrText xml:space="preserve"> PAGEREF _Toc221201961 \h </w:instrText>
            </w:r>
            <w:r w:rsidRPr="00825F73">
              <w:rPr>
                <w:rFonts w:ascii="Arial" w:hAnsi="Arial" w:cs="Arial"/>
                <w:noProof/>
                <w:webHidden/>
                <w:sz w:val="24"/>
                <w:szCs w:val="24"/>
              </w:rPr>
            </w:r>
            <w:r w:rsidRPr="00825F73">
              <w:rPr>
                <w:rFonts w:ascii="Arial" w:hAnsi="Arial" w:cs="Arial"/>
                <w:noProof/>
                <w:webHidden/>
                <w:sz w:val="24"/>
                <w:szCs w:val="24"/>
              </w:rPr>
              <w:fldChar w:fldCharType="separate"/>
            </w:r>
            <w:r w:rsidRPr="00825F73">
              <w:rPr>
                <w:rFonts w:ascii="Arial" w:hAnsi="Arial" w:cs="Arial"/>
                <w:noProof/>
                <w:webHidden/>
                <w:sz w:val="24"/>
                <w:szCs w:val="24"/>
              </w:rPr>
              <w:t>20</w:t>
            </w:r>
            <w:r w:rsidRPr="00825F73">
              <w:rPr>
                <w:rFonts w:ascii="Arial" w:hAnsi="Arial" w:cs="Arial"/>
                <w:noProof/>
                <w:webHidden/>
                <w:sz w:val="24"/>
                <w:szCs w:val="24"/>
              </w:rPr>
              <w:fldChar w:fldCharType="end"/>
            </w:r>
          </w:hyperlink>
        </w:p>
        <w:p w14:paraId="646EF9D8" w14:textId="012FB220" w:rsidR="004D7D13" w:rsidRPr="00825F73" w:rsidRDefault="004D7D13" w:rsidP="00013DBD">
          <w:pPr>
            <w:spacing w:line="480" w:lineRule="auto"/>
            <w:rPr>
              <w:rFonts w:ascii="Arial" w:hAnsi="Arial" w:cs="Arial"/>
              <w:szCs w:val="24"/>
            </w:rPr>
          </w:pPr>
          <w:r w:rsidRPr="00825F73">
            <w:rPr>
              <w:rFonts w:ascii="Arial" w:hAnsi="Arial" w:cs="Arial"/>
              <w:noProof/>
              <w:szCs w:val="24"/>
            </w:rPr>
            <w:fldChar w:fldCharType="end"/>
          </w:r>
        </w:p>
      </w:sdtContent>
    </w:sdt>
    <w:p w14:paraId="1EDA022C" w14:textId="77777777" w:rsidR="004D7D13" w:rsidRPr="00825F73" w:rsidRDefault="004D7D13" w:rsidP="00013DBD">
      <w:pPr>
        <w:spacing w:line="480" w:lineRule="auto"/>
        <w:rPr>
          <w:rFonts w:ascii="Arial" w:hAnsi="Arial" w:cs="Arial"/>
          <w:szCs w:val="24"/>
        </w:rPr>
      </w:pPr>
    </w:p>
    <w:p w14:paraId="19B15F5F" w14:textId="77777777" w:rsidR="0095171B" w:rsidRPr="00825F73" w:rsidRDefault="0095171B" w:rsidP="00013DBD">
      <w:pPr>
        <w:spacing w:line="480" w:lineRule="auto"/>
        <w:rPr>
          <w:rFonts w:ascii="Arial" w:hAnsi="Arial" w:cs="Arial"/>
          <w:szCs w:val="24"/>
        </w:rPr>
      </w:pPr>
    </w:p>
    <w:p w14:paraId="73636B03" w14:textId="77777777" w:rsidR="0095171B" w:rsidRPr="00825F73" w:rsidRDefault="0095171B" w:rsidP="00013DBD">
      <w:pPr>
        <w:spacing w:line="480" w:lineRule="auto"/>
        <w:rPr>
          <w:rFonts w:ascii="Arial" w:hAnsi="Arial" w:cs="Arial"/>
          <w:szCs w:val="24"/>
        </w:rPr>
      </w:pPr>
      <w:r w:rsidRPr="00825F73">
        <w:rPr>
          <w:rFonts w:ascii="Arial" w:hAnsi="Arial" w:cs="Arial"/>
          <w:szCs w:val="24"/>
        </w:rPr>
        <w:br w:type="page"/>
      </w:r>
    </w:p>
    <w:p w14:paraId="48512045" w14:textId="2774FE42" w:rsidR="00B06124" w:rsidRPr="00825F73" w:rsidRDefault="000E04F4" w:rsidP="00B06124">
      <w:pPr>
        <w:spacing w:line="480" w:lineRule="auto"/>
        <w:rPr>
          <w:rFonts w:ascii="Arial" w:hAnsi="Arial" w:cs="Arial"/>
          <w:szCs w:val="24"/>
        </w:rPr>
      </w:pPr>
      <w:bookmarkStart w:id="1" w:name="_Toc221201955"/>
      <w:r w:rsidRPr="00825F73">
        <w:rPr>
          <w:rStyle w:val="Heading1Char"/>
          <w:rFonts w:ascii="Arial" w:hAnsi="Arial" w:cs="Arial"/>
          <w:b/>
          <w:bCs/>
          <w:color w:val="auto"/>
          <w:sz w:val="24"/>
          <w:szCs w:val="24"/>
        </w:rPr>
        <w:lastRenderedPageBreak/>
        <w:t>1</w:t>
      </w:r>
      <w:r w:rsidR="004D7D13" w:rsidRPr="00825F73">
        <w:rPr>
          <w:rStyle w:val="Heading1Char"/>
          <w:rFonts w:ascii="Arial" w:hAnsi="Arial" w:cs="Arial"/>
          <w:b/>
          <w:bCs/>
          <w:color w:val="auto"/>
          <w:sz w:val="24"/>
          <w:szCs w:val="24"/>
        </w:rPr>
        <w:t>.</w:t>
      </w:r>
      <w:r w:rsidR="0095171B" w:rsidRPr="00825F73">
        <w:rPr>
          <w:rStyle w:val="Heading1Char"/>
          <w:rFonts w:ascii="Arial" w:hAnsi="Arial" w:cs="Arial"/>
          <w:b/>
          <w:bCs/>
          <w:color w:val="auto"/>
          <w:sz w:val="24"/>
          <w:szCs w:val="24"/>
        </w:rPr>
        <w:t>Introduction</w:t>
      </w:r>
      <w:bookmarkEnd w:id="1"/>
      <w:r w:rsidR="0095171B" w:rsidRPr="00825F73">
        <w:rPr>
          <w:rStyle w:val="Heading1Char"/>
          <w:rFonts w:ascii="Arial" w:hAnsi="Arial" w:cs="Arial"/>
          <w:color w:val="auto"/>
          <w:sz w:val="24"/>
          <w:szCs w:val="24"/>
        </w:rPr>
        <w:t xml:space="preserve"> </w:t>
      </w:r>
    </w:p>
    <w:p w14:paraId="1D9141AA" w14:textId="77777777" w:rsidR="00DA5550" w:rsidRPr="00DA5550" w:rsidRDefault="00DA5550" w:rsidP="00DA5550">
      <w:pPr>
        <w:spacing w:line="480" w:lineRule="auto"/>
        <w:rPr>
          <w:rFonts w:ascii="Arial" w:hAnsi="Arial" w:cs="Arial"/>
          <w:szCs w:val="24"/>
        </w:rPr>
      </w:pPr>
      <w:bookmarkStart w:id="2" w:name="_Toc221201956"/>
      <w:r w:rsidRPr="00DA5550">
        <w:rPr>
          <w:rFonts w:ascii="Arial" w:hAnsi="Arial" w:cs="Arial"/>
          <w:szCs w:val="24"/>
        </w:rPr>
        <w:t>The tourism industry is a major contributor to global economic activity and employment, connecting consumers with a diverse range of service providers, including airlines, hotels, tour operators, cruise companies, and online travel agencies. Unlike many traditional consumer markets, tourism transactions typically involve advance payment for services that will be delivered in the future, often in foreign destinations. This temporal and geographical separation between purchase and consumption significantly increases consumer exposure to risk (Baker &amp; Cameron, 2008). Consequently, consumer protection laws have become a central regulatory framework within the tourism sector.</w:t>
      </w:r>
    </w:p>
    <w:p w14:paraId="6890D6E5" w14:textId="77777777" w:rsidR="00DA5550" w:rsidRPr="00DA5550" w:rsidRDefault="00DA5550" w:rsidP="00DA5550">
      <w:pPr>
        <w:spacing w:line="480" w:lineRule="auto"/>
        <w:rPr>
          <w:rFonts w:ascii="Arial" w:hAnsi="Arial" w:cs="Arial"/>
          <w:szCs w:val="24"/>
        </w:rPr>
      </w:pPr>
      <w:r w:rsidRPr="00DA5550">
        <w:rPr>
          <w:rFonts w:ascii="Arial" w:hAnsi="Arial" w:cs="Arial"/>
          <w:szCs w:val="24"/>
        </w:rPr>
        <w:t xml:space="preserve">Consumer protection laws are designed to safeguard consumers from unfair commercial practices, misleading information, unsafe services, and imbalanced contractual terms. In tourism, these laws are particularly important because </w:t>
      </w:r>
      <w:proofErr w:type="spellStart"/>
      <w:r w:rsidRPr="00DA5550">
        <w:rPr>
          <w:rFonts w:ascii="Arial" w:hAnsi="Arial" w:cs="Arial"/>
          <w:szCs w:val="24"/>
        </w:rPr>
        <w:t>travelers</w:t>
      </w:r>
      <w:proofErr w:type="spellEnd"/>
      <w:r w:rsidRPr="00DA5550">
        <w:rPr>
          <w:rFonts w:ascii="Arial" w:hAnsi="Arial" w:cs="Arial"/>
          <w:szCs w:val="24"/>
        </w:rPr>
        <w:t xml:space="preserve"> often lack bargaining power and must rely heavily on information provided by service suppliers and intermediaries (Hannam et al., 2014). Travelers’ rights commonly include access to accurate and complete information, transparent pricing, fair contract terms, and effective remedies in cases of service failure. At the same time, consumers are expected to comply with booking conditions and act responsibly throughout the travel process.</w:t>
      </w:r>
    </w:p>
    <w:p w14:paraId="1790FB9E" w14:textId="77777777" w:rsidR="00DA5550" w:rsidRPr="00DA5550" w:rsidRDefault="00DA5550" w:rsidP="00DA5550">
      <w:pPr>
        <w:spacing w:line="480" w:lineRule="auto"/>
        <w:rPr>
          <w:rFonts w:ascii="Arial" w:hAnsi="Arial" w:cs="Arial"/>
          <w:szCs w:val="24"/>
        </w:rPr>
      </w:pPr>
      <w:r w:rsidRPr="00DA5550">
        <w:rPr>
          <w:rFonts w:ascii="Arial" w:hAnsi="Arial" w:cs="Arial"/>
          <w:szCs w:val="24"/>
        </w:rPr>
        <w:t xml:space="preserve">A key area of tourism consumer protection relates to the regulation of package holidays and bundled travel services. Package travel legislation seeks to simplify complex transactions by placing responsibility on a single organiser for the performance of all services included in the package. This legal approach reduces consumer confusion and </w:t>
      </w:r>
      <w:r w:rsidRPr="00DA5550">
        <w:rPr>
          <w:rFonts w:ascii="Arial" w:hAnsi="Arial" w:cs="Arial"/>
          <w:szCs w:val="24"/>
        </w:rPr>
        <w:lastRenderedPageBreak/>
        <w:t xml:space="preserve">ensures that </w:t>
      </w:r>
      <w:proofErr w:type="spellStart"/>
      <w:r w:rsidRPr="00DA5550">
        <w:rPr>
          <w:rFonts w:ascii="Arial" w:hAnsi="Arial" w:cs="Arial"/>
          <w:szCs w:val="24"/>
        </w:rPr>
        <w:t>travelers</w:t>
      </w:r>
      <w:proofErr w:type="spellEnd"/>
      <w:r w:rsidRPr="00DA5550">
        <w:rPr>
          <w:rFonts w:ascii="Arial" w:hAnsi="Arial" w:cs="Arial"/>
          <w:szCs w:val="24"/>
        </w:rPr>
        <w:t xml:space="preserve"> are not left without remedies when problems arise due to fragmented supply chains (Page &amp; Connell, 2020). In addition to package travel regulation, broader consumer protection statutes address unfair trading practices, misleading advertising, and contract transparency across tourism markets.</w:t>
      </w:r>
    </w:p>
    <w:p w14:paraId="30118982" w14:textId="77777777" w:rsidR="00DA5550" w:rsidRPr="00DA5550" w:rsidRDefault="00DA5550" w:rsidP="00DA5550">
      <w:pPr>
        <w:spacing w:line="480" w:lineRule="auto"/>
        <w:rPr>
          <w:rFonts w:ascii="Arial" w:hAnsi="Arial" w:cs="Arial"/>
          <w:szCs w:val="24"/>
        </w:rPr>
      </w:pPr>
      <w:r w:rsidRPr="00DA5550">
        <w:rPr>
          <w:rFonts w:ascii="Arial" w:hAnsi="Arial" w:cs="Arial"/>
          <w:szCs w:val="24"/>
        </w:rPr>
        <w:t>The rapid expansion of digital tourism platforms has further increased the relevance of consumer protection laws. Online booking engines, comparison websites, and mobile applications have transformed how tourism services are marketed and sold. While these technologies offer convenience and choice, they also create new risks such as hidden fees, dynamic price discrimination, and information overload (</w:t>
      </w:r>
      <w:proofErr w:type="spellStart"/>
      <w:r w:rsidRPr="00DA5550">
        <w:rPr>
          <w:rFonts w:ascii="Arial" w:hAnsi="Arial" w:cs="Arial"/>
          <w:szCs w:val="24"/>
        </w:rPr>
        <w:t>Neuhofer</w:t>
      </w:r>
      <w:proofErr w:type="spellEnd"/>
      <w:r w:rsidRPr="00DA5550">
        <w:rPr>
          <w:rFonts w:ascii="Arial" w:hAnsi="Arial" w:cs="Arial"/>
          <w:szCs w:val="24"/>
        </w:rPr>
        <w:t xml:space="preserve"> et al., 2015). Scholars argue that digitalisation has intensified information asymmetry, making regulatory oversight essential to ensure that consumers can make informed decisions.</w:t>
      </w:r>
    </w:p>
    <w:p w14:paraId="2BD5010B" w14:textId="77777777" w:rsidR="00DA5550" w:rsidRPr="00DA5550" w:rsidRDefault="00DA5550" w:rsidP="00DA5550">
      <w:pPr>
        <w:spacing w:line="480" w:lineRule="auto"/>
        <w:rPr>
          <w:rFonts w:ascii="Arial" w:hAnsi="Arial" w:cs="Arial"/>
          <w:szCs w:val="24"/>
        </w:rPr>
      </w:pPr>
      <w:r w:rsidRPr="00DA5550">
        <w:rPr>
          <w:rFonts w:ascii="Arial" w:hAnsi="Arial" w:cs="Arial"/>
          <w:szCs w:val="24"/>
        </w:rPr>
        <w:t>Safety and service quality are also central concerns within tourism consumer protection. Tourism activities often involve transportation, accommodation, and recreational experiences that may pose physical and psychological risks. Consumer protection laws complement industry-specific safety regulations by imposing minimum standards that tourism providers must meet, regardless of contractual disclaimers (Hall et al., 2015). These protections are particularly important in emerging tourism sectors such as adventure tourism and peer-to-peer accommodation.</w:t>
      </w:r>
    </w:p>
    <w:p w14:paraId="2595BB0B" w14:textId="77777777" w:rsidR="00DA5550" w:rsidRPr="00DA5550" w:rsidRDefault="00DA5550" w:rsidP="00DA5550">
      <w:pPr>
        <w:spacing w:line="480" w:lineRule="auto"/>
        <w:rPr>
          <w:rFonts w:ascii="Arial" w:hAnsi="Arial" w:cs="Arial"/>
          <w:szCs w:val="24"/>
        </w:rPr>
      </w:pPr>
      <w:r w:rsidRPr="00DA5550">
        <w:rPr>
          <w:rFonts w:ascii="Arial" w:hAnsi="Arial" w:cs="Arial"/>
          <w:szCs w:val="24"/>
        </w:rPr>
        <w:t>This assignment critically examines consumer protection laws in the tourism industry by analysing legal frameworks, regulatory responsibilities, and dispute resolution mechanisms. Through this analysis, it demonstrates how consumer protection laws promote fairness, accountability, and confidence within tourism markets, contributing to the long-term sustainability of the industry.</w:t>
      </w:r>
    </w:p>
    <w:p w14:paraId="71D71E88" w14:textId="77777777" w:rsidR="00D349AA" w:rsidRPr="00D349AA" w:rsidRDefault="00D349AA" w:rsidP="00D349AA">
      <w:pPr>
        <w:spacing w:line="480" w:lineRule="auto"/>
        <w:rPr>
          <w:rFonts w:ascii="Arial" w:hAnsi="Arial" w:cs="Arial"/>
          <w:szCs w:val="24"/>
        </w:rPr>
      </w:pPr>
    </w:p>
    <w:p w14:paraId="375094EE" w14:textId="77777777" w:rsidR="00887242" w:rsidRPr="00887242" w:rsidRDefault="000E04F4" w:rsidP="00887242">
      <w:pPr>
        <w:spacing w:line="480" w:lineRule="auto"/>
        <w:rPr>
          <w:rFonts w:ascii="Arial" w:hAnsi="Arial" w:cs="Arial"/>
          <w:szCs w:val="24"/>
        </w:rPr>
      </w:pPr>
      <w:r w:rsidRPr="00825F73">
        <w:rPr>
          <w:rStyle w:val="Heading1Char"/>
          <w:rFonts w:ascii="Arial" w:hAnsi="Arial" w:cs="Arial"/>
          <w:b/>
          <w:bCs/>
          <w:color w:val="auto"/>
          <w:sz w:val="24"/>
          <w:szCs w:val="24"/>
        </w:rPr>
        <w:t>2</w:t>
      </w:r>
      <w:r w:rsidR="0095171B" w:rsidRPr="00825F73">
        <w:rPr>
          <w:rStyle w:val="Heading1Char"/>
          <w:rFonts w:ascii="Arial" w:hAnsi="Arial" w:cs="Arial"/>
          <w:b/>
          <w:bCs/>
          <w:color w:val="auto"/>
          <w:sz w:val="24"/>
          <w:szCs w:val="24"/>
        </w:rPr>
        <w:t>. Literature Review</w:t>
      </w:r>
      <w:bookmarkEnd w:id="2"/>
      <w:r w:rsidR="0095171B" w:rsidRPr="00825F73">
        <w:rPr>
          <w:rFonts w:ascii="Arial" w:hAnsi="Arial" w:cs="Arial"/>
          <w:szCs w:val="24"/>
        </w:rPr>
        <w:t xml:space="preserve"> </w:t>
      </w:r>
      <w:r w:rsidR="0095171B" w:rsidRPr="00825F73">
        <w:rPr>
          <w:rFonts w:ascii="Arial" w:hAnsi="Arial" w:cs="Arial"/>
          <w:szCs w:val="24"/>
        </w:rPr>
        <w:br/>
      </w:r>
      <w:bookmarkStart w:id="3" w:name="_Toc221201957"/>
      <w:r w:rsidR="00887242" w:rsidRPr="00887242">
        <w:rPr>
          <w:rFonts w:ascii="Arial" w:hAnsi="Arial" w:cs="Arial"/>
          <w:szCs w:val="24"/>
        </w:rPr>
        <w:t xml:space="preserve">Consumer protection within the tourism industry has emerged as a critical area of academic and policy discussion due to the sector’s inherent complexity and the heightened vulnerability of </w:t>
      </w:r>
      <w:proofErr w:type="spellStart"/>
      <w:r w:rsidR="00887242" w:rsidRPr="00887242">
        <w:rPr>
          <w:rFonts w:ascii="Arial" w:hAnsi="Arial" w:cs="Arial"/>
          <w:szCs w:val="24"/>
        </w:rPr>
        <w:t>travelers</w:t>
      </w:r>
      <w:proofErr w:type="spellEnd"/>
      <w:r w:rsidR="00887242" w:rsidRPr="00887242">
        <w:rPr>
          <w:rFonts w:ascii="Arial" w:hAnsi="Arial" w:cs="Arial"/>
          <w:szCs w:val="24"/>
        </w:rPr>
        <w:t>. Tourism differs significantly from conventional consumer markets because services are purchased before consumption, often across national borders, and are highly dependent on information provided by service suppliers. Scholars consistently argue that these features expose tourists to greater risks of misinformation, unfair practices, and limited access to remedies, thereby necessitating strong consumer protection frameworks (Hannam et al., 2014).</w:t>
      </w:r>
    </w:p>
    <w:p w14:paraId="296E3858"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Conceptualising Consumer Protection in Tourism</w:t>
      </w:r>
    </w:p>
    <w:p w14:paraId="04743F32"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Consumer protection law is generally understood as a regulatory mechanism designed to ensure fairness, transparency, and safety in market transactions. In tourism, this framework plays a corrective role by addressing market failures that arise from unequal bargaining power and information asymmetry (Howells et al., 2018). Tourism consumers often engage with large corporations or digital platforms through standard-form contracts, leaving little opportunity to negotiate terms or fully understand legal implications. As a result, traditional contract law principles are frequently insufficient to protect tourist interests.</w:t>
      </w:r>
    </w:p>
    <w:p w14:paraId="7AA90F9E"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 xml:space="preserve">Academic literature emphasises that consumer protection in tourism extends beyond contractual enforcement. Statutory consumer protection rules impose mandatory obligations on businesses, preventing them from excluding liability through contractual </w:t>
      </w:r>
      <w:r w:rsidRPr="00887242">
        <w:rPr>
          <w:rFonts w:ascii="Arial" w:hAnsi="Arial" w:cs="Arial"/>
          <w:szCs w:val="24"/>
        </w:rPr>
        <w:lastRenderedPageBreak/>
        <w:t>clauses. This shift from voluntary to mandatory regulation reflects recognition that tourism consumers require enhanced safeguards due to the experiential and intangible nature of tourism services (</w:t>
      </w:r>
      <w:proofErr w:type="spellStart"/>
      <w:r w:rsidRPr="00887242">
        <w:rPr>
          <w:rFonts w:ascii="Arial" w:hAnsi="Arial" w:cs="Arial"/>
          <w:szCs w:val="24"/>
        </w:rPr>
        <w:t>Micklitz</w:t>
      </w:r>
      <w:proofErr w:type="spellEnd"/>
      <w:r w:rsidRPr="00887242">
        <w:rPr>
          <w:rFonts w:ascii="Arial" w:hAnsi="Arial" w:cs="Arial"/>
          <w:szCs w:val="24"/>
        </w:rPr>
        <w:t>, 2015).</w:t>
      </w:r>
    </w:p>
    <w:p w14:paraId="42C911EA"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Tourist Vulnerability and Risk Exposure</w:t>
      </w:r>
    </w:p>
    <w:p w14:paraId="36C11F0A"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A recurring theme in tourism literature is the concept of tourist vulnerability. Travelers are often unfamiliar with destinations, local regulations, and cultural norms, which limits their ability to assess risks and assert rights effectively. Studies suggest that vulnerability is intensified in international tourism, where language barriers and jurisdictional complexities further disadvantage consumers (Wilks &amp; Pendergast, 2017).</w:t>
      </w:r>
    </w:p>
    <w:p w14:paraId="29D0A517"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Information asymmetry is a major contributor to tourist vulnerability. Tourism decisions are heavily influenced by marketing images, online descriptions, and user-generated content. While digital platforms have increased information availability, scholars note that they also enable selective disclosure and exaggeration of service quality (</w:t>
      </w:r>
      <w:proofErr w:type="spellStart"/>
      <w:r w:rsidRPr="00887242">
        <w:rPr>
          <w:rFonts w:ascii="Arial" w:hAnsi="Arial" w:cs="Arial"/>
          <w:szCs w:val="24"/>
        </w:rPr>
        <w:t>Neuhofer</w:t>
      </w:r>
      <w:proofErr w:type="spellEnd"/>
      <w:r w:rsidRPr="00887242">
        <w:rPr>
          <w:rFonts w:ascii="Arial" w:hAnsi="Arial" w:cs="Arial"/>
          <w:szCs w:val="24"/>
        </w:rPr>
        <w:t xml:space="preserve"> et al., 2015). Consumer protection laws aim to mitigate these risks by requiring accurate information disclosure and prohibiting misleading practices.</w:t>
      </w:r>
    </w:p>
    <w:p w14:paraId="445A30C2"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Unfair Commercial Practices in Tourism</w:t>
      </w:r>
    </w:p>
    <w:p w14:paraId="530D4E4E"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The regulation of unfair commercial practices is a central focus of tourism consumer protection scholarship. Unfair practices include misleading advertising, deceptive pricing, hidden fees, and aggressive sales tactics. Empirical studies indicate that pricing-related complaints are among the most frequent issues faced by tourism consumers, particularly in online booking environments (Baker &amp; Cameron, 2008).</w:t>
      </w:r>
    </w:p>
    <w:p w14:paraId="4081D948" w14:textId="77777777" w:rsidR="00887242" w:rsidRPr="00887242" w:rsidRDefault="00887242" w:rsidP="00887242">
      <w:pPr>
        <w:spacing w:line="480" w:lineRule="auto"/>
        <w:rPr>
          <w:rFonts w:ascii="Arial" w:hAnsi="Arial" w:cs="Arial"/>
          <w:szCs w:val="24"/>
        </w:rPr>
      </w:pPr>
      <w:r w:rsidRPr="00887242">
        <w:rPr>
          <w:rFonts w:ascii="Arial" w:hAnsi="Arial" w:cs="Arial"/>
          <w:szCs w:val="24"/>
        </w:rPr>
        <w:lastRenderedPageBreak/>
        <w:t>Digitalisation has significantly complicated the regulation of unfair practices. Dynamic pricing, bundled services, and optional add-ons often obscure the true cost of tourism products. Scholars argue that consumer protection laws must evolve to address these practices by strengthening transparency requirements and regulating digital marketing strategies (</w:t>
      </w:r>
      <w:proofErr w:type="spellStart"/>
      <w:r w:rsidRPr="00887242">
        <w:rPr>
          <w:rFonts w:ascii="Arial" w:hAnsi="Arial" w:cs="Arial"/>
          <w:szCs w:val="24"/>
        </w:rPr>
        <w:t>Neuhofer</w:t>
      </w:r>
      <w:proofErr w:type="spellEnd"/>
      <w:r w:rsidRPr="00887242">
        <w:rPr>
          <w:rFonts w:ascii="Arial" w:hAnsi="Arial" w:cs="Arial"/>
          <w:szCs w:val="24"/>
        </w:rPr>
        <w:t xml:space="preserve"> et al., 2015). This regulatory focus reflects broader efforts to protect informed consumer choice in digital markets.</w:t>
      </w:r>
    </w:p>
    <w:p w14:paraId="50797BEB"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Package Travel and Consumer Protection</w:t>
      </w:r>
    </w:p>
    <w:p w14:paraId="5F93BB43"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Package travel regulation represents one of the most advanced areas of consumer protection in tourism. The literature highlights that package travel laws were introduced to address the complexity of multi-component travel arrangements involving transport, accommodation, and ancillary services. By assigning responsibility to a single organiser, these regulations simplify consumer claims and ensure accountability (Page &amp; Connell, 2020).</w:t>
      </w:r>
    </w:p>
    <w:p w14:paraId="4183F1D3"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Researchers argue that organiser liability is essential for effective consumer protection, as tourists would otherwise face significant challenges in pursuing claims against multiple suppliers across jurisdictions. Package travel laws also provide additional safeguards such as insolvency protection, refunds, and assistance during disruptions. Comparative studies suggest that although regulatory approaches vary globally, the principle of organiser responsibility remains a cornerstone of tourism consumer protection (Howells et al., 2018).</w:t>
      </w:r>
    </w:p>
    <w:p w14:paraId="7DE1087C"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Safety, Quality, and Consumer Welfare</w:t>
      </w:r>
    </w:p>
    <w:p w14:paraId="3D0F7F46" w14:textId="77777777" w:rsidR="00887242" w:rsidRPr="00887242" w:rsidRDefault="00887242" w:rsidP="00887242">
      <w:pPr>
        <w:spacing w:line="480" w:lineRule="auto"/>
        <w:rPr>
          <w:rFonts w:ascii="Arial" w:hAnsi="Arial" w:cs="Arial"/>
          <w:szCs w:val="24"/>
        </w:rPr>
      </w:pPr>
      <w:r w:rsidRPr="00887242">
        <w:rPr>
          <w:rFonts w:ascii="Arial" w:hAnsi="Arial" w:cs="Arial"/>
          <w:szCs w:val="24"/>
        </w:rPr>
        <w:lastRenderedPageBreak/>
        <w:t>Safety and service quality are fundamental dimensions of consumer protection in tourism. Tourism activities often involve transportation, accommodation, and leisure experiences that carry physical and psychological risks. Scholars argue that consumer protection laws complement industry-specific safety regulations by imposing minimum standards of care that cannot be excluded through contract (Hall et al., 2015).</w:t>
      </w:r>
    </w:p>
    <w:p w14:paraId="16926E95"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Research on adventure tourism and emerging accommodation models indicates that regulatory frameworks have struggled to keep pace with innovation. In such contexts, consumer protection laws play a crucial role in filling regulatory gaps and ensuring that basic safety and quality standards are maintained. The literature suggests that statutory safety obligations enhance consumer trust and contribute to destination sustainability.</w:t>
      </w:r>
    </w:p>
    <w:p w14:paraId="0AA90EEB"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Obligations of Tourism Service Providers</w:t>
      </w:r>
    </w:p>
    <w:p w14:paraId="12ADF71C"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Academic research places considerable emphasis on the responsibilities of tourism service providers under consumer protection regimes. These responsibilities include truthful advertising, transparent pricing, fair contractual terms, and effective complaint-handling mechanisms. Studies indicate that compliance with consumer protection laws has become a key component of corporate governance and risk management within tourism businesses (OECD, 2021).</w:t>
      </w:r>
    </w:p>
    <w:p w14:paraId="36EDA751"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Failure to meet these obligations can result in regulatory sanctions, financial penalties, and reputational damage. Scholars argue that this deterrent effect encourages ethical conduct and reduces the incidence of consumer disputes. Additionally, consumer protection laws increasingly require service providers to monitor third-party suppliers, reflecting the interconnected nature of tourism supply chains.</w:t>
      </w:r>
    </w:p>
    <w:p w14:paraId="5638A677"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lastRenderedPageBreak/>
        <w:t>Consumer Redress and Dispute Resolution</w:t>
      </w:r>
    </w:p>
    <w:p w14:paraId="56570D7A"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Effective redress mechanisms are essential to the practical enforcement of consumer protection laws. The literature identifies multiple avenues for resolving tourism disputes, including courts, regulatory authorities, and alternative dispute resolution (ADR) mechanisms. ADR is often promoted as a cost-effective and efficient method for resolving tourism disputes, particularly in cross-border contexts (Spencer, 2020).</w:t>
      </w:r>
    </w:p>
    <w:p w14:paraId="64ACF0E3"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However, academic critiques highlight concerns regarding transparency, accessibility, and procedural fairness in ADR systems. Mandatory ADR clauses may disadvantage tourists if they restrict access to judicial remedies or require dispute resolution in unfamiliar legal systems. This has led to calls for stronger regulatory oversight to ensure that ADR supports, rather than undermines, consumer protection objectives.</w:t>
      </w:r>
    </w:p>
    <w:p w14:paraId="59A22010" w14:textId="77777777" w:rsidR="00887242" w:rsidRPr="00887242" w:rsidRDefault="00887242" w:rsidP="00887242">
      <w:pPr>
        <w:spacing w:line="480" w:lineRule="auto"/>
        <w:rPr>
          <w:rFonts w:ascii="Arial" w:hAnsi="Arial" w:cs="Arial"/>
          <w:b/>
          <w:bCs/>
          <w:szCs w:val="24"/>
        </w:rPr>
      </w:pPr>
      <w:r w:rsidRPr="00887242">
        <w:rPr>
          <w:rFonts w:ascii="Arial" w:hAnsi="Arial" w:cs="Arial"/>
          <w:b/>
          <w:bCs/>
          <w:szCs w:val="24"/>
        </w:rPr>
        <w:t>Critical Evaluation and Research Gaps</w:t>
      </w:r>
    </w:p>
    <w:p w14:paraId="3BB4D95C" w14:textId="77777777" w:rsidR="00887242" w:rsidRPr="00887242" w:rsidRDefault="00887242" w:rsidP="00887242">
      <w:pPr>
        <w:spacing w:line="480" w:lineRule="auto"/>
        <w:rPr>
          <w:rFonts w:ascii="Arial" w:hAnsi="Arial" w:cs="Arial"/>
          <w:szCs w:val="24"/>
        </w:rPr>
      </w:pPr>
      <w:r w:rsidRPr="00887242">
        <w:rPr>
          <w:rFonts w:ascii="Arial" w:hAnsi="Arial" w:cs="Arial"/>
          <w:szCs w:val="24"/>
        </w:rPr>
        <w:t>Despite extensive scholarship, several gaps remain in the literature on consumer protection in tourism. Much of the existing research focuses on developed economies, with limited attention to developing destinations where regulatory enforcement may be weaker. Additionally, rapid digital transformation continues to challenge traditional consumer protection frameworks, particularly in relation to platform-based tourism services and data-driven pricing strategies.</w:t>
      </w:r>
    </w:p>
    <w:p w14:paraId="75571E61" w14:textId="429CDA4B" w:rsidR="00D92241" w:rsidRPr="00887242" w:rsidRDefault="00887242" w:rsidP="003A5BF6">
      <w:pPr>
        <w:spacing w:line="480" w:lineRule="auto"/>
        <w:rPr>
          <w:rStyle w:val="Heading1Char"/>
          <w:rFonts w:ascii="Arial" w:eastAsiaTheme="minorHAnsi" w:hAnsi="Arial" w:cs="Arial"/>
          <w:color w:val="auto"/>
          <w:sz w:val="24"/>
          <w:szCs w:val="24"/>
        </w:rPr>
      </w:pPr>
      <w:r w:rsidRPr="00887242">
        <w:rPr>
          <w:rFonts w:ascii="Arial" w:hAnsi="Arial" w:cs="Arial"/>
          <w:szCs w:val="24"/>
        </w:rPr>
        <w:t xml:space="preserve">Overall, the literature confirms that consumer protection laws are essential for addressing structural vulnerabilities in tourism markets. At the same time, it highlights the need for continuous legal adaptation, international cooperation, and stronger </w:t>
      </w:r>
      <w:r w:rsidRPr="00887242">
        <w:rPr>
          <w:rFonts w:ascii="Arial" w:hAnsi="Arial" w:cs="Arial"/>
          <w:szCs w:val="24"/>
        </w:rPr>
        <w:lastRenderedPageBreak/>
        <w:t>enforcement mechanisms to ensure effective consumer protection in an evolving tourism landscape.</w:t>
      </w:r>
    </w:p>
    <w:p w14:paraId="18A7F6A2" w14:textId="77777777" w:rsidR="00057821" w:rsidRPr="00825F73" w:rsidRDefault="00057821" w:rsidP="003A5BF6">
      <w:pPr>
        <w:spacing w:line="480" w:lineRule="auto"/>
        <w:rPr>
          <w:rStyle w:val="Heading1Char"/>
          <w:rFonts w:ascii="Arial" w:hAnsi="Arial" w:cs="Arial"/>
          <w:b/>
          <w:bCs/>
          <w:color w:val="auto"/>
          <w:sz w:val="24"/>
          <w:szCs w:val="24"/>
        </w:rPr>
      </w:pPr>
    </w:p>
    <w:p w14:paraId="279158F5" w14:textId="77777777" w:rsidR="003F67E3" w:rsidRPr="003F67E3" w:rsidRDefault="00843EDD" w:rsidP="003F67E3">
      <w:pPr>
        <w:spacing w:line="480" w:lineRule="auto"/>
        <w:rPr>
          <w:rFonts w:ascii="Arial" w:hAnsi="Arial" w:cs="Arial"/>
          <w:szCs w:val="24"/>
        </w:rPr>
      </w:pPr>
      <w:r w:rsidRPr="00825F73">
        <w:rPr>
          <w:rStyle w:val="Heading1Char"/>
          <w:rFonts w:ascii="Arial" w:hAnsi="Arial" w:cs="Arial"/>
          <w:b/>
          <w:bCs/>
          <w:color w:val="auto"/>
          <w:sz w:val="24"/>
          <w:szCs w:val="24"/>
        </w:rPr>
        <w:t>3</w:t>
      </w:r>
      <w:r w:rsidR="00582227" w:rsidRPr="00825F73">
        <w:rPr>
          <w:rStyle w:val="Heading1Char"/>
          <w:rFonts w:ascii="Arial" w:hAnsi="Arial" w:cs="Arial"/>
          <w:b/>
          <w:bCs/>
          <w:color w:val="auto"/>
          <w:sz w:val="24"/>
          <w:szCs w:val="24"/>
        </w:rPr>
        <w:t xml:space="preserve"> Methodology</w:t>
      </w:r>
      <w:bookmarkEnd w:id="3"/>
      <w:r w:rsidR="00582227" w:rsidRPr="00825F73">
        <w:rPr>
          <w:rFonts w:ascii="Arial" w:hAnsi="Arial" w:cs="Arial"/>
          <w:b/>
          <w:bCs/>
          <w:szCs w:val="24"/>
        </w:rPr>
        <w:t xml:space="preserve"> </w:t>
      </w:r>
      <w:r w:rsidR="00582227" w:rsidRPr="00825F73">
        <w:rPr>
          <w:rFonts w:ascii="Arial" w:hAnsi="Arial" w:cs="Arial"/>
          <w:szCs w:val="24"/>
        </w:rPr>
        <w:br/>
      </w:r>
      <w:r w:rsidR="003F67E3" w:rsidRPr="003F67E3">
        <w:rPr>
          <w:rFonts w:ascii="Arial" w:hAnsi="Arial" w:cs="Arial"/>
          <w:szCs w:val="24"/>
        </w:rPr>
        <w:t xml:space="preserve">This study adopts a </w:t>
      </w:r>
      <w:r w:rsidR="003F67E3" w:rsidRPr="003F67E3">
        <w:rPr>
          <w:rFonts w:ascii="Arial" w:hAnsi="Arial" w:cs="Arial"/>
          <w:b/>
          <w:bCs/>
          <w:szCs w:val="24"/>
        </w:rPr>
        <w:t>qualitative doctrinal research methodology</w:t>
      </w:r>
      <w:r w:rsidR="003F67E3" w:rsidRPr="003F67E3">
        <w:rPr>
          <w:rFonts w:ascii="Arial" w:hAnsi="Arial" w:cs="Arial"/>
          <w:szCs w:val="24"/>
        </w:rPr>
        <w:t xml:space="preserve"> to examine consumer protection laws within the tourism industry. Doctrinal research is widely used in legal and regulatory scholarship as it focuses on the systematic interpretation and evaluation of existing laws, policy instruments, and academic commentary. Given that the objective of this assignment is to analyse legal frameworks governing consumer protection rather than to measure consumer behaviour empirically, a doctrinal approach is considered the most appropriate research strategy (Howells et al., 2018).</w:t>
      </w:r>
    </w:p>
    <w:p w14:paraId="0E0E6E9F" w14:textId="77777777" w:rsidR="003F67E3" w:rsidRPr="003F67E3" w:rsidRDefault="003F67E3" w:rsidP="003F67E3">
      <w:pPr>
        <w:spacing w:line="480" w:lineRule="auto"/>
        <w:rPr>
          <w:rFonts w:ascii="Arial" w:hAnsi="Arial" w:cs="Arial"/>
          <w:b/>
          <w:bCs/>
          <w:szCs w:val="24"/>
        </w:rPr>
      </w:pPr>
      <w:r w:rsidRPr="003F67E3">
        <w:rPr>
          <w:rFonts w:ascii="Arial" w:hAnsi="Arial" w:cs="Arial"/>
          <w:b/>
          <w:bCs/>
          <w:szCs w:val="24"/>
        </w:rPr>
        <w:t>Research Design</w:t>
      </w:r>
    </w:p>
    <w:p w14:paraId="5AB68567"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 xml:space="preserve">The research follows a </w:t>
      </w:r>
      <w:r w:rsidRPr="003F67E3">
        <w:rPr>
          <w:rFonts w:ascii="Arial" w:hAnsi="Arial" w:cs="Arial"/>
          <w:b/>
          <w:bCs/>
          <w:szCs w:val="24"/>
        </w:rPr>
        <w:t>descriptive and analytical design</w:t>
      </w:r>
      <w:r w:rsidRPr="003F67E3">
        <w:rPr>
          <w:rFonts w:ascii="Arial" w:hAnsi="Arial" w:cs="Arial"/>
          <w:szCs w:val="24"/>
        </w:rPr>
        <w:t xml:space="preserve">. The descriptive element outlines the scope and objectives of consumer protection laws applicable to tourism, including regulations addressing unfair commercial practices, misleading advertising, package travel arrangements, service safety, and consumer redress mechanisms. The analytical element critically evaluates how these laws function in practice to protect </w:t>
      </w:r>
      <w:proofErr w:type="spellStart"/>
      <w:r w:rsidRPr="003F67E3">
        <w:rPr>
          <w:rFonts w:ascii="Arial" w:hAnsi="Arial" w:cs="Arial"/>
          <w:szCs w:val="24"/>
        </w:rPr>
        <w:t>travelers</w:t>
      </w:r>
      <w:proofErr w:type="spellEnd"/>
      <w:r w:rsidRPr="003F67E3">
        <w:rPr>
          <w:rFonts w:ascii="Arial" w:hAnsi="Arial" w:cs="Arial"/>
          <w:szCs w:val="24"/>
        </w:rPr>
        <w:t xml:space="preserve"> and regulate the conduct of tourism service providers. This combined design allows for a comprehensive understanding of both the content of consumer protection laws and their practical implications within tourism markets.</w:t>
      </w:r>
    </w:p>
    <w:p w14:paraId="2728B0BD"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 xml:space="preserve">This approach is particularly suitable for tourism research, as consumer protection operates across multiple legal domains, including contract law, regulatory law, and </w:t>
      </w:r>
      <w:r w:rsidRPr="003F67E3">
        <w:rPr>
          <w:rFonts w:ascii="Arial" w:hAnsi="Arial" w:cs="Arial"/>
          <w:szCs w:val="24"/>
        </w:rPr>
        <w:lastRenderedPageBreak/>
        <w:t>public policy. By analysing these domains together, the study identifies recurring legal issues and assesses the effectiveness of existing protections in addressing tourist vulnerability (</w:t>
      </w:r>
      <w:proofErr w:type="spellStart"/>
      <w:r w:rsidRPr="003F67E3">
        <w:rPr>
          <w:rFonts w:ascii="Arial" w:hAnsi="Arial" w:cs="Arial"/>
          <w:szCs w:val="24"/>
        </w:rPr>
        <w:t>Micklitz</w:t>
      </w:r>
      <w:proofErr w:type="spellEnd"/>
      <w:r w:rsidRPr="003F67E3">
        <w:rPr>
          <w:rFonts w:ascii="Arial" w:hAnsi="Arial" w:cs="Arial"/>
          <w:szCs w:val="24"/>
        </w:rPr>
        <w:t>, 2015).</w:t>
      </w:r>
    </w:p>
    <w:p w14:paraId="5F1100D9" w14:textId="77777777" w:rsidR="003F67E3" w:rsidRPr="003F67E3" w:rsidRDefault="003F67E3" w:rsidP="003F67E3">
      <w:pPr>
        <w:spacing w:line="480" w:lineRule="auto"/>
        <w:rPr>
          <w:rFonts w:ascii="Arial" w:hAnsi="Arial" w:cs="Arial"/>
          <w:b/>
          <w:bCs/>
          <w:szCs w:val="24"/>
        </w:rPr>
      </w:pPr>
      <w:r w:rsidRPr="003F67E3">
        <w:rPr>
          <w:rFonts w:ascii="Arial" w:hAnsi="Arial" w:cs="Arial"/>
          <w:b/>
          <w:bCs/>
          <w:szCs w:val="24"/>
        </w:rPr>
        <w:t>Sources of Data</w:t>
      </w:r>
    </w:p>
    <w:p w14:paraId="2A5A7BE5"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 xml:space="preserve">The study relies exclusively on </w:t>
      </w:r>
      <w:r w:rsidRPr="003F67E3">
        <w:rPr>
          <w:rFonts w:ascii="Arial" w:hAnsi="Arial" w:cs="Arial"/>
          <w:b/>
          <w:bCs/>
          <w:szCs w:val="24"/>
        </w:rPr>
        <w:t>secondary data sources</w:t>
      </w:r>
      <w:r w:rsidRPr="003F67E3">
        <w:rPr>
          <w:rFonts w:ascii="Arial" w:hAnsi="Arial" w:cs="Arial"/>
          <w:szCs w:val="24"/>
        </w:rPr>
        <w:t>, which are considered authoritative and reliable for doctrinal legal research. These sources include peer-reviewed journal articles, academic books, edited volumes, and policy reports related to consumer protection and tourism regulation. In addition, official guidance and reports issued by international organisations such as the OECD and UNWTO are examined to understand global policy perspectives on tourism consumer protection.</w:t>
      </w:r>
    </w:p>
    <w:p w14:paraId="6C4FCBB7"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Judicial decisions and documented tourism dispute cases are also reviewed to illustrate how consumer protection laws are interpreted and enforced in practice. These cases provide insight into regulatory responses to issues such as misleading advertising, service cancellations, and failure to meet safety standards. Emphasis is placed on contemporary sources that reflect recent developments in digital tourism markets and evolving regulatory challenges (</w:t>
      </w:r>
      <w:proofErr w:type="spellStart"/>
      <w:r w:rsidRPr="003F67E3">
        <w:rPr>
          <w:rFonts w:ascii="Arial" w:hAnsi="Arial" w:cs="Arial"/>
          <w:szCs w:val="24"/>
        </w:rPr>
        <w:t>Neuhofer</w:t>
      </w:r>
      <w:proofErr w:type="spellEnd"/>
      <w:r w:rsidRPr="003F67E3">
        <w:rPr>
          <w:rFonts w:ascii="Arial" w:hAnsi="Arial" w:cs="Arial"/>
          <w:szCs w:val="24"/>
        </w:rPr>
        <w:t xml:space="preserve"> et al., 2015).</w:t>
      </w:r>
    </w:p>
    <w:p w14:paraId="4C472F47" w14:textId="77777777" w:rsidR="003F67E3" w:rsidRPr="003F67E3" w:rsidRDefault="003F67E3" w:rsidP="003F67E3">
      <w:pPr>
        <w:spacing w:line="480" w:lineRule="auto"/>
        <w:rPr>
          <w:rFonts w:ascii="Arial" w:hAnsi="Arial" w:cs="Arial"/>
          <w:b/>
          <w:bCs/>
          <w:szCs w:val="24"/>
        </w:rPr>
      </w:pPr>
      <w:r w:rsidRPr="003F67E3">
        <w:rPr>
          <w:rFonts w:ascii="Arial" w:hAnsi="Arial" w:cs="Arial"/>
          <w:b/>
          <w:bCs/>
          <w:szCs w:val="24"/>
        </w:rPr>
        <w:t>Analytical Framework</w:t>
      </w:r>
    </w:p>
    <w:p w14:paraId="61EDA41D"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 xml:space="preserve">The collected data are analysed using </w:t>
      </w:r>
      <w:r w:rsidRPr="003F67E3">
        <w:rPr>
          <w:rFonts w:ascii="Arial" w:hAnsi="Arial" w:cs="Arial"/>
          <w:b/>
          <w:bCs/>
          <w:szCs w:val="24"/>
        </w:rPr>
        <w:t>thematic legal analysis</w:t>
      </w:r>
      <w:r w:rsidRPr="003F67E3">
        <w:rPr>
          <w:rFonts w:ascii="Arial" w:hAnsi="Arial" w:cs="Arial"/>
          <w:szCs w:val="24"/>
        </w:rPr>
        <w:t xml:space="preserve">. This method involves identifying recurring themes across legal texts and academic literature and examining how these themes relate to tourism consumer protection. Key themes analysed in this study include </w:t>
      </w:r>
      <w:proofErr w:type="spellStart"/>
      <w:r w:rsidRPr="003F67E3">
        <w:rPr>
          <w:rFonts w:ascii="Arial" w:hAnsi="Arial" w:cs="Arial"/>
          <w:szCs w:val="24"/>
        </w:rPr>
        <w:t>traveler</w:t>
      </w:r>
      <w:proofErr w:type="spellEnd"/>
      <w:r w:rsidRPr="003F67E3">
        <w:rPr>
          <w:rFonts w:ascii="Arial" w:hAnsi="Arial" w:cs="Arial"/>
          <w:szCs w:val="24"/>
        </w:rPr>
        <w:t xml:space="preserve"> vulnerability, transparency and information disclosure, unfair </w:t>
      </w:r>
      <w:r w:rsidRPr="003F67E3">
        <w:rPr>
          <w:rFonts w:ascii="Arial" w:hAnsi="Arial" w:cs="Arial"/>
          <w:szCs w:val="24"/>
        </w:rPr>
        <w:lastRenderedPageBreak/>
        <w:t>commercial practices, safety and service quality obligations, provider accountability, and consumer redress mechanisms.</w:t>
      </w:r>
    </w:p>
    <w:p w14:paraId="74BDC6E5"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 xml:space="preserve">A </w:t>
      </w:r>
      <w:r w:rsidRPr="003F67E3">
        <w:rPr>
          <w:rFonts w:ascii="Arial" w:hAnsi="Arial" w:cs="Arial"/>
          <w:b/>
          <w:bCs/>
          <w:szCs w:val="24"/>
        </w:rPr>
        <w:t>comparative perspective</w:t>
      </w:r>
      <w:r w:rsidRPr="003F67E3">
        <w:rPr>
          <w:rFonts w:ascii="Arial" w:hAnsi="Arial" w:cs="Arial"/>
          <w:szCs w:val="24"/>
        </w:rPr>
        <w:t xml:space="preserve"> is also applied to assess differences and similarities in consumer protection approaches across jurisdictions. Given the international nature of tourism, comparative analysis is valuable in highlighting how different legal systems address common consumer protection challenges and where gaps in protection may exist (Page &amp; Connell, 2020).</w:t>
      </w:r>
    </w:p>
    <w:p w14:paraId="2F8441A5" w14:textId="77777777" w:rsidR="003F67E3" w:rsidRPr="003F67E3" w:rsidRDefault="003F67E3" w:rsidP="003F67E3">
      <w:pPr>
        <w:spacing w:line="480" w:lineRule="auto"/>
        <w:rPr>
          <w:rFonts w:ascii="Arial" w:hAnsi="Arial" w:cs="Arial"/>
          <w:b/>
          <w:bCs/>
          <w:szCs w:val="24"/>
        </w:rPr>
      </w:pPr>
      <w:r w:rsidRPr="003F67E3">
        <w:rPr>
          <w:rFonts w:ascii="Arial" w:hAnsi="Arial" w:cs="Arial"/>
          <w:b/>
          <w:bCs/>
          <w:szCs w:val="24"/>
        </w:rPr>
        <w:t>Ethical Considerations</w:t>
      </w:r>
    </w:p>
    <w:p w14:paraId="7FD7138E"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As the research is based solely on secondary data, no ethical issues involving human participants arise. Academic integrity has been maintained by accurately citing all sources and presenting balanced interpretations of legal principles. The study avoids bias by acknowledging differing scholarly perspectives and regulatory approaches where relevant.</w:t>
      </w:r>
    </w:p>
    <w:p w14:paraId="79162CC3" w14:textId="77777777" w:rsidR="003F67E3" w:rsidRPr="003F67E3" w:rsidRDefault="003F67E3" w:rsidP="003F67E3">
      <w:pPr>
        <w:spacing w:line="480" w:lineRule="auto"/>
        <w:rPr>
          <w:rFonts w:ascii="Arial" w:hAnsi="Arial" w:cs="Arial"/>
          <w:b/>
          <w:bCs/>
          <w:szCs w:val="24"/>
        </w:rPr>
      </w:pPr>
      <w:r w:rsidRPr="003F67E3">
        <w:rPr>
          <w:rFonts w:ascii="Arial" w:hAnsi="Arial" w:cs="Arial"/>
          <w:b/>
          <w:bCs/>
          <w:szCs w:val="24"/>
        </w:rPr>
        <w:t>Limitations of the Methodology</w:t>
      </w:r>
    </w:p>
    <w:p w14:paraId="62C0308B" w14:textId="77777777" w:rsidR="003F67E3" w:rsidRPr="003F67E3" w:rsidRDefault="003F67E3" w:rsidP="003F67E3">
      <w:pPr>
        <w:spacing w:line="480" w:lineRule="auto"/>
        <w:rPr>
          <w:rFonts w:ascii="Arial" w:hAnsi="Arial" w:cs="Arial"/>
          <w:szCs w:val="24"/>
        </w:rPr>
      </w:pPr>
      <w:r w:rsidRPr="003F67E3">
        <w:rPr>
          <w:rFonts w:ascii="Arial" w:hAnsi="Arial" w:cs="Arial"/>
          <w:szCs w:val="24"/>
        </w:rPr>
        <w:t>Despite its strengths, this methodology has certain limitations. The reliance on secondary sources means that the study does not incorporate the lived experiences of tourists or the operational perspectives of tourism businesses. Additionally, variations in enforcement capacity across jurisdictions may limit the generalisability of findings. However, these limitations do not undermine the validity of the research, as its primary aim is to provide a legal and regulatory analysis rather than empirical measurement.</w:t>
      </w:r>
    </w:p>
    <w:p w14:paraId="02134082" w14:textId="77777777" w:rsidR="003F67E3" w:rsidRPr="003F67E3" w:rsidRDefault="003F67E3" w:rsidP="003F67E3">
      <w:pPr>
        <w:spacing w:line="480" w:lineRule="auto"/>
        <w:rPr>
          <w:rFonts w:ascii="Arial" w:hAnsi="Arial" w:cs="Arial"/>
          <w:szCs w:val="24"/>
        </w:rPr>
      </w:pPr>
      <w:r w:rsidRPr="003F67E3">
        <w:rPr>
          <w:rFonts w:ascii="Arial" w:hAnsi="Arial" w:cs="Arial"/>
          <w:szCs w:val="24"/>
        </w:rPr>
        <w:lastRenderedPageBreak/>
        <w:t xml:space="preserve">Overall, the chosen methodology provides a rigorous framework for evaluating consumer protection laws in the tourism industry and supports a structured analysis of </w:t>
      </w:r>
      <w:proofErr w:type="spellStart"/>
      <w:r w:rsidRPr="003F67E3">
        <w:rPr>
          <w:rFonts w:ascii="Arial" w:hAnsi="Arial" w:cs="Arial"/>
          <w:szCs w:val="24"/>
        </w:rPr>
        <w:t>travelers’</w:t>
      </w:r>
      <w:proofErr w:type="spellEnd"/>
      <w:r w:rsidRPr="003F67E3">
        <w:rPr>
          <w:rFonts w:ascii="Arial" w:hAnsi="Arial" w:cs="Arial"/>
          <w:szCs w:val="24"/>
        </w:rPr>
        <w:t xml:space="preserve"> rights and business obligations.</w:t>
      </w:r>
    </w:p>
    <w:p w14:paraId="609B0C5C" w14:textId="379E5FF1" w:rsidR="0033247F" w:rsidRPr="00825F73" w:rsidRDefault="0033247F" w:rsidP="003F67E3">
      <w:pPr>
        <w:spacing w:line="480" w:lineRule="auto"/>
        <w:rPr>
          <w:rStyle w:val="Heading1Char"/>
          <w:rFonts w:ascii="Arial" w:hAnsi="Arial" w:cs="Arial"/>
          <w:b/>
          <w:bCs/>
          <w:color w:val="auto"/>
          <w:sz w:val="24"/>
          <w:szCs w:val="24"/>
        </w:rPr>
      </w:pPr>
    </w:p>
    <w:p w14:paraId="258695B1" w14:textId="77777777" w:rsidR="008125F0" w:rsidRPr="00825F73" w:rsidRDefault="008125F0" w:rsidP="003A5BF6">
      <w:pPr>
        <w:spacing w:line="480" w:lineRule="auto"/>
        <w:rPr>
          <w:rStyle w:val="Heading1Char"/>
          <w:rFonts w:ascii="Arial" w:hAnsi="Arial" w:cs="Arial"/>
          <w:b/>
          <w:bCs/>
          <w:color w:val="auto"/>
          <w:sz w:val="24"/>
          <w:szCs w:val="24"/>
        </w:rPr>
      </w:pPr>
    </w:p>
    <w:p w14:paraId="2F744928" w14:textId="77777777" w:rsidR="0033247F" w:rsidRPr="00825F73" w:rsidRDefault="0033247F" w:rsidP="003A5BF6">
      <w:pPr>
        <w:spacing w:line="480" w:lineRule="auto"/>
        <w:rPr>
          <w:rStyle w:val="Heading1Char"/>
          <w:rFonts w:ascii="Arial" w:hAnsi="Arial" w:cs="Arial"/>
          <w:b/>
          <w:bCs/>
          <w:color w:val="auto"/>
          <w:sz w:val="24"/>
          <w:szCs w:val="24"/>
        </w:rPr>
      </w:pPr>
    </w:p>
    <w:p w14:paraId="42BBF498" w14:textId="77777777" w:rsidR="00D92241" w:rsidRPr="00825F73" w:rsidRDefault="00D92241" w:rsidP="003A5BF6">
      <w:pPr>
        <w:spacing w:line="480" w:lineRule="auto"/>
        <w:rPr>
          <w:rStyle w:val="Heading1Char"/>
          <w:rFonts w:ascii="Arial" w:hAnsi="Arial" w:cs="Arial"/>
          <w:b/>
          <w:bCs/>
          <w:color w:val="auto"/>
          <w:sz w:val="24"/>
          <w:szCs w:val="24"/>
        </w:rPr>
      </w:pPr>
    </w:p>
    <w:p w14:paraId="7829A4C3" w14:textId="77777777" w:rsidR="00D92241" w:rsidRPr="00825F73" w:rsidRDefault="00D92241" w:rsidP="003A5BF6">
      <w:pPr>
        <w:spacing w:line="480" w:lineRule="auto"/>
        <w:rPr>
          <w:rStyle w:val="Heading1Char"/>
          <w:rFonts w:ascii="Arial" w:hAnsi="Arial" w:cs="Arial"/>
          <w:b/>
          <w:bCs/>
          <w:color w:val="auto"/>
          <w:sz w:val="24"/>
          <w:szCs w:val="24"/>
        </w:rPr>
      </w:pPr>
    </w:p>
    <w:p w14:paraId="2E596AEC" w14:textId="77777777" w:rsidR="00D92241" w:rsidRPr="00825F73" w:rsidRDefault="00D92241" w:rsidP="003A5BF6">
      <w:pPr>
        <w:spacing w:line="480" w:lineRule="auto"/>
        <w:rPr>
          <w:rStyle w:val="Heading1Char"/>
          <w:rFonts w:ascii="Arial" w:hAnsi="Arial" w:cs="Arial"/>
          <w:b/>
          <w:bCs/>
          <w:color w:val="auto"/>
          <w:sz w:val="24"/>
          <w:szCs w:val="24"/>
        </w:rPr>
      </w:pPr>
    </w:p>
    <w:p w14:paraId="0A4288D5" w14:textId="77777777" w:rsidR="0033247F" w:rsidRPr="00825F73" w:rsidRDefault="0033247F" w:rsidP="003A5BF6">
      <w:pPr>
        <w:spacing w:line="480" w:lineRule="auto"/>
        <w:rPr>
          <w:rStyle w:val="Heading1Char"/>
          <w:rFonts w:ascii="Arial" w:hAnsi="Arial" w:cs="Arial"/>
          <w:b/>
          <w:bCs/>
          <w:color w:val="auto"/>
          <w:sz w:val="24"/>
          <w:szCs w:val="24"/>
        </w:rPr>
      </w:pPr>
    </w:p>
    <w:p w14:paraId="273E8125" w14:textId="77777777" w:rsidR="0033247F" w:rsidRDefault="0033247F" w:rsidP="003A5BF6">
      <w:pPr>
        <w:spacing w:line="480" w:lineRule="auto"/>
        <w:rPr>
          <w:rStyle w:val="Heading1Char"/>
          <w:rFonts w:ascii="Arial" w:hAnsi="Arial" w:cs="Arial"/>
          <w:b/>
          <w:bCs/>
          <w:color w:val="auto"/>
          <w:sz w:val="24"/>
          <w:szCs w:val="24"/>
        </w:rPr>
      </w:pPr>
    </w:p>
    <w:p w14:paraId="47873462" w14:textId="77777777" w:rsidR="003F67E3" w:rsidRDefault="003F67E3" w:rsidP="003A5BF6">
      <w:pPr>
        <w:spacing w:line="480" w:lineRule="auto"/>
        <w:rPr>
          <w:rStyle w:val="Heading1Char"/>
          <w:rFonts w:ascii="Arial" w:hAnsi="Arial" w:cs="Arial"/>
          <w:b/>
          <w:bCs/>
          <w:color w:val="auto"/>
          <w:sz w:val="24"/>
          <w:szCs w:val="24"/>
        </w:rPr>
      </w:pPr>
    </w:p>
    <w:p w14:paraId="50F4DA3D" w14:textId="77777777" w:rsidR="003F67E3" w:rsidRDefault="003F67E3" w:rsidP="003A5BF6">
      <w:pPr>
        <w:spacing w:line="480" w:lineRule="auto"/>
        <w:rPr>
          <w:rStyle w:val="Heading1Char"/>
          <w:rFonts w:ascii="Arial" w:hAnsi="Arial" w:cs="Arial"/>
          <w:b/>
          <w:bCs/>
          <w:color w:val="auto"/>
          <w:sz w:val="24"/>
          <w:szCs w:val="24"/>
        </w:rPr>
      </w:pPr>
    </w:p>
    <w:p w14:paraId="335665FF" w14:textId="77777777" w:rsidR="003F67E3" w:rsidRDefault="003F67E3" w:rsidP="003A5BF6">
      <w:pPr>
        <w:spacing w:line="480" w:lineRule="auto"/>
        <w:rPr>
          <w:rStyle w:val="Heading1Char"/>
          <w:rFonts w:ascii="Arial" w:hAnsi="Arial" w:cs="Arial"/>
          <w:b/>
          <w:bCs/>
          <w:color w:val="auto"/>
          <w:sz w:val="24"/>
          <w:szCs w:val="24"/>
        </w:rPr>
      </w:pPr>
    </w:p>
    <w:p w14:paraId="037236FF" w14:textId="77777777" w:rsidR="003F67E3" w:rsidRDefault="003F67E3" w:rsidP="003A5BF6">
      <w:pPr>
        <w:spacing w:line="480" w:lineRule="auto"/>
        <w:rPr>
          <w:rStyle w:val="Heading1Char"/>
          <w:rFonts w:ascii="Arial" w:hAnsi="Arial" w:cs="Arial"/>
          <w:b/>
          <w:bCs/>
          <w:color w:val="auto"/>
          <w:sz w:val="24"/>
          <w:szCs w:val="24"/>
        </w:rPr>
      </w:pPr>
    </w:p>
    <w:p w14:paraId="5BC552FB" w14:textId="77777777" w:rsidR="003F67E3" w:rsidRDefault="003F67E3" w:rsidP="003A5BF6">
      <w:pPr>
        <w:spacing w:line="480" w:lineRule="auto"/>
        <w:rPr>
          <w:rStyle w:val="Heading1Char"/>
          <w:rFonts w:ascii="Arial" w:hAnsi="Arial" w:cs="Arial"/>
          <w:b/>
          <w:bCs/>
          <w:color w:val="auto"/>
          <w:sz w:val="24"/>
          <w:szCs w:val="24"/>
        </w:rPr>
      </w:pPr>
    </w:p>
    <w:p w14:paraId="6727AAF3" w14:textId="77777777" w:rsidR="003F67E3" w:rsidRDefault="003F67E3" w:rsidP="003A5BF6">
      <w:pPr>
        <w:spacing w:line="480" w:lineRule="auto"/>
        <w:rPr>
          <w:rStyle w:val="Heading1Char"/>
          <w:rFonts w:ascii="Arial" w:hAnsi="Arial" w:cs="Arial"/>
          <w:b/>
          <w:bCs/>
          <w:color w:val="auto"/>
          <w:sz w:val="24"/>
          <w:szCs w:val="24"/>
        </w:rPr>
      </w:pPr>
    </w:p>
    <w:p w14:paraId="69C3B269" w14:textId="77777777" w:rsidR="003F67E3" w:rsidRPr="00825F73" w:rsidRDefault="003F67E3" w:rsidP="003A5BF6">
      <w:pPr>
        <w:spacing w:line="480" w:lineRule="auto"/>
        <w:rPr>
          <w:rStyle w:val="Heading1Char"/>
          <w:rFonts w:ascii="Arial" w:hAnsi="Arial" w:cs="Arial"/>
          <w:b/>
          <w:bCs/>
          <w:color w:val="auto"/>
          <w:sz w:val="24"/>
          <w:szCs w:val="24"/>
        </w:rPr>
      </w:pPr>
    </w:p>
    <w:p w14:paraId="2B1EBA3D" w14:textId="77777777" w:rsidR="0033247F" w:rsidRPr="00825F73" w:rsidRDefault="0033247F" w:rsidP="003A5BF6">
      <w:pPr>
        <w:spacing w:line="480" w:lineRule="auto"/>
        <w:rPr>
          <w:rStyle w:val="Heading1Char"/>
          <w:rFonts w:ascii="Arial" w:hAnsi="Arial" w:cs="Arial"/>
          <w:b/>
          <w:bCs/>
          <w:color w:val="auto"/>
          <w:sz w:val="24"/>
          <w:szCs w:val="24"/>
        </w:rPr>
      </w:pPr>
    </w:p>
    <w:p w14:paraId="33BFA5F9" w14:textId="66A174C3" w:rsidR="00C82410" w:rsidRPr="00825F73" w:rsidRDefault="00A433D7" w:rsidP="00AB5112">
      <w:pPr>
        <w:spacing w:line="480" w:lineRule="auto"/>
        <w:rPr>
          <w:rStyle w:val="Heading1Char"/>
          <w:rFonts w:ascii="Arial" w:hAnsi="Arial" w:cs="Arial"/>
          <w:b/>
          <w:bCs/>
          <w:color w:val="auto"/>
          <w:sz w:val="24"/>
          <w:szCs w:val="24"/>
        </w:rPr>
      </w:pPr>
      <w:bookmarkStart w:id="4" w:name="_Toc221201958"/>
      <w:r w:rsidRPr="00825F73">
        <w:rPr>
          <w:rStyle w:val="Heading1Char"/>
          <w:rFonts w:ascii="Arial" w:hAnsi="Arial" w:cs="Arial"/>
          <w:b/>
          <w:bCs/>
          <w:color w:val="auto"/>
          <w:sz w:val="24"/>
          <w:szCs w:val="24"/>
        </w:rPr>
        <w:lastRenderedPageBreak/>
        <w:t>4</w:t>
      </w:r>
      <w:r w:rsidR="00582227" w:rsidRPr="00825F73">
        <w:rPr>
          <w:rStyle w:val="Heading1Char"/>
          <w:rFonts w:ascii="Arial" w:hAnsi="Arial" w:cs="Arial"/>
          <w:b/>
          <w:bCs/>
          <w:color w:val="auto"/>
          <w:sz w:val="24"/>
          <w:szCs w:val="24"/>
        </w:rPr>
        <w:t xml:space="preserve"> </w:t>
      </w:r>
      <w:r w:rsidR="00160E9C" w:rsidRPr="00825F73">
        <w:rPr>
          <w:rStyle w:val="Heading1Char"/>
          <w:rFonts w:ascii="Arial" w:hAnsi="Arial" w:cs="Arial"/>
          <w:b/>
          <w:bCs/>
          <w:color w:val="auto"/>
          <w:sz w:val="24"/>
          <w:szCs w:val="24"/>
        </w:rPr>
        <w:t>Finding</w:t>
      </w:r>
      <w:bookmarkEnd w:id="4"/>
    </w:p>
    <w:p w14:paraId="6D72ED66"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The analysis of legal frameworks, policy reports, and academic literature reveals that consumer protection laws play a decisive role in addressing the inherent risks and inequalities present within the tourism industry. One of the most prominent findings is that tourism consumers experience a heightened level of vulnerability compared to consumers in many other sectors. This vulnerability arises primarily from advance payment requirements, reliance on promotional information, and limited opportunities to negotiate contractual terms. Consumer protection laws directly respond to these challenges by imposing mandatory standards that restrict unfair business practices and protect </w:t>
      </w:r>
      <w:proofErr w:type="spellStart"/>
      <w:r w:rsidRPr="003900F7">
        <w:rPr>
          <w:rFonts w:ascii="Arial" w:hAnsi="Arial" w:cs="Arial"/>
          <w:szCs w:val="24"/>
        </w:rPr>
        <w:t>travelers’</w:t>
      </w:r>
      <w:proofErr w:type="spellEnd"/>
      <w:r w:rsidRPr="003900F7">
        <w:rPr>
          <w:rFonts w:ascii="Arial" w:hAnsi="Arial" w:cs="Arial"/>
          <w:szCs w:val="24"/>
        </w:rPr>
        <w:t xml:space="preserve"> interests (Howells et al., 2018).</w:t>
      </w:r>
    </w:p>
    <w:p w14:paraId="6D0A5FDB"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A key finding relates to the </w:t>
      </w:r>
      <w:r w:rsidRPr="003900F7">
        <w:rPr>
          <w:rFonts w:ascii="Arial" w:hAnsi="Arial" w:cs="Arial"/>
          <w:b/>
          <w:bCs/>
          <w:szCs w:val="24"/>
        </w:rPr>
        <w:t xml:space="preserve">expansion of </w:t>
      </w:r>
      <w:proofErr w:type="spellStart"/>
      <w:r w:rsidRPr="003900F7">
        <w:rPr>
          <w:rFonts w:ascii="Arial" w:hAnsi="Arial" w:cs="Arial"/>
          <w:b/>
          <w:bCs/>
          <w:szCs w:val="24"/>
        </w:rPr>
        <w:t>travelers’</w:t>
      </w:r>
      <w:proofErr w:type="spellEnd"/>
      <w:r w:rsidRPr="003900F7">
        <w:rPr>
          <w:rFonts w:ascii="Arial" w:hAnsi="Arial" w:cs="Arial"/>
          <w:b/>
          <w:bCs/>
          <w:szCs w:val="24"/>
        </w:rPr>
        <w:t xml:space="preserve"> statutory rights</w:t>
      </w:r>
      <w:r w:rsidRPr="003900F7">
        <w:rPr>
          <w:rFonts w:ascii="Arial" w:hAnsi="Arial" w:cs="Arial"/>
          <w:szCs w:val="24"/>
        </w:rPr>
        <w:t xml:space="preserve">. Consumer protection legislation ensures that tourists have enforceable rights to accurate information, transparent pricing, and fair contractual conditions. These statutory rights often override contractual clauses that attempt to limit liability or impose disproportionate obligations on consumers. The findings indicate that such legal intervention significantly reduces power imbalances between tourism service providers and </w:t>
      </w:r>
      <w:proofErr w:type="spellStart"/>
      <w:r w:rsidRPr="003900F7">
        <w:rPr>
          <w:rFonts w:ascii="Arial" w:hAnsi="Arial" w:cs="Arial"/>
          <w:szCs w:val="24"/>
        </w:rPr>
        <w:t>travelers</w:t>
      </w:r>
      <w:proofErr w:type="spellEnd"/>
      <w:r w:rsidRPr="003900F7">
        <w:rPr>
          <w:rFonts w:ascii="Arial" w:hAnsi="Arial" w:cs="Arial"/>
          <w:szCs w:val="24"/>
        </w:rPr>
        <w:t>, particularly in mass tourism and online booking contexts (</w:t>
      </w:r>
      <w:proofErr w:type="spellStart"/>
      <w:r w:rsidRPr="003900F7">
        <w:rPr>
          <w:rFonts w:ascii="Arial" w:hAnsi="Arial" w:cs="Arial"/>
          <w:szCs w:val="24"/>
        </w:rPr>
        <w:t>Micklitz</w:t>
      </w:r>
      <w:proofErr w:type="spellEnd"/>
      <w:r w:rsidRPr="003900F7">
        <w:rPr>
          <w:rFonts w:ascii="Arial" w:hAnsi="Arial" w:cs="Arial"/>
          <w:szCs w:val="24"/>
        </w:rPr>
        <w:t>, 2015).</w:t>
      </w:r>
    </w:p>
    <w:p w14:paraId="420C53DD"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Another important finding concerns the regulation of </w:t>
      </w:r>
      <w:r w:rsidRPr="003900F7">
        <w:rPr>
          <w:rFonts w:ascii="Arial" w:hAnsi="Arial" w:cs="Arial"/>
          <w:b/>
          <w:bCs/>
          <w:szCs w:val="24"/>
        </w:rPr>
        <w:t>misleading advertising and pricing practices</w:t>
      </w:r>
      <w:r w:rsidRPr="003900F7">
        <w:rPr>
          <w:rFonts w:ascii="Arial" w:hAnsi="Arial" w:cs="Arial"/>
          <w:szCs w:val="24"/>
        </w:rPr>
        <w:t xml:space="preserve">. The literature consistently identifies deceptive marketing, hidden charges, and unclear cancellation policies as major sources of consumer dissatisfaction in tourism markets. Consumer protection laws increasingly classify misleading omissions—such as failure to disclose mandatory fees or service restrictions—as unlawful conduct. This approach reflects a regulatory emphasis on transparency and </w:t>
      </w:r>
      <w:r w:rsidRPr="003900F7">
        <w:rPr>
          <w:rFonts w:ascii="Arial" w:hAnsi="Arial" w:cs="Arial"/>
          <w:szCs w:val="24"/>
        </w:rPr>
        <w:lastRenderedPageBreak/>
        <w:t>informed consumer decision-making, especially in digital tourism environments where information overload is common (</w:t>
      </w:r>
      <w:proofErr w:type="spellStart"/>
      <w:r w:rsidRPr="003900F7">
        <w:rPr>
          <w:rFonts w:ascii="Arial" w:hAnsi="Arial" w:cs="Arial"/>
          <w:szCs w:val="24"/>
        </w:rPr>
        <w:t>Neuhofer</w:t>
      </w:r>
      <w:proofErr w:type="spellEnd"/>
      <w:r w:rsidRPr="003900F7">
        <w:rPr>
          <w:rFonts w:ascii="Arial" w:hAnsi="Arial" w:cs="Arial"/>
          <w:szCs w:val="24"/>
        </w:rPr>
        <w:t xml:space="preserve"> et al., 2015).</w:t>
      </w:r>
    </w:p>
    <w:p w14:paraId="6DFA1023"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The findings further highlight the </w:t>
      </w:r>
      <w:r w:rsidRPr="003900F7">
        <w:rPr>
          <w:rFonts w:ascii="Arial" w:hAnsi="Arial" w:cs="Arial"/>
          <w:b/>
          <w:bCs/>
          <w:szCs w:val="24"/>
        </w:rPr>
        <w:t>significance of package travel regulation</w:t>
      </w:r>
      <w:r w:rsidRPr="003900F7">
        <w:rPr>
          <w:rFonts w:ascii="Arial" w:hAnsi="Arial" w:cs="Arial"/>
          <w:szCs w:val="24"/>
        </w:rPr>
        <w:t xml:space="preserve"> in strengthening consumer protection. Package travel laws simplify complex travel arrangements by assigning responsibility to a single organiser for the performance of all services included in the package. This legal structure reduces uncertainty for consumers, who might otherwise face difficulties pursuing claims against multiple suppliers across jurisdictions. Evidence from policy analysis suggests that package travel frameworks have improved access to refunds, compensation, and assistance during travel disruptions (Page &amp; Connell, 2020).</w:t>
      </w:r>
    </w:p>
    <w:p w14:paraId="2D49FA2A"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Safety and service quality emerge as another critical dimension of consumer protection in tourism. Tourism services often involve transportation, accommodation, and recreational activities that carry physical and psychological risks. The analysis shows that consumer protection laws complement sector-specific safety regulations by imposing minimum standards of care and quality that cannot be excluded by contract. This has been particularly relevant in emerging tourism sectors, such as adventure tourism and peer-to-peer accommodation, where regulatory oversight has struggled to keep pace with rapid market innovation (Hall et al., 2015).</w:t>
      </w:r>
    </w:p>
    <w:p w14:paraId="0A0EE305"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The findings also indicate that consumer protection laws impose </w:t>
      </w:r>
      <w:r w:rsidRPr="003900F7">
        <w:rPr>
          <w:rFonts w:ascii="Arial" w:hAnsi="Arial" w:cs="Arial"/>
          <w:b/>
          <w:bCs/>
          <w:szCs w:val="24"/>
        </w:rPr>
        <w:t>expanded compliance obligations on tourism service providers</w:t>
      </w:r>
      <w:r w:rsidRPr="003900F7">
        <w:rPr>
          <w:rFonts w:ascii="Arial" w:hAnsi="Arial" w:cs="Arial"/>
          <w:szCs w:val="24"/>
        </w:rPr>
        <w:t xml:space="preserve">. Businesses are required to ensure truthful advertising, transparent pricing, fair contractual terms, and accessible complaint-handling mechanisms. Failure to meet these obligations may result in enforcement action, financial penalties, and reputational harm. This deterrent effect </w:t>
      </w:r>
      <w:r w:rsidRPr="003900F7">
        <w:rPr>
          <w:rFonts w:ascii="Arial" w:hAnsi="Arial" w:cs="Arial"/>
          <w:szCs w:val="24"/>
        </w:rPr>
        <w:lastRenderedPageBreak/>
        <w:t>encourages ethical conduct and promotes higher service standards across the tourism industry (OECD, 2021).</w:t>
      </w:r>
    </w:p>
    <w:p w14:paraId="7827EE69"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Finally, the analysis identifies the growing importance of </w:t>
      </w:r>
      <w:r w:rsidRPr="003900F7">
        <w:rPr>
          <w:rFonts w:ascii="Arial" w:hAnsi="Arial" w:cs="Arial"/>
          <w:b/>
          <w:bCs/>
          <w:szCs w:val="24"/>
        </w:rPr>
        <w:t>consumer redress mechanisms</w:t>
      </w:r>
      <w:r w:rsidRPr="003900F7">
        <w:rPr>
          <w:rFonts w:ascii="Arial" w:hAnsi="Arial" w:cs="Arial"/>
          <w:szCs w:val="24"/>
        </w:rPr>
        <w:t xml:space="preserve">, particularly alternative dispute resolution (ADR). ADR mechanisms are widely promoted as efficient and cost-effective means of resolving tourism disputes, especially in cross-border situations. However, the findings reveal ongoing concerns regarding accessibility, consumer awareness, and procedural fairness. Mandatory ADR clauses may disadvantage </w:t>
      </w:r>
      <w:proofErr w:type="spellStart"/>
      <w:r w:rsidRPr="003900F7">
        <w:rPr>
          <w:rFonts w:ascii="Arial" w:hAnsi="Arial" w:cs="Arial"/>
          <w:szCs w:val="24"/>
        </w:rPr>
        <w:t>travelers</w:t>
      </w:r>
      <w:proofErr w:type="spellEnd"/>
      <w:r w:rsidRPr="003900F7">
        <w:rPr>
          <w:rFonts w:ascii="Arial" w:hAnsi="Arial" w:cs="Arial"/>
          <w:szCs w:val="24"/>
        </w:rPr>
        <w:t xml:space="preserve"> if they restrict access to courts or impose unfamiliar dispute resolution procedures (Spencer, 2020).</w:t>
      </w:r>
    </w:p>
    <w:p w14:paraId="2EF229CE" w14:textId="77777777" w:rsidR="003900F7" w:rsidRPr="003900F7" w:rsidRDefault="003900F7" w:rsidP="003900F7">
      <w:pPr>
        <w:spacing w:line="480" w:lineRule="auto"/>
        <w:rPr>
          <w:rFonts w:ascii="Arial" w:hAnsi="Arial" w:cs="Arial"/>
          <w:szCs w:val="24"/>
        </w:rPr>
      </w:pPr>
      <w:r w:rsidRPr="003900F7">
        <w:rPr>
          <w:rFonts w:ascii="Arial" w:hAnsi="Arial" w:cs="Arial"/>
          <w:szCs w:val="24"/>
        </w:rPr>
        <w:t xml:space="preserve">Overall, the findings confirm that consumer protection laws are essential in mitigating the structural risks inherent in tourism transactions. By enhancing transparency, enforcing safety and quality standards, and providing effective avenues for redress, these laws strengthen </w:t>
      </w:r>
      <w:proofErr w:type="spellStart"/>
      <w:r w:rsidRPr="003900F7">
        <w:rPr>
          <w:rFonts w:ascii="Arial" w:hAnsi="Arial" w:cs="Arial"/>
          <w:szCs w:val="24"/>
        </w:rPr>
        <w:t>traveler</w:t>
      </w:r>
      <w:proofErr w:type="spellEnd"/>
      <w:r w:rsidRPr="003900F7">
        <w:rPr>
          <w:rFonts w:ascii="Arial" w:hAnsi="Arial" w:cs="Arial"/>
          <w:szCs w:val="24"/>
        </w:rPr>
        <w:t xml:space="preserve"> confidence and contribute to fair and sustainable tourism markets.</w:t>
      </w:r>
    </w:p>
    <w:p w14:paraId="7741BD77" w14:textId="77777777" w:rsidR="008125F0" w:rsidRPr="00825F73" w:rsidRDefault="008125F0" w:rsidP="008C18CC">
      <w:pPr>
        <w:spacing w:line="480" w:lineRule="auto"/>
        <w:rPr>
          <w:rStyle w:val="Heading1Char"/>
          <w:rFonts w:ascii="Arial" w:hAnsi="Arial" w:cs="Arial"/>
          <w:b/>
          <w:bCs/>
          <w:color w:val="auto"/>
          <w:sz w:val="24"/>
          <w:szCs w:val="24"/>
        </w:rPr>
      </w:pPr>
    </w:p>
    <w:p w14:paraId="34F032B3" w14:textId="77777777" w:rsidR="008125F0" w:rsidRPr="00825F73" w:rsidRDefault="008125F0" w:rsidP="008C18CC">
      <w:pPr>
        <w:spacing w:line="480" w:lineRule="auto"/>
        <w:rPr>
          <w:rStyle w:val="Heading1Char"/>
          <w:rFonts w:ascii="Arial" w:hAnsi="Arial" w:cs="Arial"/>
          <w:b/>
          <w:bCs/>
          <w:color w:val="auto"/>
          <w:sz w:val="24"/>
          <w:szCs w:val="24"/>
        </w:rPr>
      </w:pPr>
    </w:p>
    <w:p w14:paraId="2918CFA9" w14:textId="77777777" w:rsidR="0033247F" w:rsidRPr="00825F73" w:rsidRDefault="0033247F" w:rsidP="008C18CC">
      <w:pPr>
        <w:spacing w:line="480" w:lineRule="auto"/>
        <w:rPr>
          <w:rStyle w:val="Heading1Char"/>
          <w:rFonts w:ascii="Arial" w:hAnsi="Arial" w:cs="Arial"/>
          <w:b/>
          <w:bCs/>
          <w:color w:val="auto"/>
          <w:sz w:val="24"/>
          <w:szCs w:val="24"/>
        </w:rPr>
      </w:pPr>
    </w:p>
    <w:p w14:paraId="27070575" w14:textId="77777777" w:rsidR="0033247F" w:rsidRPr="00825F73" w:rsidRDefault="0033247F" w:rsidP="008C18CC">
      <w:pPr>
        <w:spacing w:line="480" w:lineRule="auto"/>
        <w:rPr>
          <w:rStyle w:val="Heading1Char"/>
          <w:rFonts w:ascii="Arial" w:hAnsi="Arial" w:cs="Arial"/>
          <w:b/>
          <w:bCs/>
          <w:color w:val="auto"/>
          <w:sz w:val="24"/>
          <w:szCs w:val="24"/>
        </w:rPr>
      </w:pPr>
    </w:p>
    <w:p w14:paraId="0193BA4E" w14:textId="77777777" w:rsidR="0033247F" w:rsidRPr="00825F73" w:rsidRDefault="0033247F" w:rsidP="008C18CC">
      <w:pPr>
        <w:spacing w:line="480" w:lineRule="auto"/>
        <w:rPr>
          <w:rStyle w:val="Heading1Char"/>
          <w:rFonts w:ascii="Arial" w:hAnsi="Arial" w:cs="Arial"/>
          <w:b/>
          <w:bCs/>
          <w:color w:val="auto"/>
          <w:sz w:val="24"/>
          <w:szCs w:val="24"/>
        </w:rPr>
      </w:pPr>
    </w:p>
    <w:p w14:paraId="2667AE76" w14:textId="77777777" w:rsidR="0033247F" w:rsidRPr="00825F73" w:rsidRDefault="0033247F" w:rsidP="008C18CC">
      <w:pPr>
        <w:spacing w:line="480" w:lineRule="auto"/>
        <w:rPr>
          <w:rStyle w:val="Heading1Char"/>
          <w:rFonts w:ascii="Arial" w:hAnsi="Arial" w:cs="Arial"/>
          <w:b/>
          <w:bCs/>
          <w:color w:val="auto"/>
          <w:sz w:val="24"/>
          <w:szCs w:val="24"/>
        </w:rPr>
      </w:pPr>
    </w:p>
    <w:p w14:paraId="0CD9F296" w14:textId="77777777" w:rsidR="00763D1C" w:rsidRPr="00825F73" w:rsidRDefault="00763D1C" w:rsidP="008C18CC">
      <w:pPr>
        <w:spacing w:line="480" w:lineRule="auto"/>
        <w:rPr>
          <w:rStyle w:val="Heading1Char"/>
          <w:rFonts w:ascii="Arial" w:hAnsi="Arial" w:cs="Arial"/>
          <w:b/>
          <w:bCs/>
          <w:color w:val="auto"/>
          <w:sz w:val="24"/>
          <w:szCs w:val="24"/>
        </w:rPr>
      </w:pPr>
    </w:p>
    <w:p w14:paraId="7F6A391A" w14:textId="77777777" w:rsidR="00ED5513" w:rsidRPr="00ED5513" w:rsidRDefault="00496E55" w:rsidP="00ED5513">
      <w:pPr>
        <w:spacing w:line="480" w:lineRule="auto"/>
        <w:rPr>
          <w:rFonts w:ascii="Arial" w:hAnsi="Arial" w:cs="Arial"/>
          <w:szCs w:val="24"/>
        </w:rPr>
      </w:pPr>
      <w:bookmarkStart w:id="5" w:name="_Toc221201959"/>
      <w:r w:rsidRPr="00825F73">
        <w:rPr>
          <w:rStyle w:val="Heading1Char"/>
          <w:rFonts w:ascii="Arial" w:hAnsi="Arial" w:cs="Arial"/>
          <w:b/>
          <w:bCs/>
          <w:color w:val="auto"/>
          <w:sz w:val="24"/>
          <w:szCs w:val="24"/>
        </w:rPr>
        <w:lastRenderedPageBreak/>
        <w:t>5</w:t>
      </w:r>
      <w:r w:rsidR="00F11085" w:rsidRPr="00825F73">
        <w:rPr>
          <w:rStyle w:val="Heading1Char"/>
          <w:rFonts w:ascii="Arial" w:hAnsi="Arial" w:cs="Arial"/>
          <w:b/>
          <w:bCs/>
          <w:color w:val="auto"/>
          <w:sz w:val="24"/>
          <w:szCs w:val="24"/>
        </w:rPr>
        <w:t>. Discussion</w:t>
      </w:r>
      <w:bookmarkEnd w:id="5"/>
      <w:r w:rsidR="00F11085" w:rsidRPr="00825F73">
        <w:rPr>
          <w:rFonts w:ascii="Arial" w:hAnsi="Arial" w:cs="Arial"/>
          <w:szCs w:val="24"/>
        </w:rPr>
        <w:t xml:space="preserve"> </w:t>
      </w:r>
      <w:r w:rsidR="00F11085" w:rsidRPr="00825F73">
        <w:rPr>
          <w:rFonts w:ascii="Arial" w:hAnsi="Arial" w:cs="Arial"/>
          <w:szCs w:val="24"/>
        </w:rPr>
        <w:br/>
      </w:r>
      <w:r w:rsidR="00ED5513" w:rsidRPr="00ED5513">
        <w:rPr>
          <w:rFonts w:ascii="Arial" w:hAnsi="Arial" w:cs="Arial"/>
          <w:szCs w:val="24"/>
        </w:rPr>
        <w:t xml:space="preserve">The findings of this study reaffirm the critical role of consumer protection laws in addressing the structural imbalances inherent in tourism markets. Tourism transactions differ fundamentally from conventional consumer activities due to advance payment requirements, delayed consumption, and cross-border service provision. These characteristics create persistent vulnerabilities for </w:t>
      </w:r>
      <w:proofErr w:type="spellStart"/>
      <w:r w:rsidR="00ED5513" w:rsidRPr="00ED5513">
        <w:rPr>
          <w:rFonts w:ascii="Arial" w:hAnsi="Arial" w:cs="Arial"/>
          <w:szCs w:val="24"/>
        </w:rPr>
        <w:t>travelers</w:t>
      </w:r>
      <w:proofErr w:type="spellEnd"/>
      <w:r w:rsidR="00ED5513" w:rsidRPr="00ED5513">
        <w:rPr>
          <w:rFonts w:ascii="Arial" w:hAnsi="Arial" w:cs="Arial"/>
          <w:szCs w:val="24"/>
        </w:rPr>
        <w:t>, which cannot be adequately addressed through traditional contract law alone. Consumer protection laws therefore function as essential regulatory tools that restore balance between tourism service providers and consumers (Howells et al., 2018).</w:t>
      </w:r>
    </w:p>
    <w:p w14:paraId="291D99AD" w14:textId="77777777" w:rsidR="00ED5513" w:rsidRPr="00ED5513" w:rsidRDefault="00ED5513" w:rsidP="00ED5513">
      <w:pPr>
        <w:spacing w:line="480" w:lineRule="auto"/>
        <w:rPr>
          <w:rFonts w:ascii="Arial" w:hAnsi="Arial" w:cs="Arial"/>
          <w:szCs w:val="24"/>
        </w:rPr>
      </w:pPr>
      <w:r w:rsidRPr="00ED5513">
        <w:rPr>
          <w:rFonts w:ascii="Arial" w:hAnsi="Arial" w:cs="Arial"/>
          <w:szCs w:val="24"/>
        </w:rPr>
        <w:t>One of the most significant issues emerging from the findings is the prevalence of information asymmetry in tourism markets. Tourists often rely on promotional content, digital platforms, and intermediaries when selecting travel services. While digitalisation has expanded access to information, it has also increased the likelihood of misleading representations, selective disclosure, and opaque pricing structures. The regulatory emphasis on transparency and truthful advertising reflects recognition that informed consumer choice is a prerequisite for fair market participation (</w:t>
      </w:r>
      <w:proofErr w:type="spellStart"/>
      <w:r w:rsidRPr="00ED5513">
        <w:rPr>
          <w:rFonts w:ascii="Arial" w:hAnsi="Arial" w:cs="Arial"/>
          <w:szCs w:val="24"/>
        </w:rPr>
        <w:t>Neuhofer</w:t>
      </w:r>
      <w:proofErr w:type="spellEnd"/>
      <w:r w:rsidRPr="00ED5513">
        <w:rPr>
          <w:rFonts w:ascii="Arial" w:hAnsi="Arial" w:cs="Arial"/>
          <w:szCs w:val="24"/>
        </w:rPr>
        <w:t xml:space="preserve"> et al., 2015). Consumer protection laws thus shift responsibility onto tourism businesses to ensure that information provided to consumers is accurate, complete, and not misleading.</w:t>
      </w:r>
    </w:p>
    <w:p w14:paraId="6F9D45CE" w14:textId="77777777" w:rsidR="00ED5513" w:rsidRPr="00ED5513" w:rsidRDefault="00ED5513" w:rsidP="00ED5513">
      <w:pPr>
        <w:spacing w:line="480" w:lineRule="auto"/>
        <w:rPr>
          <w:rFonts w:ascii="Arial" w:hAnsi="Arial" w:cs="Arial"/>
          <w:szCs w:val="24"/>
        </w:rPr>
      </w:pPr>
      <w:r w:rsidRPr="00ED5513">
        <w:rPr>
          <w:rFonts w:ascii="Arial" w:hAnsi="Arial" w:cs="Arial"/>
          <w:szCs w:val="24"/>
        </w:rPr>
        <w:t xml:space="preserve">The discussion of package travel regulation highlights the effectiveness of sector-specific consumer protection frameworks. Assigning responsibility to a single organiser simplifies dispute resolution and enhances enforceability of consumer rights. This approach aligns with broader consumer protection objectives by ensuring that tourists are not disadvantaged by fragmented supply chains or jurisdictional complexity (Page &amp; </w:t>
      </w:r>
      <w:r w:rsidRPr="00ED5513">
        <w:rPr>
          <w:rFonts w:ascii="Arial" w:hAnsi="Arial" w:cs="Arial"/>
          <w:szCs w:val="24"/>
        </w:rPr>
        <w:lastRenderedPageBreak/>
        <w:t>Connell, 2020). However, the discussion also acknowledges potential challenges, including increased compliance costs for organisers and smaller tourism enterprises. This raises important questions regarding proportionality and the need for regulatory guidance to support compliance without undermining business viability.</w:t>
      </w:r>
    </w:p>
    <w:p w14:paraId="7F8BE65E" w14:textId="77777777" w:rsidR="00ED5513" w:rsidRPr="00ED5513" w:rsidRDefault="00ED5513" w:rsidP="00ED5513">
      <w:pPr>
        <w:spacing w:line="480" w:lineRule="auto"/>
        <w:rPr>
          <w:rFonts w:ascii="Arial" w:hAnsi="Arial" w:cs="Arial"/>
          <w:szCs w:val="24"/>
        </w:rPr>
      </w:pPr>
      <w:r w:rsidRPr="00ED5513">
        <w:rPr>
          <w:rFonts w:ascii="Arial" w:hAnsi="Arial" w:cs="Arial"/>
          <w:szCs w:val="24"/>
        </w:rPr>
        <w:t xml:space="preserve">Safety and service quality obligations represent another crucial dimension of consumer protection in tourism. The findings indicate that consumer protection laws complement industry-specific safety regulations by preventing service providers from excluding liability through contractual clauses. This is particularly important in high-risk tourism activities and emerging sectors, where regulatory oversight may </w:t>
      </w:r>
      <w:proofErr w:type="gramStart"/>
      <w:r w:rsidRPr="00ED5513">
        <w:rPr>
          <w:rFonts w:ascii="Arial" w:hAnsi="Arial" w:cs="Arial"/>
          <w:szCs w:val="24"/>
        </w:rPr>
        <w:t>lag behind</w:t>
      </w:r>
      <w:proofErr w:type="gramEnd"/>
      <w:r w:rsidRPr="00ED5513">
        <w:rPr>
          <w:rFonts w:ascii="Arial" w:hAnsi="Arial" w:cs="Arial"/>
          <w:szCs w:val="24"/>
        </w:rPr>
        <w:t xml:space="preserve"> innovation (Hall et al., 2015). From a policy perspective, statutory safety obligations serve a preventive function by reducing the likelihood of harm before disputes arise, thereby enhancing consumer welfare and destination reputation.</w:t>
      </w:r>
    </w:p>
    <w:p w14:paraId="3511B223" w14:textId="77777777" w:rsidR="00ED5513" w:rsidRPr="00ED5513" w:rsidRDefault="00ED5513" w:rsidP="00ED5513">
      <w:pPr>
        <w:spacing w:line="480" w:lineRule="auto"/>
        <w:rPr>
          <w:rFonts w:ascii="Arial" w:hAnsi="Arial" w:cs="Arial"/>
          <w:szCs w:val="24"/>
        </w:rPr>
      </w:pPr>
      <w:r w:rsidRPr="00ED5513">
        <w:rPr>
          <w:rFonts w:ascii="Arial" w:hAnsi="Arial" w:cs="Arial"/>
          <w:szCs w:val="24"/>
        </w:rPr>
        <w:t>The expanding compliance obligations imposed on tourism service providers reflect a shift toward proactive consumer protection. Businesses are increasingly expected to implement internal compliance systems, monitor third-party suppliers, and maintain accessible complaint-handling mechanisms. While these obligations promote ethical conduct and accountability, uneven enforcement across jurisdictions may undermine their effectiveness. This supports scholarly calls for greater international coordination and harmonisation of tourism consumer protection standards (</w:t>
      </w:r>
      <w:proofErr w:type="spellStart"/>
      <w:r w:rsidRPr="00ED5513">
        <w:rPr>
          <w:rFonts w:ascii="Arial" w:hAnsi="Arial" w:cs="Arial"/>
          <w:szCs w:val="24"/>
        </w:rPr>
        <w:t>Micklitz</w:t>
      </w:r>
      <w:proofErr w:type="spellEnd"/>
      <w:r w:rsidRPr="00ED5513">
        <w:rPr>
          <w:rFonts w:ascii="Arial" w:hAnsi="Arial" w:cs="Arial"/>
          <w:szCs w:val="24"/>
        </w:rPr>
        <w:t>, 2015).</w:t>
      </w:r>
    </w:p>
    <w:p w14:paraId="02EBCAA6" w14:textId="77777777" w:rsidR="00ED5513" w:rsidRPr="00ED5513" w:rsidRDefault="00ED5513" w:rsidP="00ED5513">
      <w:pPr>
        <w:spacing w:line="480" w:lineRule="auto"/>
        <w:rPr>
          <w:rFonts w:ascii="Arial" w:hAnsi="Arial" w:cs="Arial"/>
          <w:szCs w:val="24"/>
        </w:rPr>
      </w:pPr>
      <w:r w:rsidRPr="00ED5513">
        <w:rPr>
          <w:rFonts w:ascii="Arial" w:hAnsi="Arial" w:cs="Arial"/>
          <w:szCs w:val="24"/>
        </w:rPr>
        <w:t xml:space="preserve">The growing reliance on alternative dispute resolution (ADR) mechanisms also warrants critical evaluation. Although ADR offers efficiency and cost savings, particularly in cross-border disputes, concerns remain regarding transparency, consumer awareness, and procedural fairness. Mandatory ADR clauses may disadvantage </w:t>
      </w:r>
      <w:proofErr w:type="spellStart"/>
      <w:r w:rsidRPr="00ED5513">
        <w:rPr>
          <w:rFonts w:ascii="Arial" w:hAnsi="Arial" w:cs="Arial"/>
          <w:szCs w:val="24"/>
        </w:rPr>
        <w:t>travelers</w:t>
      </w:r>
      <w:proofErr w:type="spellEnd"/>
      <w:r w:rsidRPr="00ED5513">
        <w:rPr>
          <w:rFonts w:ascii="Arial" w:hAnsi="Arial" w:cs="Arial"/>
          <w:szCs w:val="24"/>
        </w:rPr>
        <w:t xml:space="preserve"> if they restrict </w:t>
      </w:r>
      <w:r w:rsidRPr="00ED5513">
        <w:rPr>
          <w:rFonts w:ascii="Arial" w:hAnsi="Arial" w:cs="Arial"/>
          <w:szCs w:val="24"/>
        </w:rPr>
        <w:lastRenderedPageBreak/>
        <w:t>access to courts or impose unfamiliar processes (Spencer, 2020). The discussion therefore suggests that ADR should complement, rather than replace, judicial remedies and should be subject to regulatory safeguards.</w:t>
      </w:r>
    </w:p>
    <w:p w14:paraId="2ACA054B" w14:textId="77777777" w:rsidR="00ED5513" w:rsidRPr="00ED5513" w:rsidRDefault="00ED5513" w:rsidP="00ED5513">
      <w:pPr>
        <w:spacing w:line="480" w:lineRule="auto"/>
        <w:rPr>
          <w:rFonts w:ascii="Arial" w:hAnsi="Arial" w:cs="Arial"/>
          <w:szCs w:val="24"/>
        </w:rPr>
      </w:pPr>
      <w:r w:rsidRPr="00ED5513">
        <w:rPr>
          <w:rFonts w:ascii="Arial" w:hAnsi="Arial" w:cs="Arial"/>
          <w:szCs w:val="24"/>
        </w:rPr>
        <w:t xml:space="preserve">Overall, the discussion demonstrates that consumer protection laws operate as both </w:t>
      </w:r>
      <w:r w:rsidRPr="00ED5513">
        <w:rPr>
          <w:rFonts w:ascii="Arial" w:hAnsi="Arial" w:cs="Arial"/>
          <w:b/>
          <w:bCs/>
          <w:szCs w:val="24"/>
        </w:rPr>
        <w:t>preventive and corrective mechanisms</w:t>
      </w:r>
      <w:r w:rsidRPr="00ED5513">
        <w:rPr>
          <w:rFonts w:ascii="Arial" w:hAnsi="Arial" w:cs="Arial"/>
          <w:szCs w:val="24"/>
        </w:rPr>
        <w:t xml:space="preserve"> within tourism markets. They shape business behaviour, promote transparency and safety, and provide effective remedies when disputes arise. As tourism continues to evolve through digitalisation and global uncertainty, adaptive and well-enforced consumer protection frameworks will remain essential to sustaining </w:t>
      </w:r>
      <w:proofErr w:type="spellStart"/>
      <w:r w:rsidRPr="00ED5513">
        <w:rPr>
          <w:rFonts w:ascii="Arial" w:hAnsi="Arial" w:cs="Arial"/>
          <w:szCs w:val="24"/>
        </w:rPr>
        <w:t>traveler</w:t>
      </w:r>
      <w:proofErr w:type="spellEnd"/>
      <w:r w:rsidRPr="00ED5513">
        <w:rPr>
          <w:rFonts w:ascii="Arial" w:hAnsi="Arial" w:cs="Arial"/>
          <w:szCs w:val="24"/>
        </w:rPr>
        <w:t xml:space="preserve"> trust and market integrity.</w:t>
      </w:r>
    </w:p>
    <w:p w14:paraId="3007DCD9" w14:textId="2339D090" w:rsidR="00831A6D" w:rsidRPr="00825F73" w:rsidRDefault="00831A6D" w:rsidP="00ED5513">
      <w:pPr>
        <w:spacing w:line="480" w:lineRule="auto"/>
        <w:rPr>
          <w:rFonts w:ascii="Arial" w:hAnsi="Arial" w:cs="Arial"/>
          <w:szCs w:val="24"/>
        </w:rPr>
      </w:pPr>
    </w:p>
    <w:p w14:paraId="65C04CBE" w14:textId="77777777" w:rsidR="008125F0" w:rsidRPr="00825F73" w:rsidRDefault="008125F0" w:rsidP="00831A6D">
      <w:pPr>
        <w:spacing w:line="480" w:lineRule="auto"/>
        <w:rPr>
          <w:rFonts w:ascii="Arial" w:hAnsi="Arial" w:cs="Arial"/>
          <w:szCs w:val="24"/>
        </w:rPr>
      </w:pPr>
    </w:p>
    <w:p w14:paraId="2E34A646" w14:textId="77777777" w:rsidR="008125F0" w:rsidRPr="00825F73" w:rsidRDefault="008125F0" w:rsidP="00831A6D">
      <w:pPr>
        <w:spacing w:line="480" w:lineRule="auto"/>
        <w:rPr>
          <w:rFonts w:ascii="Arial" w:hAnsi="Arial" w:cs="Arial"/>
          <w:szCs w:val="24"/>
        </w:rPr>
      </w:pPr>
    </w:p>
    <w:p w14:paraId="677A4F98" w14:textId="77777777" w:rsidR="008125F0" w:rsidRPr="00825F73" w:rsidRDefault="008125F0" w:rsidP="00831A6D">
      <w:pPr>
        <w:spacing w:line="480" w:lineRule="auto"/>
        <w:rPr>
          <w:rFonts w:ascii="Arial" w:hAnsi="Arial" w:cs="Arial"/>
          <w:szCs w:val="24"/>
        </w:rPr>
      </w:pPr>
    </w:p>
    <w:p w14:paraId="3E136BAE" w14:textId="77777777" w:rsidR="008125F0" w:rsidRPr="00825F73" w:rsidRDefault="008125F0" w:rsidP="00831A6D">
      <w:pPr>
        <w:spacing w:line="480" w:lineRule="auto"/>
        <w:rPr>
          <w:rFonts w:ascii="Arial" w:hAnsi="Arial" w:cs="Arial"/>
          <w:szCs w:val="24"/>
        </w:rPr>
      </w:pPr>
    </w:p>
    <w:p w14:paraId="287676B2" w14:textId="77777777" w:rsidR="008125F0" w:rsidRPr="00825F73" w:rsidRDefault="008125F0" w:rsidP="00831A6D">
      <w:pPr>
        <w:spacing w:line="480" w:lineRule="auto"/>
        <w:rPr>
          <w:rFonts w:ascii="Arial" w:hAnsi="Arial" w:cs="Arial"/>
          <w:szCs w:val="24"/>
        </w:rPr>
      </w:pPr>
    </w:p>
    <w:p w14:paraId="1A1BDF10" w14:textId="77777777" w:rsidR="008125F0" w:rsidRPr="00825F73" w:rsidRDefault="008125F0" w:rsidP="00831A6D">
      <w:pPr>
        <w:spacing w:line="480" w:lineRule="auto"/>
        <w:rPr>
          <w:rFonts w:ascii="Arial" w:hAnsi="Arial" w:cs="Arial"/>
          <w:szCs w:val="24"/>
        </w:rPr>
      </w:pPr>
    </w:p>
    <w:p w14:paraId="261C0306" w14:textId="77777777" w:rsidR="008125F0" w:rsidRPr="00825F73" w:rsidRDefault="008125F0" w:rsidP="00831A6D">
      <w:pPr>
        <w:spacing w:line="480" w:lineRule="auto"/>
        <w:rPr>
          <w:rFonts w:ascii="Arial" w:hAnsi="Arial" w:cs="Arial"/>
          <w:szCs w:val="24"/>
        </w:rPr>
      </w:pPr>
    </w:p>
    <w:p w14:paraId="4FDE96B4" w14:textId="77777777" w:rsidR="008125F0" w:rsidRPr="00825F73" w:rsidRDefault="008125F0" w:rsidP="00831A6D">
      <w:pPr>
        <w:spacing w:line="480" w:lineRule="auto"/>
        <w:rPr>
          <w:rFonts w:ascii="Arial" w:hAnsi="Arial" w:cs="Arial"/>
          <w:szCs w:val="24"/>
        </w:rPr>
      </w:pPr>
    </w:p>
    <w:p w14:paraId="591B96AE" w14:textId="77777777" w:rsidR="008125F0" w:rsidRPr="00825F73" w:rsidRDefault="008125F0" w:rsidP="00831A6D">
      <w:pPr>
        <w:spacing w:line="480" w:lineRule="auto"/>
        <w:rPr>
          <w:rFonts w:ascii="Arial" w:hAnsi="Arial" w:cs="Arial"/>
          <w:szCs w:val="24"/>
        </w:rPr>
      </w:pPr>
    </w:p>
    <w:p w14:paraId="6454E5B3" w14:textId="77777777" w:rsidR="000437FE" w:rsidRPr="00825F73" w:rsidRDefault="000437FE" w:rsidP="002F73F5">
      <w:pPr>
        <w:spacing w:line="480" w:lineRule="auto"/>
        <w:rPr>
          <w:rFonts w:ascii="Arial" w:hAnsi="Arial" w:cs="Arial"/>
          <w:szCs w:val="24"/>
        </w:rPr>
      </w:pPr>
    </w:p>
    <w:p w14:paraId="4806CC22" w14:textId="77777777" w:rsidR="00D43708" w:rsidRPr="00D43708" w:rsidRDefault="00EB264E" w:rsidP="00D43708">
      <w:pPr>
        <w:spacing w:line="480" w:lineRule="auto"/>
        <w:rPr>
          <w:rFonts w:ascii="Arial" w:hAnsi="Arial" w:cs="Arial"/>
          <w:szCs w:val="24"/>
        </w:rPr>
      </w:pPr>
      <w:bookmarkStart w:id="6" w:name="_Toc221201960"/>
      <w:r w:rsidRPr="00825F73">
        <w:rPr>
          <w:rStyle w:val="Heading1Char"/>
          <w:rFonts w:ascii="Arial" w:hAnsi="Arial" w:cs="Arial"/>
          <w:b/>
          <w:bCs/>
          <w:color w:val="auto"/>
          <w:sz w:val="24"/>
          <w:szCs w:val="24"/>
        </w:rPr>
        <w:lastRenderedPageBreak/>
        <w:t>6</w:t>
      </w:r>
      <w:r w:rsidR="00F11085" w:rsidRPr="00825F73">
        <w:rPr>
          <w:rStyle w:val="Heading1Char"/>
          <w:rFonts w:ascii="Arial" w:hAnsi="Arial" w:cs="Arial"/>
          <w:b/>
          <w:bCs/>
          <w:color w:val="auto"/>
          <w:sz w:val="24"/>
          <w:szCs w:val="24"/>
        </w:rPr>
        <w:t>. Conclusion</w:t>
      </w:r>
      <w:bookmarkEnd w:id="6"/>
      <w:r w:rsidR="00F11085" w:rsidRPr="00825F73">
        <w:rPr>
          <w:rFonts w:ascii="Arial" w:hAnsi="Arial" w:cs="Arial"/>
          <w:b/>
          <w:bCs/>
          <w:szCs w:val="24"/>
        </w:rPr>
        <w:t xml:space="preserve"> </w:t>
      </w:r>
      <w:r w:rsidR="00F11085" w:rsidRPr="00825F73">
        <w:rPr>
          <w:rFonts w:ascii="Arial" w:hAnsi="Arial" w:cs="Arial"/>
          <w:szCs w:val="24"/>
        </w:rPr>
        <w:br/>
      </w:r>
      <w:bookmarkStart w:id="7" w:name="_Toc221201961"/>
      <w:r w:rsidR="00D43708" w:rsidRPr="00D43708">
        <w:rPr>
          <w:rFonts w:ascii="Arial" w:hAnsi="Arial" w:cs="Arial"/>
          <w:szCs w:val="24"/>
        </w:rPr>
        <w:t xml:space="preserve">This assignment has critically examined the role of consumer protection laws in the tourism industry, highlighting their importance in addressing the structural vulnerabilities faced by </w:t>
      </w:r>
      <w:proofErr w:type="spellStart"/>
      <w:r w:rsidR="00D43708" w:rsidRPr="00D43708">
        <w:rPr>
          <w:rFonts w:ascii="Arial" w:hAnsi="Arial" w:cs="Arial"/>
          <w:szCs w:val="24"/>
        </w:rPr>
        <w:t>travelers</w:t>
      </w:r>
      <w:proofErr w:type="spellEnd"/>
      <w:r w:rsidR="00D43708" w:rsidRPr="00D43708">
        <w:rPr>
          <w:rFonts w:ascii="Arial" w:hAnsi="Arial" w:cs="Arial"/>
          <w:szCs w:val="24"/>
        </w:rPr>
        <w:t>. Tourism consumers are exposed to heightened risks due to advance payments, information asymmetry, and cross-border service delivery. These characteristics limit consumers’ ability to assess service quality and assert their rights, making statutory protection essential for ensuring fairness and accountability within tourism markets.</w:t>
      </w:r>
    </w:p>
    <w:p w14:paraId="47D211C9" w14:textId="77777777" w:rsidR="00D43708" w:rsidRPr="00D43708" w:rsidRDefault="00D43708" w:rsidP="00D43708">
      <w:pPr>
        <w:spacing w:line="480" w:lineRule="auto"/>
        <w:rPr>
          <w:rFonts w:ascii="Arial" w:hAnsi="Arial" w:cs="Arial"/>
          <w:szCs w:val="24"/>
        </w:rPr>
      </w:pPr>
      <w:r w:rsidRPr="00D43708">
        <w:rPr>
          <w:rFonts w:ascii="Arial" w:hAnsi="Arial" w:cs="Arial"/>
          <w:szCs w:val="24"/>
        </w:rPr>
        <w:t xml:space="preserve">The analysis demonstrates that consumer protection laws play a vital role in regulating misleading advertising, unfair pricing practices, and unsafe tourism services. Legal frameworks governing package travel, transparency, and service quality strengthen </w:t>
      </w:r>
      <w:proofErr w:type="spellStart"/>
      <w:r w:rsidRPr="00D43708">
        <w:rPr>
          <w:rFonts w:ascii="Arial" w:hAnsi="Arial" w:cs="Arial"/>
          <w:szCs w:val="24"/>
        </w:rPr>
        <w:t>travelers’</w:t>
      </w:r>
      <w:proofErr w:type="spellEnd"/>
      <w:r w:rsidRPr="00D43708">
        <w:rPr>
          <w:rFonts w:ascii="Arial" w:hAnsi="Arial" w:cs="Arial"/>
          <w:szCs w:val="24"/>
        </w:rPr>
        <w:t xml:space="preserve"> legal position by assigning clear responsibilities to tourism service providers and ensuring access to effective remedies. By overriding unfair contractual terms, consumer protection laws correct power imbalances and promote ethical business conduct.</w:t>
      </w:r>
    </w:p>
    <w:p w14:paraId="61013943" w14:textId="77777777" w:rsidR="00D43708" w:rsidRPr="00D43708" w:rsidRDefault="00D43708" w:rsidP="00D43708">
      <w:pPr>
        <w:spacing w:line="480" w:lineRule="auto"/>
        <w:rPr>
          <w:rFonts w:ascii="Arial" w:hAnsi="Arial" w:cs="Arial"/>
          <w:szCs w:val="24"/>
        </w:rPr>
      </w:pPr>
      <w:r w:rsidRPr="00D43708">
        <w:rPr>
          <w:rFonts w:ascii="Arial" w:hAnsi="Arial" w:cs="Arial"/>
          <w:szCs w:val="24"/>
        </w:rPr>
        <w:t>The findings and discussion further indicate that while compliance obligations may increase regulatory burdens for tourism businesses, such obligations are necessary to maintain market integrity and consumer trust. Alternative dispute resolution mechanisms also contribute to efficient redress when supported by safeguards that ensure fairness and accessibility.</w:t>
      </w:r>
    </w:p>
    <w:p w14:paraId="06FEB91A" w14:textId="77777777" w:rsidR="00D43708" w:rsidRPr="00D43708" w:rsidRDefault="00D43708" w:rsidP="00D43708">
      <w:pPr>
        <w:spacing w:line="480" w:lineRule="auto"/>
        <w:rPr>
          <w:rFonts w:ascii="Arial" w:hAnsi="Arial" w:cs="Arial"/>
          <w:szCs w:val="24"/>
        </w:rPr>
      </w:pPr>
      <w:r w:rsidRPr="00D43708">
        <w:rPr>
          <w:rFonts w:ascii="Arial" w:hAnsi="Arial" w:cs="Arial"/>
          <w:szCs w:val="24"/>
        </w:rPr>
        <w:t xml:space="preserve">Overall, consumer protection laws function as both preventive and corrective mechanisms in the tourism industry. As tourism continues to evolve through digitalisation and global uncertainty, adaptable and well-enforced consumer protection </w:t>
      </w:r>
      <w:r w:rsidRPr="00D43708">
        <w:rPr>
          <w:rFonts w:ascii="Arial" w:hAnsi="Arial" w:cs="Arial"/>
          <w:szCs w:val="24"/>
        </w:rPr>
        <w:lastRenderedPageBreak/>
        <w:t xml:space="preserve">frameworks will remain fundamental to protecting </w:t>
      </w:r>
      <w:proofErr w:type="spellStart"/>
      <w:r w:rsidRPr="00D43708">
        <w:rPr>
          <w:rFonts w:ascii="Arial" w:hAnsi="Arial" w:cs="Arial"/>
          <w:szCs w:val="24"/>
        </w:rPr>
        <w:t>travelers</w:t>
      </w:r>
      <w:proofErr w:type="spellEnd"/>
      <w:r w:rsidRPr="00D43708">
        <w:rPr>
          <w:rFonts w:ascii="Arial" w:hAnsi="Arial" w:cs="Arial"/>
          <w:szCs w:val="24"/>
        </w:rPr>
        <w:t xml:space="preserve"> and supporting sustainable tourism development.</w:t>
      </w:r>
    </w:p>
    <w:p w14:paraId="6C251984" w14:textId="750FD449" w:rsidR="00C06DEB" w:rsidRPr="00825F73" w:rsidRDefault="00C06DEB" w:rsidP="00D43708">
      <w:pPr>
        <w:spacing w:line="480" w:lineRule="auto"/>
        <w:rPr>
          <w:rFonts w:ascii="Arial" w:hAnsi="Arial" w:cs="Arial"/>
          <w:b/>
          <w:bCs/>
          <w:szCs w:val="24"/>
        </w:rPr>
      </w:pPr>
    </w:p>
    <w:p w14:paraId="0881047A" w14:textId="49F23697" w:rsidR="004D7D13" w:rsidRPr="00825F73" w:rsidRDefault="004D7D13" w:rsidP="00C06DEB">
      <w:pPr>
        <w:spacing w:line="480" w:lineRule="auto"/>
        <w:rPr>
          <w:rFonts w:ascii="Arial" w:hAnsi="Arial" w:cs="Arial"/>
          <w:b/>
          <w:bCs/>
          <w:szCs w:val="24"/>
        </w:rPr>
      </w:pPr>
      <w:r w:rsidRPr="00825F73">
        <w:rPr>
          <w:rFonts w:ascii="Arial" w:hAnsi="Arial" w:cs="Arial"/>
          <w:b/>
          <w:bCs/>
          <w:szCs w:val="24"/>
        </w:rPr>
        <w:t>Reference List</w:t>
      </w:r>
      <w:bookmarkEnd w:id="7"/>
      <w:r w:rsidRPr="00825F73">
        <w:rPr>
          <w:rFonts w:ascii="Arial" w:hAnsi="Arial" w:cs="Arial"/>
          <w:b/>
          <w:bCs/>
          <w:szCs w:val="24"/>
        </w:rPr>
        <w:t xml:space="preserve"> </w:t>
      </w:r>
    </w:p>
    <w:p w14:paraId="1CECB234"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Baker, M. J., &amp; Cameron, E. (2008). Critical success factors in destination marketing. </w:t>
      </w:r>
      <w:r w:rsidRPr="003D68C5">
        <w:rPr>
          <w:rFonts w:ascii="Arial" w:hAnsi="Arial" w:cs="Arial"/>
          <w:i/>
          <w:iCs/>
          <w:szCs w:val="24"/>
        </w:rPr>
        <w:t>Tourism and Hospitality Research, 8</w:t>
      </w:r>
      <w:r w:rsidRPr="003D68C5">
        <w:rPr>
          <w:rFonts w:ascii="Arial" w:hAnsi="Arial" w:cs="Arial"/>
          <w:szCs w:val="24"/>
        </w:rPr>
        <w:t>(2), 79–97. https://doi.org/10.1057/thr.2008.9</w:t>
      </w:r>
    </w:p>
    <w:p w14:paraId="3F7D3A59"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Hall, C. M., Timothy, D. J., &amp; Duval, D. T. (2015). </w:t>
      </w:r>
      <w:r w:rsidRPr="003D68C5">
        <w:rPr>
          <w:rFonts w:ascii="Arial" w:hAnsi="Arial" w:cs="Arial"/>
          <w:i/>
          <w:iCs/>
          <w:szCs w:val="24"/>
        </w:rPr>
        <w:t>Safety and security in tourism: Relationships, management, and marketing</w:t>
      </w:r>
      <w:r w:rsidRPr="003D68C5">
        <w:rPr>
          <w:rFonts w:ascii="Arial" w:hAnsi="Arial" w:cs="Arial"/>
          <w:szCs w:val="24"/>
        </w:rPr>
        <w:t>. Routledge. https://doi.org/10.4324/9781315727629</w:t>
      </w:r>
    </w:p>
    <w:p w14:paraId="423450C8"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Hannam, K., Butler, G., &amp; Paris, C. M. (2014). Developments and key issues in tourism mobilities. </w:t>
      </w:r>
      <w:r w:rsidRPr="003D68C5">
        <w:rPr>
          <w:rFonts w:ascii="Arial" w:hAnsi="Arial" w:cs="Arial"/>
          <w:i/>
          <w:iCs/>
          <w:szCs w:val="24"/>
        </w:rPr>
        <w:t>Annals of Tourism Research, 44</w:t>
      </w:r>
      <w:r w:rsidRPr="003D68C5">
        <w:rPr>
          <w:rFonts w:ascii="Arial" w:hAnsi="Arial" w:cs="Arial"/>
          <w:szCs w:val="24"/>
        </w:rPr>
        <w:t>, 171–185. https://doi.org/10.1016/j.annals.2013.09.010</w:t>
      </w:r>
    </w:p>
    <w:p w14:paraId="6C0BEA6F"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Howells, G., Ramsay, I., &amp; Wilhelmsson, T. (2018). </w:t>
      </w:r>
      <w:r w:rsidRPr="003D68C5">
        <w:rPr>
          <w:rFonts w:ascii="Arial" w:hAnsi="Arial" w:cs="Arial"/>
          <w:i/>
          <w:iCs/>
          <w:szCs w:val="24"/>
        </w:rPr>
        <w:t>Handbook of research on international consumer law</w:t>
      </w:r>
      <w:r w:rsidRPr="003D68C5">
        <w:rPr>
          <w:rFonts w:ascii="Arial" w:hAnsi="Arial" w:cs="Arial"/>
          <w:szCs w:val="24"/>
        </w:rPr>
        <w:t xml:space="preserve"> (2nd ed.). Edward Elgar Publishing. https://doi.org/10.4337/9781785366544</w:t>
      </w:r>
    </w:p>
    <w:p w14:paraId="202DA61A"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Micklitz, H.-W. (2015). </w:t>
      </w:r>
      <w:r w:rsidRPr="003D68C5">
        <w:rPr>
          <w:rFonts w:ascii="Arial" w:hAnsi="Arial" w:cs="Arial"/>
          <w:i/>
          <w:iCs/>
          <w:szCs w:val="24"/>
        </w:rPr>
        <w:t>The politics of consumer rights</w:t>
      </w:r>
      <w:r w:rsidRPr="003D68C5">
        <w:rPr>
          <w:rFonts w:ascii="Arial" w:hAnsi="Arial" w:cs="Arial"/>
          <w:szCs w:val="24"/>
        </w:rPr>
        <w:t>. Cambridge University Press. https://doi.org/10.1017/CBO9781316104306</w:t>
      </w:r>
    </w:p>
    <w:p w14:paraId="1249FE01" w14:textId="77777777" w:rsidR="003D68C5" w:rsidRPr="003D68C5" w:rsidRDefault="003D68C5" w:rsidP="003D68C5">
      <w:pPr>
        <w:spacing w:line="480" w:lineRule="auto"/>
        <w:rPr>
          <w:rFonts w:ascii="Arial" w:hAnsi="Arial" w:cs="Arial"/>
          <w:szCs w:val="24"/>
        </w:rPr>
      </w:pPr>
      <w:proofErr w:type="spellStart"/>
      <w:r w:rsidRPr="003D68C5">
        <w:rPr>
          <w:rFonts w:ascii="Arial" w:hAnsi="Arial" w:cs="Arial"/>
          <w:szCs w:val="24"/>
        </w:rPr>
        <w:t>Neuhofer</w:t>
      </w:r>
      <w:proofErr w:type="spellEnd"/>
      <w:r w:rsidRPr="003D68C5">
        <w:rPr>
          <w:rFonts w:ascii="Arial" w:hAnsi="Arial" w:cs="Arial"/>
          <w:szCs w:val="24"/>
        </w:rPr>
        <w:t xml:space="preserve">, B., </w:t>
      </w:r>
      <w:proofErr w:type="spellStart"/>
      <w:r w:rsidRPr="003D68C5">
        <w:rPr>
          <w:rFonts w:ascii="Arial" w:hAnsi="Arial" w:cs="Arial"/>
          <w:szCs w:val="24"/>
        </w:rPr>
        <w:t>Buhalis</w:t>
      </w:r>
      <w:proofErr w:type="spellEnd"/>
      <w:r w:rsidRPr="003D68C5">
        <w:rPr>
          <w:rFonts w:ascii="Arial" w:hAnsi="Arial" w:cs="Arial"/>
          <w:szCs w:val="24"/>
        </w:rPr>
        <w:t xml:space="preserve">, D., &amp; </w:t>
      </w:r>
      <w:proofErr w:type="spellStart"/>
      <w:r w:rsidRPr="003D68C5">
        <w:rPr>
          <w:rFonts w:ascii="Arial" w:hAnsi="Arial" w:cs="Arial"/>
          <w:szCs w:val="24"/>
        </w:rPr>
        <w:t>Ladkin</w:t>
      </w:r>
      <w:proofErr w:type="spellEnd"/>
      <w:r w:rsidRPr="003D68C5">
        <w:rPr>
          <w:rFonts w:ascii="Arial" w:hAnsi="Arial" w:cs="Arial"/>
          <w:szCs w:val="24"/>
        </w:rPr>
        <w:t xml:space="preserve">, A. (2015). Smart technologies for personalized experiences. </w:t>
      </w:r>
      <w:r w:rsidRPr="003D68C5">
        <w:rPr>
          <w:rFonts w:ascii="Arial" w:hAnsi="Arial" w:cs="Arial"/>
          <w:i/>
          <w:iCs/>
          <w:szCs w:val="24"/>
        </w:rPr>
        <w:t>Tourism Management, 47</w:t>
      </w:r>
      <w:r w:rsidRPr="003D68C5">
        <w:rPr>
          <w:rFonts w:ascii="Arial" w:hAnsi="Arial" w:cs="Arial"/>
          <w:szCs w:val="24"/>
        </w:rPr>
        <w:t>, 1–15. https://doi.org/10.1016/j.tourman.2014.09.010</w:t>
      </w:r>
    </w:p>
    <w:p w14:paraId="3BA21593" w14:textId="77777777" w:rsidR="003D68C5" w:rsidRPr="003D68C5" w:rsidRDefault="003D68C5" w:rsidP="003D68C5">
      <w:pPr>
        <w:spacing w:line="480" w:lineRule="auto"/>
        <w:rPr>
          <w:rFonts w:ascii="Arial" w:hAnsi="Arial" w:cs="Arial"/>
          <w:szCs w:val="24"/>
        </w:rPr>
      </w:pPr>
      <w:r w:rsidRPr="003D68C5">
        <w:rPr>
          <w:rFonts w:ascii="Arial" w:hAnsi="Arial" w:cs="Arial"/>
          <w:szCs w:val="24"/>
        </w:rPr>
        <w:lastRenderedPageBreak/>
        <w:t xml:space="preserve">OECD. (2021). </w:t>
      </w:r>
      <w:r w:rsidRPr="003D68C5">
        <w:rPr>
          <w:rFonts w:ascii="Arial" w:hAnsi="Arial" w:cs="Arial"/>
          <w:i/>
          <w:iCs/>
          <w:szCs w:val="24"/>
        </w:rPr>
        <w:t>Consumer policy and fraud: Global developments</w:t>
      </w:r>
      <w:r w:rsidRPr="003D68C5">
        <w:rPr>
          <w:rFonts w:ascii="Arial" w:hAnsi="Arial" w:cs="Arial"/>
          <w:szCs w:val="24"/>
        </w:rPr>
        <w:t xml:space="preserve">. Organisation for Economic Co-operation and Development. </w:t>
      </w:r>
      <w:hyperlink r:id="rId7" w:tgtFrame="_new" w:history="1">
        <w:r w:rsidRPr="003D68C5">
          <w:rPr>
            <w:rStyle w:val="Hyperlink"/>
            <w:rFonts w:ascii="Arial" w:hAnsi="Arial" w:cs="Arial"/>
            <w:szCs w:val="24"/>
          </w:rPr>
          <w:t>https://www.oecd.org</w:t>
        </w:r>
      </w:hyperlink>
    </w:p>
    <w:p w14:paraId="54227E7E"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Page, S. J., &amp; Connell, J. (2020). </w:t>
      </w:r>
      <w:r w:rsidRPr="003D68C5">
        <w:rPr>
          <w:rFonts w:ascii="Arial" w:hAnsi="Arial" w:cs="Arial"/>
          <w:i/>
          <w:iCs/>
          <w:szCs w:val="24"/>
        </w:rPr>
        <w:t>Tourism: A modern synthesis</w:t>
      </w:r>
      <w:r w:rsidRPr="003D68C5">
        <w:rPr>
          <w:rFonts w:ascii="Arial" w:hAnsi="Arial" w:cs="Arial"/>
          <w:szCs w:val="24"/>
        </w:rPr>
        <w:t xml:space="preserve"> (5th ed.). Cengage Learning.</w:t>
      </w:r>
    </w:p>
    <w:p w14:paraId="4A5B9CA9"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Sigala, M. (2018). Market formation in the sharing economy. </w:t>
      </w:r>
      <w:r w:rsidRPr="003D68C5">
        <w:rPr>
          <w:rFonts w:ascii="Arial" w:hAnsi="Arial" w:cs="Arial"/>
          <w:i/>
          <w:iCs/>
          <w:szCs w:val="24"/>
        </w:rPr>
        <w:t>Electronic Markets, 28</w:t>
      </w:r>
      <w:r w:rsidRPr="003D68C5">
        <w:rPr>
          <w:rFonts w:ascii="Arial" w:hAnsi="Arial" w:cs="Arial"/>
          <w:szCs w:val="24"/>
        </w:rPr>
        <w:t>(4), 371–379. https://doi.org/10.1007/s12525-018-0301-0</w:t>
      </w:r>
    </w:p>
    <w:p w14:paraId="3795E705"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Spencer, J. (2020). Consumer redress mechanisms in tourism services. </w:t>
      </w:r>
      <w:r w:rsidRPr="003D68C5">
        <w:rPr>
          <w:rFonts w:ascii="Arial" w:hAnsi="Arial" w:cs="Arial"/>
          <w:i/>
          <w:iCs/>
          <w:szCs w:val="24"/>
        </w:rPr>
        <w:t>International Journal of Consumer Studies, 44</w:t>
      </w:r>
      <w:r w:rsidRPr="003D68C5">
        <w:rPr>
          <w:rFonts w:ascii="Arial" w:hAnsi="Arial" w:cs="Arial"/>
          <w:szCs w:val="24"/>
        </w:rPr>
        <w:t>(3), 247–258. https://doi.org/10.1111/ijcs.12563</w:t>
      </w:r>
    </w:p>
    <w:p w14:paraId="0CCC8CAD"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Wilks, J., &amp; Pendergast, D. (2017). </w:t>
      </w:r>
      <w:r w:rsidRPr="003D68C5">
        <w:rPr>
          <w:rFonts w:ascii="Arial" w:hAnsi="Arial" w:cs="Arial"/>
          <w:i/>
          <w:iCs/>
          <w:szCs w:val="24"/>
        </w:rPr>
        <w:t>Tourism in turbulent times: Towards safe experiences for visitors</w:t>
      </w:r>
      <w:r w:rsidRPr="003D68C5">
        <w:rPr>
          <w:rFonts w:ascii="Arial" w:hAnsi="Arial" w:cs="Arial"/>
          <w:szCs w:val="24"/>
        </w:rPr>
        <w:t>. Routledge. https://doi.org/10.4324/9780203786240</w:t>
      </w:r>
    </w:p>
    <w:p w14:paraId="1E3D84DE"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Xiang, Z., &amp; </w:t>
      </w:r>
      <w:proofErr w:type="spellStart"/>
      <w:r w:rsidRPr="003D68C5">
        <w:rPr>
          <w:rFonts w:ascii="Arial" w:hAnsi="Arial" w:cs="Arial"/>
          <w:szCs w:val="24"/>
        </w:rPr>
        <w:t>Gretzel</w:t>
      </w:r>
      <w:proofErr w:type="spellEnd"/>
      <w:r w:rsidRPr="003D68C5">
        <w:rPr>
          <w:rFonts w:ascii="Arial" w:hAnsi="Arial" w:cs="Arial"/>
          <w:szCs w:val="24"/>
        </w:rPr>
        <w:t xml:space="preserve">, U. (2010). Role of social media in online travel information search. </w:t>
      </w:r>
      <w:r w:rsidRPr="003D68C5">
        <w:rPr>
          <w:rFonts w:ascii="Arial" w:hAnsi="Arial" w:cs="Arial"/>
          <w:i/>
          <w:iCs/>
          <w:szCs w:val="24"/>
        </w:rPr>
        <w:t>Tourism Management, 31</w:t>
      </w:r>
      <w:r w:rsidRPr="003D68C5">
        <w:rPr>
          <w:rFonts w:ascii="Arial" w:hAnsi="Arial" w:cs="Arial"/>
          <w:szCs w:val="24"/>
        </w:rPr>
        <w:t xml:space="preserve">(2), 179–188. </w:t>
      </w:r>
      <w:hyperlink r:id="rId8" w:tgtFrame="_new" w:history="1">
        <w:r w:rsidRPr="003D68C5">
          <w:rPr>
            <w:rStyle w:val="Hyperlink"/>
            <w:rFonts w:ascii="Arial" w:hAnsi="Arial" w:cs="Arial"/>
            <w:szCs w:val="24"/>
          </w:rPr>
          <w:t>https://doi.org/10.1016/j.tourman.2009.02.016</w:t>
        </w:r>
      </w:hyperlink>
    </w:p>
    <w:p w14:paraId="391EFF15"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Zhang, M., &amp; Cole, S. (2016). Tourism and consumer vulnerability. </w:t>
      </w:r>
      <w:r w:rsidRPr="003D68C5">
        <w:rPr>
          <w:rFonts w:ascii="Arial" w:hAnsi="Arial" w:cs="Arial"/>
          <w:i/>
          <w:iCs/>
          <w:szCs w:val="24"/>
        </w:rPr>
        <w:t>Annals of Tourism Research, 61</w:t>
      </w:r>
      <w:r w:rsidRPr="003D68C5">
        <w:rPr>
          <w:rFonts w:ascii="Arial" w:hAnsi="Arial" w:cs="Arial"/>
          <w:szCs w:val="24"/>
        </w:rPr>
        <w:t>, 94–108. https://doi.org/10.1016/j.annals.2016.08.004</w:t>
      </w:r>
    </w:p>
    <w:p w14:paraId="752C9893"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European Parliament. (2021). </w:t>
      </w:r>
      <w:r w:rsidRPr="003D68C5">
        <w:rPr>
          <w:rFonts w:ascii="Arial" w:hAnsi="Arial" w:cs="Arial"/>
          <w:i/>
          <w:iCs/>
          <w:szCs w:val="24"/>
        </w:rPr>
        <w:t>Consumer rights and protection in tourism services</w:t>
      </w:r>
      <w:r w:rsidRPr="003D68C5">
        <w:rPr>
          <w:rFonts w:ascii="Arial" w:hAnsi="Arial" w:cs="Arial"/>
          <w:szCs w:val="24"/>
        </w:rPr>
        <w:t xml:space="preserve">. </w:t>
      </w:r>
      <w:hyperlink r:id="rId9" w:tgtFrame="_new" w:history="1">
        <w:r w:rsidRPr="003D68C5">
          <w:rPr>
            <w:rStyle w:val="Hyperlink"/>
            <w:rFonts w:ascii="Arial" w:hAnsi="Arial" w:cs="Arial"/>
            <w:szCs w:val="24"/>
          </w:rPr>
          <w:t>https://www.europarl.europa.eu</w:t>
        </w:r>
      </w:hyperlink>
    </w:p>
    <w:p w14:paraId="4AE63856" w14:textId="77777777" w:rsidR="003D68C5" w:rsidRPr="003D68C5" w:rsidRDefault="003D68C5" w:rsidP="003D68C5">
      <w:pPr>
        <w:spacing w:line="480" w:lineRule="auto"/>
        <w:rPr>
          <w:rFonts w:ascii="Arial" w:hAnsi="Arial" w:cs="Arial"/>
          <w:szCs w:val="24"/>
        </w:rPr>
      </w:pPr>
      <w:r w:rsidRPr="003D68C5">
        <w:rPr>
          <w:rFonts w:ascii="Arial" w:hAnsi="Arial" w:cs="Arial"/>
          <w:szCs w:val="24"/>
        </w:rPr>
        <w:t xml:space="preserve">UN World Tourism Organization. (2021). </w:t>
      </w:r>
      <w:r w:rsidRPr="003D68C5">
        <w:rPr>
          <w:rFonts w:ascii="Arial" w:hAnsi="Arial" w:cs="Arial"/>
          <w:i/>
          <w:iCs/>
          <w:szCs w:val="24"/>
        </w:rPr>
        <w:t>International code for the protection of tourists</w:t>
      </w:r>
      <w:r w:rsidRPr="003D68C5">
        <w:rPr>
          <w:rFonts w:ascii="Arial" w:hAnsi="Arial" w:cs="Arial"/>
          <w:szCs w:val="24"/>
        </w:rPr>
        <w:t xml:space="preserve">. </w:t>
      </w:r>
      <w:hyperlink r:id="rId10" w:tgtFrame="_new" w:history="1">
        <w:r w:rsidRPr="003D68C5">
          <w:rPr>
            <w:rStyle w:val="Hyperlink"/>
            <w:rFonts w:ascii="Arial" w:hAnsi="Arial" w:cs="Arial"/>
            <w:szCs w:val="24"/>
          </w:rPr>
          <w:t>https://www.unwto.org</w:t>
        </w:r>
      </w:hyperlink>
    </w:p>
    <w:p w14:paraId="18D123F1" w14:textId="77777777" w:rsidR="00F11085" w:rsidRPr="00825F73" w:rsidRDefault="00F11085" w:rsidP="003D68C5">
      <w:pPr>
        <w:spacing w:line="480" w:lineRule="auto"/>
        <w:rPr>
          <w:rFonts w:ascii="Arial" w:hAnsi="Arial" w:cs="Arial"/>
          <w:szCs w:val="24"/>
          <w:lang w:val="en-US"/>
        </w:rPr>
      </w:pPr>
    </w:p>
    <w:sectPr w:rsidR="00F11085" w:rsidRPr="00825F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6DA5"/>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00F7"/>
    <w:rsid w:val="00394C39"/>
    <w:rsid w:val="003A5BF6"/>
    <w:rsid w:val="003D68C5"/>
    <w:rsid w:val="003F67E3"/>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5C7750"/>
    <w:rsid w:val="00613E81"/>
    <w:rsid w:val="00626634"/>
    <w:rsid w:val="00632ED6"/>
    <w:rsid w:val="00635AB0"/>
    <w:rsid w:val="00654B4B"/>
    <w:rsid w:val="006640E0"/>
    <w:rsid w:val="00664D7C"/>
    <w:rsid w:val="006826F9"/>
    <w:rsid w:val="006D483F"/>
    <w:rsid w:val="00714A73"/>
    <w:rsid w:val="007469A5"/>
    <w:rsid w:val="00763D1C"/>
    <w:rsid w:val="00770D56"/>
    <w:rsid w:val="007F2D81"/>
    <w:rsid w:val="00810849"/>
    <w:rsid w:val="008125F0"/>
    <w:rsid w:val="00825AA5"/>
    <w:rsid w:val="00825F73"/>
    <w:rsid w:val="008302E2"/>
    <w:rsid w:val="00831A6D"/>
    <w:rsid w:val="00835BAE"/>
    <w:rsid w:val="00843EDD"/>
    <w:rsid w:val="00854D19"/>
    <w:rsid w:val="00857685"/>
    <w:rsid w:val="008649B5"/>
    <w:rsid w:val="0086710E"/>
    <w:rsid w:val="00867CF1"/>
    <w:rsid w:val="00887242"/>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349AA"/>
    <w:rsid w:val="00D43708"/>
    <w:rsid w:val="00D67892"/>
    <w:rsid w:val="00D74A74"/>
    <w:rsid w:val="00D8310C"/>
    <w:rsid w:val="00D84E95"/>
    <w:rsid w:val="00D92241"/>
    <w:rsid w:val="00DA5550"/>
    <w:rsid w:val="00DD48B2"/>
    <w:rsid w:val="00DF3FD0"/>
    <w:rsid w:val="00E01C5B"/>
    <w:rsid w:val="00E031DE"/>
    <w:rsid w:val="00E34C40"/>
    <w:rsid w:val="00E47DA5"/>
    <w:rsid w:val="00E65C9D"/>
    <w:rsid w:val="00EA7FD8"/>
    <w:rsid w:val="00EB264E"/>
    <w:rsid w:val="00EB37A9"/>
    <w:rsid w:val="00ED1841"/>
    <w:rsid w:val="00ED24CF"/>
    <w:rsid w:val="00ED5513"/>
    <w:rsid w:val="00F11085"/>
    <w:rsid w:val="00F20A8A"/>
    <w:rsid w:val="00F33F4A"/>
    <w:rsid w:val="00F43E3F"/>
    <w:rsid w:val="00F72ED2"/>
    <w:rsid w:val="00FB4CC9"/>
    <w:rsid w:val="00FD2546"/>
    <w:rsid w:val="00FD4D01"/>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tourman.2009.02.016" TargetMode="External"/><Relationship Id="rId3" Type="http://schemas.openxmlformats.org/officeDocument/2006/relationships/styles" Target="styles.xml"/><Relationship Id="rId7" Type="http://schemas.openxmlformats.org/officeDocument/2006/relationships/hyperlink" Target="https://www.oecd.or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nwto.org" TargetMode="External"/><Relationship Id="rId4" Type="http://schemas.openxmlformats.org/officeDocument/2006/relationships/settings" Target="settings.xml"/><Relationship Id="rId9" Type="http://schemas.openxmlformats.org/officeDocument/2006/relationships/hyperlink" Target="https://www.europarl.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4882</Words>
  <Characters>27828</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2026-02-05T14:11:00Z</dcterms:created>
  <dcterms:modified xsi:type="dcterms:W3CDTF">2026-02-05T14:11:00Z</dcterms:modified>
</cp:coreProperties>
</file>