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F648B" w14:textId="2087FB33" w:rsidR="00991661" w:rsidRDefault="00FC79A7">
      <w:pPr>
        <w:rPr>
          <w:rFonts w:ascii="Times New Roman" w:hAnsi="Times New Roman" w:cs="Times New Roman"/>
          <w:b/>
          <w:bCs/>
          <w:sz w:val="40"/>
          <w:szCs w:val="40"/>
          <w:lang w:val="en-US"/>
        </w:rPr>
      </w:pPr>
      <w:r w:rsidRPr="009532C2">
        <w:rPr>
          <w:rFonts w:ascii="Times New Roman" w:hAnsi="Times New Roman" w:cs="Times New Roman"/>
          <w:b/>
          <w:bCs/>
          <w:sz w:val="40"/>
          <w:szCs w:val="40"/>
          <w:lang w:val="en-US"/>
        </w:rPr>
        <w:t xml:space="preserve">A </w:t>
      </w:r>
      <w:r w:rsidR="009532C2" w:rsidRPr="009532C2">
        <w:rPr>
          <w:rFonts w:ascii="Times New Roman" w:hAnsi="Times New Roman" w:cs="Times New Roman"/>
          <w:b/>
          <w:bCs/>
          <w:sz w:val="40"/>
          <w:szCs w:val="40"/>
          <w:lang w:val="en-US"/>
        </w:rPr>
        <w:t>H</w:t>
      </w:r>
      <w:r w:rsidRPr="009532C2">
        <w:rPr>
          <w:rFonts w:ascii="Times New Roman" w:hAnsi="Times New Roman" w:cs="Times New Roman"/>
          <w:b/>
          <w:bCs/>
          <w:sz w:val="40"/>
          <w:szCs w:val="40"/>
          <w:lang w:val="en-US"/>
        </w:rPr>
        <w:t xml:space="preserve">istoric </w:t>
      </w:r>
      <w:r w:rsidR="009532C2" w:rsidRPr="009532C2">
        <w:rPr>
          <w:rFonts w:ascii="Times New Roman" w:hAnsi="Times New Roman" w:cs="Times New Roman"/>
          <w:b/>
          <w:bCs/>
          <w:sz w:val="40"/>
          <w:szCs w:val="40"/>
          <w:lang w:val="en-US"/>
        </w:rPr>
        <w:t>U</w:t>
      </w:r>
      <w:r w:rsidRPr="009532C2">
        <w:rPr>
          <w:rFonts w:ascii="Times New Roman" w:hAnsi="Times New Roman" w:cs="Times New Roman"/>
          <w:b/>
          <w:bCs/>
          <w:sz w:val="40"/>
          <w:szCs w:val="40"/>
          <w:lang w:val="en-US"/>
        </w:rPr>
        <w:t xml:space="preserve">rban </w:t>
      </w:r>
      <w:r w:rsidR="009532C2" w:rsidRPr="009532C2">
        <w:rPr>
          <w:rFonts w:ascii="Times New Roman" w:hAnsi="Times New Roman" w:cs="Times New Roman"/>
          <w:b/>
          <w:bCs/>
          <w:sz w:val="40"/>
          <w:szCs w:val="40"/>
          <w:lang w:val="en-US"/>
        </w:rPr>
        <w:t>L</w:t>
      </w:r>
      <w:r w:rsidRPr="009532C2">
        <w:rPr>
          <w:rFonts w:ascii="Times New Roman" w:hAnsi="Times New Roman" w:cs="Times New Roman"/>
          <w:b/>
          <w:bCs/>
          <w:sz w:val="40"/>
          <w:szCs w:val="40"/>
          <w:lang w:val="en-US"/>
        </w:rPr>
        <w:t xml:space="preserve">andscape </w:t>
      </w:r>
    </w:p>
    <w:p w14:paraId="382A6FD7" w14:textId="77777777" w:rsidR="009532C2" w:rsidRPr="009532C2" w:rsidRDefault="009532C2">
      <w:pPr>
        <w:rPr>
          <w:rFonts w:ascii="Times New Roman" w:hAnsi="Times New Roman" w:cs="Times New Roman"/>
          <w:b/>
          <w:bCs/>
          <w:sz w:val="40"/>
          <w:szCs w:val="40"/>
          <w:lang w:val="en-US"/>
        </w:rPr>
      </w:pPr>
    </w:p>
    <w:p w14:paraId="234EBE40" w14:textId="6C7F74CA" w:rsidR="00FC79A7" w:rsidRPr="009532C2" w:rsidRDefault="00FC79A7">
      <w:pPr>
        <w:rPr>
          <w:rFonts w:ascii="Times New Roman" w:hAnsi="Times New Roman" w:cs="Times New Roman"/>
          <w:b/>
          <w:bCs/>
          <w:lang w:val="en-US"/>
        </w:rPr>
      </w:pPr>
      <w:r w:rsidRPr="009532C2">
        <w:rPr>
          <w:rFonts w:ascii="Times New Roman" w:hAnsi="Times New Roman" w:cs="Times New Roman"/>
          <w:b/>
          <w:bCs/>
          <w:lang w:val="en-US"/>
        </w:rPr>
        <w:t xml:space="preserve">Introduction </w:t>
      </w:r>
    </w:p>
    <w:p w14:paraId="656078F4" w14:textId="56C2BCAA"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The Historic Centre of Florence, located in the heart of Tuscany, Italy, represents one of the most significant urban landscapes of the Renaissance. Covering approximately 505 hectares within the medieval city walls, the </w:t>
      </w:r>
      <w:r w:rsidRPr="009532C2">
        <w:rPr>
          <w:rFonts w:ascii="Times New Roman" w:hAnsi="Times New Roman" w:cs="Times New Roman"/>
          <w:lang w:val="en-US"/>
        </w:rPr>
        <w:t>centre</w:t>
      </w:r>
      <w:r w:rsidRPr="009532C2">
        <w:rPr>
          <w:rFonts w:ascii="Times New Roman" w:hAnsi="Times New Roman" w:cs="Times New Roman"/>
          <w:lang w:val="en-US"/>
        </w:rPr>
        <w:t xml:space="preserve"> includes masterpieces of art, architecture, and urban design that </w:t>
      </w:r>
      <w:r w:rsidRPr="009532C2">
        <w:rPr>
          <w:rFonts w:ascii="Times New Roman" w:hAnsi="Times New Roman" w:cs="Times New Roman"/>
          <w:lang w:val="en-US"/>
        </w:rPr>
        <w:t>symbolise</w:t>
      </w:r>
      <w:r w:rsidRPr="009532C2">
        <w:rPr>
          <w:rFonts w:ascii="Times New Roman" w:hAnsi="Times New Roman" w:cs="Times New Roman"/>
          <w:lang w:val="en-US"/>
        </w:rPr>
        <w:t xml:space="preserve"> the cultural flowering of humanism and creativity from the 14th to the 16th centuries. Florence’s historic core was inscribed on the UNESCO World Heritage List in 1982, </w:t>
      </w:r>
      <w:r w:rsidRPr="009532C2">
        <w:rPr>
          <w:rFonts w:ascii="Times New Roman" w:hAnsi="Times New Roman" w:cs="Times New Roman"/>
          <w:lang w:val="en-US"/>
        </w:rPr>
        <w:t>recognized</w:t>
      </w:r>
      <w:r w:rsidRPr="009532C2">
        <w:rPr>
          <w:rFonts w:ascii="Times New Roman" w:hAnsi="Times New Roman" w:cs="Times New Roman"/>
          <w:lang w:val="en-US"/>
        </w:rPr>
        <w:t xml:space="preserve"> as “an exceptional testimony to the influence of Renaissance art and architecture on the development of the humanist concept of the world.”</w:t>
      </w:r>
    </w:p>
    <w:p w14:paraId="3945A308" w14:textId="410D124A"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This site has been selected for its outstanding universal value, the complexity of its urban evolution, and the continuing challenges it faces in balancing preservation, tourism, and modern urban life. Florence’s historic center is not only a museum of open-air monuments but also a living city that must adapt to 21st-century pressures while safeguarding the legacy of figures such as Brunelleschi, Michelangelo, and Leonardo da Vinci.</w:t>
      </w:r>
    </w:p>
    <w:p w14:paraId="581D96D9" w14:textId="77777777" w:rsidR="00FC79A7" w:rsidRPr="009532C2" w:rsidRDefault="00FC79A7" w:rsidP="00FC79A7">
      <w:pPr>
        <w:rPr>
          <w:rFonts w:ascii="Times New Roman" w:hAnsi="Times New Roman" w:cs="Times New Roman"/>
          <w:lang w:val="en-US"/>
        </w:rPr>
      </w:pPr>
    </w:p>
    <w:p w14:paraId="27A58320" w14:textId="5594B3FD"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 xml:space="preserve">Historical development </w:t>
      </w:r>
    </w:p>
    <w:p w14:paraId="2864637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Early Origins and Medieval Foundations</w:t>
      </w:r>
    </w:p>
    <w:p w14:paraId="2E489F7A" w14:textId="5D5C092B"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Florence originated as a Roman military colony, Florentia, founded in 59 BCE near the Arno River. The Roman grid plan (the cardo and decumanus) still influences the urban fabric of the city </w:t>
      </w:r>
      <w:proofErr w:type="spellStart"/>
      <w:r w:rsidR="009532C2">
        <w:rPr>
          <w:rFonts w:ascii="Times New Roman" w:hAnsi="Times New Roman" w:cs="Times New Roman"/>
          <w:lang w:val="en-US"/>
        </w:rPr>
        <w:t>centre</w:t>
      </w:r>
      <w:proofErr w:type="spellEnd"/>
      <w:r w:rsidRPr="009532C2">
        <w:rPr>
          <w:rFonts w:ascii="Times New Roman" w:hAnsi="Times New Roman" w:cs="Times New Roman"/>
          <w:lang w:val="en-US"/>
        </w:rPr>
        <w:t>. During the early medieval period, Florence suffered from invasions and political instability, but by the 11th century, it had reemerged as a prosperous commune and trade hub within Tuscany.</w:t>
      </w:r>
    </w:p>
    <w:p w14:paraId="331ADD98"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The Florentine Republic and Economic Power (12th–14th centuries)</w:t>
      </w:r>
    </w:p>
    <w:p w14:paraId="28B3D4A1" w14:textId="4D1BE5AE"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By the 12th century, Florence became a self-governing republic dominated by merchant guilds, particularly the Arte della Lana (wool guild) and Arte del Cambio (bankers’ guild). The construction of monumental structures such as the Palazzo Vecchio (1299) and Santa Maria del Fiore (the Duomo) began in this period, </w:t>
      </w:r>
      <w:r w:rsidRPr="009532C2">
        <w:rPr>
          <w:rFonts w:ascii="Times New Roman" w:hAnsi="Times New Roman" w:cs="Times New Roman"/>
          <w:lang w:val="en-US"/>
        </w:rPr>
        <w:t>symbolising</w:t>
      </w:r>
      <w:r w:rsidRPr="009532C2">
        <w:rPr>
          <w:rFonts w:ascii="Times New Roman" w:hAnsi="Times New Roman" w:cs="Times New Roman"/>
          <w:lang w:val="en-US"/>
        </w:rPr>
        <w:t xml:space="preserve"> civic pride and economic might. The Arno River facilitated trade and communication, while bridges like the Ponte Vecchio connected the two banks and fostered commerce.</w:t>
      </w:r>
    </w:p>
    <w:p w14:paraId="15F0F81C"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The Renaissance Flourishing (15th–16th centuries)</w:t>
      </w:r>
    </w:p>
    <w:p w14:paraId="0D150930" w14:textId="6A5F3BEB"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The 15th and 16th centuries marked the city’s golden age under the Medici family, who </w:t>
      </w:r>
      <w:r w:rsidRPr="009532C2">
        <w:rPr>
          <w:rFonts w:ascii="Times New Roman" w:hAnsi="Times New Roman" w:cs="Times New Roman"/>
          <w:lang w:val="en-US"/>
        </w:rPr>
        <w:t>patronised</w:t>
      </w:r>
      <w:r w:rsidRPr="009532C2">
        <w:rPr>
          <w:rFonts w:ascii="Times New Roman" w:hAnsi="Times New Roman" w:cs="Times New Roman"/>
          <w:lang w:val="en-US"/>
        </w:rPr>
        <w:t xml:space="preserve"> the arts, architecture, and sciences. The Renaissance ideal of harmony, proportion, and perspective transformed Florence’s urban landscape.</w:t>
      </w:r>
    </w:p>
    <w:p w14:paraId="27DACA3B"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Key landmarks emerged:</w:t>
      </w:r>
    </w:p>
    <w:p w14:paraId="0F8CF77A"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lastRenderedPageBreak/>
        <w:t>Filippo Brunelleschi’s Dome of the Cathedral (completed 1436) revolutionized architecture.</w:t>
      </w:r>
    </w:p>
    <w:p w14:paraId="2DFEC615"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Leon Battista Alberti influenced urban aesthetics with his theories on beauty and symmetry.</w:t>
      </w:r>
    </w:p>
    <w:p w14:paraId="2201E76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Piazza della Signoria, surrounded by the Palazzo Vecchio and Loggia dei Lanzi, became the political and symbolic heart of the city.</w:t>
      </w:r>
    </w:p>
    <w:p w14:paraId="3E1710BE"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Palazzo Pitti and the Boboli Gardens reflected the Renaissance integration of architecture and landscape.</w:t>
      </w:r>
    </w:p>
    <w:p w14:paraId="15EA16F4"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Florence became a center of intellectual life, producing works of art, literature, and philosophy that spread across Europe. The city’s fabric—churches, palaces, streets, and squares—embodied the Renaissance ideal of the città ideale (ideal city).</w:t>
      </w:r>
    </w:p>
    <w:p w14:paraId="507F3E85"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Decline and Preservation (17th–19th centuries)</w:t>
      </w:r>
    </w:p>
    <w:p w14:paraId="3C8E50C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After the Medici dynasty ended in 1737, Florence came under Habsburg-Lorraine rule. Though less politically influential, it remained a cultural beacon. The 19th century brought modernization: the city briefly served as the capital of unified Italy (1865–1871). Urban restructuring during this period, such as the demolition of the old market area near Piazza della Repubblica, altered parts of the medieval core but also introduced new civic infrastructure.</w:t>
      </w:r>
    </w:p>
    <w:p w14:paraId="3ABDC1AD"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Modern Era (20th–21st centuries)</w:t>
      </w:r>
    </w:p>
    <w:p w14:paraId="0E844163" w14:textId="1CBBEC75"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Florence suffered significant damage during World War II, especially to its bridges, though the Ponte Vecchio survived. The 1966 Arno flood devastated the city, destroying art, archives, and homes. The disaster triggered international conservation campaigns, pioneering new restoration techniques. In recent decades, Florence has faced increasing pressures from mass tourism, urban congestion, and climate-related threats, prompting a reevaluation of its heritage management strategies.</w:t>
      </w:r>
    </w:p>
    <w:p w14:paraId="74AFB6E8" w14:textId="77777777" w:rsidR="00FC79A7" w:rsidRPr="009532C2" w:rsidRDefault="00FC79A7" w:rsidP="00FC79A7">
      <w:pPr>
        <w:rPr>
          <w:rFonts w:ascii="Times New Roman" w:hAnsi="Times New Roman" w:cs="Times New Roman"/>
          <w:b/>
          <w:bCs/>
          <w:lang w:val="en-US"/>
        </w:rPr>
      </w:pPr>
    </w:p>
    <w:p w14:paraId="7D2C5E18"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3. Values of the Historic Urban Landscape</w:t>
      </w:r>
    </w:p>
    <w:p w14:paraId="2A22BB8D"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a) Cultural and Historical Values</w:t>
      </w:r>
    </w:p>
    <w:p w14:paraId="1181DB61"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Florence represents the birthplace of the Renaissance, where the fusion of art, science, politics, and philosophy gave rise to a new human-centered worldview. It embodies the collective achievements of artists, architects, and thinkers whose works transformed Western civilization. The city’s layered urban fabric preserves traces of Roman, medieval, and Renaissance periods, offering a continuous narrative of human creativity.</w:t>
      </w:r>
    </w:p>
    <w:p w14:paraId="3DC9D2D5"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b) Architectural and Aesthetic Values</w:t>
      </w:r>
    </w:p>
    <w:p w14:paraId="02AA10DF"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The historic center contains architectural masterpieces of unparalleled influence. Brunelleschi’s Duomo with its revolutionary dome, Giotto’s Campanile, Baptistery of San Giovanni, and Uffizi Gallery exemplify the evolution of proportion, geometry, and spatial harmony. The uniform use of pietra serena stone and the continuity of scale and form create a </w:t>
      </w:r>
      <w:r w:rsidRPr="009532C2">
        <w:rPr>
          <w:rFonts w:ascii="Times New Roman" w:hAnsi="Times New Roman" w:cs="Times New Roman"/>
          <w:lang w:val="en-US"/>
        </w:rPr>
        <w:lastRenderedPageBreak/>
        <w:t>cohesive visual identity. Florence’s skyline—dominated by the Duomo—remains one of the most recognizable in the world. Urban spaces such as Piazza del Duomo and Piazza della Signoria illustrate Renaissance principles of civic order and aesthetic unity.</w:t>
      </w:r>
    </w:p>
    <w:p w14:paraId="5155E62B"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c) Social and Community Values</w:t>
      </w:r>
    </w:p>
    <w:p w14:paraId="676BF170"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Despite the pressures of tourism, Florence’s historic center remains a living urban community. Local residents maintain traditional crafts (leatherwork, goldsmithing, bookbinding) that have been practiced for centuries. Religious festivals such as Scoppio del Carro (Explosion of the Cart) and local markets like Mercato Centrale sustain social continuity and cultural identity. The city’s historic fabric supports community interactions, walkability, and social cohesion, representing a human-scale urbanism that modern cities often lack.</w:t>
      </w:r>
    </w:p>
    <w:p w14:paraId="331A4329"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d) Economic and Touristic Values</w:t>
      </w:r>
    </w:p>
    <w:p w14:paraId="33C30259" w14:textId="118F3DD6"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Tourism is both Florence’s greatest asset and its primary challenge. The city attracts around 16 million visitors annually, contributing significantly to the local and national economy through accommodation, museums, gastronomy, and retail. The creative industries—art restoration, design, fashion, and education—also benefit from Florence’s global reputation as a cultural capital. The site thus functions as both an economic engine and a symbol of Italy’s national heritage.</w:t>
      </w:r>
    </w:p>
    <w:p w14:paraId="1172FFFD" w14:textId="77777777" w:rsidR="00FC79A7" w:rsidRPr="009532C2" w:rsidRDefault="00FC79A7" w:rsidP="00FC79A7">
      <w:pPr>
        <w:rPr>
          <w:rFonts w:ascii="Times New Roman" w:hAnsi="Times New Roman" w:cs="Times New Roman"/>
          <w:lang w:val="en-US"/>
        </w:rPr>
      </w:pPr>
    </w:p>
    <w:p w14:paraId="3A9F39BD"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4. Challenges and Threats</w:t>
      </w:r>
    </w:p>
    <w:p w14:paraId="0976E782"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a) Urbanization and Modernization Pressures</w:t>
      </w:r>
    </w:p>
    <w:p w14:paraId="319C0ED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Florence faces difficulties balancing modern infrastructure with heritage preservation. Limited space within the historic walls restricts mobility and housing. Gentrification and the conversion of residential buildings into tourist accommodations have displaced local residents, eroding community life. Urban planning must reconcile the demands of contemporary living with the conservation of ancient structures and narrow medieval streets.</w:t>
      </w:r>
    </w:p>
    <w:p w14:paraId="4AF212D0"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b) Over-tourism</w:t>
      </w:r>
    </w:p>
    <w:p w14:paraId="43C8A50E"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Over-tourism is perhaps Florence’s most pressing challenge. Large crowds—especially during peak seasons—cause physical wear to pavements and monuments, strain waste management systems, and reduce the quality of life for residents. The dominance of short-term rentals (e.g., Airbnb) has contributed to depopulation of the historic center, transforming it into a “museum city” rather than a living community.</w:t>
      </w:r>
    </w:p>
    <w:p w14:paraId="0370EEB8"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c) Environmental Degradation and Climate Risks</w:t>
      </w:r>
    </w:p>
    <w:p w14:paraId="5DC98010" w14:textId="1E82BA26"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 xml:space="preserve">The Arno River flood of 1966 remains a potent reminder of environmental vulnerability. Contemporary climate change increases the risk of flash floods and humidity-related deterioration of building materials. Air pollution, vehicular emissions, and vibrations from </w:t>
      </w:r>
      <w:r w:rsidRPr="009532C2">
        <w:rPr>
          <w:rFonts w:ascii="Times New Roman" w:hAnsi="Times New Roman" w:cs="Times New Roman"/>
          <w:lang w:val="en-US"/>
        </w:rPr>
        <w:lastRenderedPageBreak/>
        <w:t>traffic contribute to the gradual erosion of stone façades and frescoes. Furthermore, rising temperatures threaten organic materials in artworks and archives.</w:t>
      </w:r>
    </w:p>
    <w:p w14:paraId="0553EA8C"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d) Lack of Local Involvement and Funding</w:t>
      </w:r>
    </w:p>
    <w:p w14:paraId="7F59BCD9"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Heritage management has often been top-down, with limited community engagement in decision-making. Residents may feel alienated from policies that prioritize tourism over quality of life. Financial constraints also limit restoration efforts, as public funds are insufficient to address the vast needs of conservation. Dependence on private sponsorship can lead to unequal attention between high-profile and lesser-known sites.</w:t>
      </w:r>
    </w:p>
    <w:p w14:paraId="30AEC650"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e) Policy and Governance Issues</w:t>
      </w:r>
    </w:p>
    <w:p w14:paraId="0B20B1AB" w14:textId="3BFAAE93"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The governance of Florence’s heritage involves multiple overlapping institutions—municipality, region, Ministry of Culture, and UNESCO—sometimes leading to fragmented responsibilities and inconsistent enforcement. Urban regulations must reconcile heritage protection with economic development, a task that requires integrated, multi-sectoral coordination.</w:t>
      </w:r>
    </w:p>
    <w:p w14:paraId="7FE6BCBB"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5. Management Approach</w:t>
      </w:r>
    </w:p>
    <w:p w14:paraId="51E3409A"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To safeguard the Historic Centre of Florence while sustaining its vibrancy, a comprehensive and participatory management strategy is essential. The following recommendations align with the UNESCO Historic Urban Landscape (HUL) approach, emphasizing the integration of cultural heritage with sustainable urban development.</w:t>
      </w:r>
    </w:p>
    <w:p w14:paraId="163238BA"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a) Visitor Management</w:t>
      </w:r>
    </w:p>
    <w:p w14:paraId="1FB6F6D0"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Zoning and Dispersal:</w:t>
      </w:r>
    </w:p>
    <w:p w14:paraId="492748BA"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Introduce zoning strategies that distribute visitor flows beyond iconic landmarks (e.g., Duomo, Uffizi) toward lesser-known areas like Oltrarno or San Niccolò, which retain authentic local life. Promoting thematic walking routes (“Artisans of Florence,” “Medici Heritage Trail”) can help alleviate congestion in central zones.</w:t>
      </w:r>
    </w:p>
    <w:p w14:paraId="031DE622"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Timed Entry and Capacity Limits:</w:t>
      </w:r>
    </w:p>
    <w:p w14:paraId="2D1262AC"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Implement digital ticketing and time-slot systems for major attractions to regulate visitor numbers and reduce crowding. Pilot programs at the Uffizi and Duomo could serve as models.</w:t>
      </w:r>
    </w:p>
    <w:p w14:paraId="35601C6E"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Interpretation and Education:</w:t>
      </w:r>
    </w:p>
    <w:p w14:paraId="432F7E6E"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Develop interpretive programs and virtual platforms that educate visitors about responsible tourism, conservation ethics, and local traditions. Enhancing cultural literacy can foster respect for the city’s fragile heritage.</w:t>
      </w:r>
    </w:p>
    <w:p w14:paraId="10120CF8"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Smart Tourism Tools:</w:t>
      </w:r>
    </w:p>
    <w:p w14:paraId="1F8832C1"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Use real-time data analytics to monitor visitor density and environmental impacts, guiding tourists dynamically to less crowded areas.</w:t>
      </w:r>
    </w:p>
    <w:p w14:paraId="470FD37B"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lastRenderedPageBreak/>
        <w:t>b) Carrying Capacity Management</w:t>
      </w:r>
    </w:p>
    <w:p w14:paraId="4530E675"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Physical Capacity:</w:t>
      </w:r>
    </w:p>
    <w:p w14:paraId="0005E901"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Regularly assess the physical limits of monuments and streets to withstand visitor load. Conservation teams should set thresholds for daily entries to sensitive sites.</w:t>
      </w:r>
    </w:p>
    <w:p w14:paraId="7DC87E50"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Social Capacity:</w:t>
      </w:r>
    </w:p>
    <w:p w14:paraId="0FA2B0B0"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Monitor residents’ satisfaction and perceptions through surveys. Policies should aim to maintain livability by supporting affordable housing, regulating short-term rentals, and encouraging mixed-use development.</w:t>
      </w:r>
    </w:p>
    <w:p w14:paraId="6F61074F"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Environmental Capacity:</w:t>
      </w:r>
    </w:p>
    <w:p w14:paraId="612744C6" w14:textId="78624474"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Adopt sustainable mobility systems—electric buses, limited traffic zones, and bicycle networks—to reduce pollution and vibrations. Promote green infrastructure and flood-resilient design, particularly along the Arno.</w:t>
      </w:r>
    </w:p>
    <w:p w14:paraId="27C9B759"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c) Community Participation</w:t>
      </w:r>
    </w:p>
    <w:p w14:paraId="008B8FE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Local Engagement:</w:t>
      </w:r>
    </w:p>
    <w:p w14:paraId="051C37BC"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Encourage local residents, artisans, and business owners to participate in heritage planning through neighborhood councils or participatory budgeting. Co-creating management plans ensures that conservation reflects community needs.</w:t>
      </w:r>
    </w:p>
    <w:p w14:paraId="2692DE39"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Heritage Education:</w:t>
      </w:r>
    </w:p>
    <w:p w14:paraId="6B63F526"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Involve schools and universities in restoration workshops, heritage trails, and youth volunteer programs to strengthen intergenerational stewardship.</w:t>
      </w:r>
    </w:p>
    <w:p w14:paraId="74C09572"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Cultural Entrepreneurship:</w:t>
      </w:r>
    </w:p>
    <w:p w14:paraId="1B322888"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Support local crafts and small-scale businesses through grants and marketing initiatives that connect traditional skills with contemporary markets. This sustains both livelihoods and intangible cultural heritage.</w:t>
      </w:r>
    </w:p>
    <w:p w14:paraId="6E49B575"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Public-Private Partnerships:</w:t>
      </w:r>
    </w:p>
    <w:p w14:paraId="1CC3315B"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Encourage responsible partnerships where private sponsors fund restoration under strict conservation guidelines. Transparency and community consultation should guide these collaborations.</w:t>
      </w:r>
    </w:p>
    <w:p w14:paraId="0749409C"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d) Policy and Governance Integration</w:t>
      </w:r>
    </w:p>
    <w:p w14:paraId="20405E44"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Integrated Management Framework:</w:t>
      </w:r>
    </w:p>
    <w:p w14:paraId="606D1604"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Florence should implement a unified Heritage Management Plan that aligns municipal urban planning with UNESCO guidelines, cultural tourism strategies, and climate adaptation plans.</w:t>
      </w:r>
    </w:p>
    <w:p w14:paraId="53F283F3"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Monitoring and Evaluation:</w:t>
      </w:r>
    </w:p>
    <w:p w14:paraId="19BCDBB8"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lastRenderedPageBreak/>
        <w:t>Develop measurable indicators (visitor numbers, resident population, environmental quality) to evaluate the effectiveness of interventions. Regular reporting to UNESCO and public dissemination can ensure accountability.</w:t>
      </w:r>
    </w:p>
    <w:p w14:paraId="7D45DE88"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Sustainable Tourism Certification:</w:t>
      </w:r>
    </w:p>
    <w:p w14:paraId="4DAAA9BB" w14:textId="7C770C8D"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Introduce certification schemes for hotels, restaurants, and tour operators that meet sustainability and heritage protection standards.</w:t>
      </w:r>
    </w:p>
    <w:p w14:paraId="5B5A7B27" w14:textId="77777777" w:rsidR="00FC79A7" w:rsidRPr="009532C2" w:rsidRDefault="00FC79A7" w:rsidP="00FC79A7">
      <w:pPr>
        <w:rPr>
          <w:rFonts w:ascii="Times New Roman" w:hAnsi="Times New Roman" w:cs="Times New Roman"/>
          <w:lang w:val="en-US"/>
        </w:rPr>
      </w:pPr>
    </w:p>
    <w:p w14:paraId="4A8D8F5D" w14:textId="77777777" w:rsidR="00FC79A7" w:rsidRPr="009532C2" w:rsidRDefault="00FC79A7" w:rsidP="00FC79A7">
      <w:pPr>
        <w:rPr>
          <w:rFonts w:ascii="Times New Roman" w:hAnsi="Times New Roman" w:cs="Times New Roman"/>
          <w:b/>
          <w:bCs/>
          <w:lang w:val="en-US"/>
        </w:rPr>
      </w:pPr>
      <w:r w:rsidRPr="009532C2">
        <w:rPr>
          <w:rFonts w:ascii="Times New Roman" w:hAnsi="Times New Roman" w:cs="Times New Roman"/>
          <w:b/>
          <w:bCs/>
          <w:lang w:val="en-US"/>
        </w:rPr>
        <w:t>6. Conclusion</w:t>
      </w:r>
    </w:p>
    <w:p w14:paraId="33C1B79B"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The Historic Centre of Florence stands as a universal symbol of human creativity, encapsulating the Renaissance ideals of beauty, knowledge, and civic pride. Yet its continued survival depends on reconciling the demands of tourism, modern urban life, and environmental change.</w:t>
      </w:r>
    </w:p>
    <w:p w14:paraId="29AD8077" w14:textId="77777777"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Effective management must move beyond monument preservation toward a holistic landscape approach—one that integrates tangible and intangible heritage, fosters community participation, and aligns with global sustainability goals. The Florence model can serve as a benchmark for other historic cities seeking to balance heritage conservation with social equity and environmental resilience.</w:t>
      </w:r>
    </w:p>
    <w:p w14:paraId="0311DBEB" w14:textId="00260FD4" w:rsidR="00FC79A7" w:rsidRPr="009532C2" w:rsidRDefault="00FC79A7" w:rsidP="00FC79A7">
      <w:pPr>
        <w:rPr>
          <w:rFonts w:ascii="Times New Roman" w:hAnsi="Times New Roman" w:cs="Times New Roman"/>
          <w:lang w:val="en-US"/>
        </w:rPr>
      </w:pPr>
      <w:r w:rsidRPr="009532C2">
        <w:rPr>
          <w:rFonts w:ascii="Times New Roman" w:hAnsi="Times New Roman" w:cs="Times New Roman"/>
          <w:lang w:val="en-US"/>
        </w:rPr>
        <w:t>Ultimately, safeguarding Florence is not only about protecting its stones and masterpieces but about preserving a living cultural ecosystem—a space where art, tradition, and everyday life coexist in dynamic harmony. By managing tourism responsibly, empowering residents, and nurturing local identity, Florence can continue to inspire future generations as it has for more than seven centuries.</w:t>
      </w:r>
    </w:p>
    <w:sectPr w:rsidR="00FC79A7" w:rsidRPr="009532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A7"/>
    <w:rsid w:val="00033D3D"/>
    <w:rsid w:val="001F226D"/>
    <w:rsid w:val="009532C2"/>
    <w:rsid w:val="00991661"/>
    <w:rsid w:val="00FC79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38F93"/>
  <w15:chartTrackingRefBased/>
  <w15:docId w15:val="{233DA6FE-8A5E-4D41-BAD1-A05B245DF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9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79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79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79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79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79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9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9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9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9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79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79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79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79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79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9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9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9A7"/>
    <w:rPr>
      <w:rFonts w:eastAsiaTheme="majorEastAsia" w:cstheme="majorBidi"/>
      <w:color w:val="272727" w:themeColor="text1" w:themeTint="D8"/>
    </w:rPr>
  </w:style>
  <w:style w:type="paragraph" w:styleId="Title">
    <w:name w:val="Title"/>
    <w:basedOn w:val="Normal"/>
    <w:next w:val="Normal"/>
    <w:link w:val="TitleChar"/>
    <w:uiPriority w:val="10"/>
    <w:qFormat/>
    <w:rsid w:val="00FC79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9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9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9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9A7"/>
    <w:pPr>
      <w:spacing w:before="160"/>
      <w:jc w:val="center"/>
    </w:pPr>
    <w:rPr>
      <w:i/>
      <w:iCs/>
      <w:color w:val="404040" w:themeColor="text1" w:themeTint="BF"/>
    </w:rPr>
  </w:style>
  <w:style w:type="character" w:customStyle="1" w:styleId="QuoteChar">
    <w:name w:val="Quote Char"/>
    <w:basedOn w:val="DefaultParagraphFont"/>
    <w:link w:val="Quote"/>
    <w:uiPriority w:val="29"/>
    <w:rsid w:val="00FC79A7"/>
    <w:rPr>
      <w:i/>
      <w:iCs/>
      <w:color w:val="404040" w:themeColor="text1" w:themeTint="BF"/>
    </w:rPr>
  </w:style>
  <w:style w:type="paragraph" w:styleId="ListParagraph">
    <w:name w:val="List Paragraph"/>
    <w:basedOn w:val="Normal"/>
    <w:uiPriority w:val="34"/>
    <w:qFormat/>
    <w:rsid w:val="00FC79A7"/>
    <w:pPr>
      <w:ind w:left="720"/>
      <w:contextualSpacing/>
    </w:pPr>
  </w:style>
  <w:style w:type="character" w:styleId="IntenseEmphasis">
    <w:name w:val="Intense Emphasis"/>
    <w:basedOn w:val="DefaultParagraphFont"/>
    <w:uiPriority w:val="21"/>
    <w:qFormat/>
    <w:rsid w:val="00FC79A7"/>
    <w:rPr>
      <w:i/>
      <w:iCs/>
      <w:color w:val="2F5496" w:themeColor="accent1" w:themeShade="BF"/>
    </w:rPr>
  </w:style>
  <w:style w:type="paragraph" w:styleId="IntenseQuote">
    <w:name w:val="Intense Quote"/>
    <w:basedOn w:val="Normal"/>
    <w:next w:val="Normal"/>
    <w:link w:val="IntenseQuoteChar"/>
    <w:uiPriority w:val="30"/>
    <w:qFormat/>
    <w:rsid w:val="00FC79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79A7"/>
    <w:rPr>
      <w:i/>
      <w:iCs/>
      <w:color w:val="2F5496" w:themeColor="accent1" w:themeShade="BF"/>
    </w:rPr>
  </w:style>
  <w:style w:type="character" w:styleId="IntenseReference">
    <w:name w:val="Intense Reference"/>
    <w:basedOn w:val="DefaultParagraphFont"/>
    <w:uiPriority w:val="32"/>
    <w:qFormat/>
    <w:rsid w:val="00FC79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400CB-F8CD-4500-95C0-A242CF89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1788</Words>
  <Characters>11504</Characters>
  <Application>Microsoft Office Word</Application>
  <DocSecurity>0</DocSecurity>
  <Lines>198</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Avtar Aheer</dc:creator>
  <cp:keywords/>
  <dc:description/>
  <cp:lastModifiedBy>Avtar Aheer</cp:lastModifiedBy>
  <cp:revision>1</cp:revision>
  <dcterms:created xsi:type="dcterms:W3CDTF">2025-10-30T14:04:00Z</dcterms:created>
  <dcterms:modified xsi:type="dcterms:W3CDTF">2025-10-30T14:18:00Z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44e210be-87f4-4d69-96ff-1c07ddc742cf</vt:lpwstr>
  </property>
</Properties>
</file>