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0016" w14:textId="77777777" w:rsidR="00426865" w:rsidRPr="002D528D" w:rsidRDefault="00672345">
      <w:r w:rsidRPr="002D528D">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A570012" w14:textId="77777777" w:rsidR="00672345" w:rsidRPr="002D528D" w:rsidRDefault="00672345" w:rsidP="00672345">
      <w:pPr>
        <w:rPr>
          <w:lang w:val="en-US"/>
        </w:rPr>
      </w:pPr>
      <w:r w:rsidRPr="002D528D">
        <w:rPr>
          <w:lang w:val="en-US"/>
        </w:rPr>
        <w:t xml:space="preserve">Cultural Heritage Management </w:t>
      </w:r>
    </w:p>
    <w:p w14:paraId="16AA6F3C" w14:textId="77777777" w:rsidR="00672345" w:rsidRPr="002D528D" w:rsidRDefault="00672345" w:rsidP="00672345">
      <w:pPr>
        <w:rPr>
          <w:lang w:val="en-US"/>
        </w:rPr>
      </w:pPr>
      <w:r w:rsidRPr="002D528D">
        <w:rPr>
          <w:lang w:val="en-US"/>
        </w:rPr>
        <w:t>Assignment 1</w:t>
      </w:r>
    </w:p>
    <w:p w14:paraId="237A0938" w14:textId="77777777" w:rsidR="00672345" w:rsidRPr="002D528D" w:rsidRDefault="00672345" w:rsidP="00672345">
      <w:pPr>
        <w:rPr>
          <w:lang w:val="en-US"/>
        </w:rPr>
      </w:pPr>
      <w:r w:rsidRPr="002D528D">
        <w:rPr>
          <w:lang w:val="en-US"/>
        </w:rPr>
        <w:t>08.04.2026</w:t>
      </w:r>
    </w:p>
    <w:p w14:paraId="1BC07A92" w14:textId="77777777" w:rsidR="00672345" w:rsidRPr="002D528D" w:rsidRDefault="00672345"/>
    <w:p w14:paraId="422AE29E" w14:textId="77777777" w:rsidR="00672345" w:rsidRPr="002D528D" w:rsidRDefault="00672345"/>
    <w:p w14:paraId="0244AE5B" w14:textId="77777777" w:rsidR="00672345" w:rsidRPr="002D528D" w:rsidRDefault="00672345"/>
    <w:p w14:paraId="1FE17C34" w14:textId="77777777" w:rsidR="00672345" w:rsidRPr="002D528D" w:rsidRDefault="00672345"/>
    <w:p w14:paraId="286691A3" w14:textId="77777777" w:rsidR="00672345" w:rsidRPr="002D528D" w:rsidRDefault="00672345"/>
    <w:p w14:paraId="01EDF448" w14:textId="77777777" w:rsidR="00672345" w:rsidRPr="002D528D" w:rsidRDefault="00672345"/>
    <w:p w14:paraId="20C12E5F" w14:textId="77777777" w:rsidR="00672345" w:rsidRPr="002D528D" w:rsidRDefault="00672345"/>
    <w:p w14:paraId="2E1CBF8B" w14:textId="77777777" w:rsidR="00672345" w:rsidRPr="002D528D" w:rsidRDefault="00672345"/>
    <w:p w14:paraId="1FECF77D" w14:textId="77777777" w:rsidR="00672345" w:rsidRPr="002D528D" w:rsidRDefault="00672345"/>
    <w:p w14:paraId="60DF2E88" w14:textId="77777777" w:rsidR="00672345" w:rsidRPr="002D528D" w:rsidRDefault="00672345"/>
    <w:p w14:paraId="6D08F31E" w14:textId="77777777" w:rsidR="00672345" w:rsidRPr="002D528D" w:rsidRDefault="00672345"/>
    <w:p w14:paraId="0B63AC54" w14:textId="77777777" w:rsidR="00672345" w:rsidRPr="002D528D" w:rsidRDefault="00672345"/>
    <w:p w14:paraId="09D6D1AF" w14:textId="77777777" w:rsidR="00672345" w:rsidRPr="002D528D" w:rsidRDefault="00672345"/>
    <w:p w14:paraId="1136DEC6" w14:textId="77777777" w:rsidR="00672345" w:rsidRPr="002D528D" w:rsidRDefault="00672345" w:rsidP="00672345">
      <w:pPr>
        <w:spacing w:line="276" w:lineRule="auto"/>
        <w:rPr>
          <w:lang w:val="en-US"/>
        </w:rPr>
      </w:pPr>
      <w:r w:rsidRPr="002D528D">
        <w:rPr>
          <w:lang w:val="en-US"/>
        </w:rPr>
        <w:t>In no more than 500 words, each explain and 2-4 references:</w:t>
      </w:r>
    </w:p>
    <w:p w14:paraId="010D0E40" w14:textId="77777777" w:rsidR="00672345" w:rsidRPr="002D528D" w:rsidRDefault="00672345" w:rsidP="00672345">
      <w:pPr>
        <w:spacing w:line="276" w:lineRule="auto"/>
        <w:rPr>
          <w:lang w:val="en-US"/>
        </w:rPr>
      </w:pPr>
    </w:p>
    <w:p w14:paraId="6CE86931" w14:textId="77777777" w:rsidR="00672345" w:rsidRPr="002D528D" w:rsidRDefault="00672345" w:rsidP="00672345">
      <w:pPr>
        <w:spacing w:line="276" w:lineRule="auto"/>
        <w:rPr>
          <w:lang w:val="en-US"/>
        </w:rPr>
      </w:pPr>
    </w:p>
    <w:p w14:paraId="2B1862A2" w14:textId="77777777" w:rsidR="00672345" w:rsidRPr="002D528D" w:rsidRDefault="00672345" w:rsidP="00672345">
      <w:pPr>
        <w:spacing w:line="276" w:lineRule="auto"/>
        <w:rPr>
          <w:lang w:val="en-US"/>
        </w:rPr>
      </w:pPr>
    </w:p>
    <w:p w14:paraId="618C9A2C" w14:textId="77777777" w:rsidR="00672345" w:rsidRPr="002D528D" w:rsidRDefault="00672345" w:rsidP="00672345">
      <w:pPr>
        <w:spacing w:line="276" w:lineRule="auto"/>
        <w:rPr>
          <w:lang w:val="en-US"/>
        </w:rPr>
      </w:pPr>
      <w:r w:rsidRPr="002D528D">
        <w:rPr>
          <w:lang w:val="en-US"/>
        </w:rPr>
        <w:t>1- Define cultural heritage. How do international organizations such as UNESCO conceptualize heritage?</w:t>
      </w:r>
    </w:p>
    <w:p w14:paraId="6A036219" w14:textId="77777777" w:rsidR="00672345" w:rsidRPr="002D528D" w:rsidRDefault="00672345" w:rsidP="00672345">
      <w:pPr>
        <w:spacing w:line="276" w:lineRule="auto"/>
        <w:rPr>
          <w:lang w:val="en-US"/>
        </w:rPr>
      </w:pPr>
    </w:p>
    <w:p w14:paraId="1ED74A4D" w14:textId="77777777" w:rsidR="00672345" w:rsidRPr="002D528D" w:rsidRDefault="00672345" w:rsidP="00672345">
      <w:pPr>
        <w:spacing w:line="276" w:lineRule="auto"/>
        <w:rPr>
          <w:lang w:val="en-US"/>
        </w:rPr>
      </w:pPr>
      <w:r w:rsidRPr="002D528D">
        <w:rPr>
          <w:lang w:val="en-US"/>
        </w:rPr>
        <w:t>2- Differentiate between:</w:t>
      </w:r>
    </w:p>
    <w:p w14:paraId="444A310E" w14:textId="77777777" w:rsidR="00672345" w:rsidRPr="002D528D" w:rsidRDefault="00672345" w:rsidP="00672345">
      <w:pPr>
        <w:spacing w:line="276" w:lineRule="auto"/>
        <w:rPr>
          <w:lang w:val="en-US"/>
        </w:rPr>
      </w:pPr>
      <w:r w:rsidRPr="002D528D">
        <w:rPr>
          <w:lang w:val="en-US"/>
        </w:rPr>
        <w:t>Tangible heritage</w:t>
      </w:r>
    </w:p>
    <w:p w14:paraId="6D48D20E" w14:textId="77777777" w:rsidR="00672345" w:rsidRPr="002D528D" w:rsidRDefault="00672345" w:rsidP="00672345">
      <w:pPr>
        <w:spacing w:line="276" w:lineRule="auto"/>
      </w:pPr>
      <w:r w:rsidRPr="002D528D">
        <w:rPr>
          <w:lang w:val="en-US"/>
        </w:rPr>
        <w:t>Intangible heritage</w:t>
      </w:r>
    </w:p>
    <w:p w14:paraId="1DAF597A" w14:textId="77777777" w:rsidR="00672345" w:rsidRPr="002D528D" w:rsidRDefault="00672345">
      <w:pPr>
        <w:rPr>
          <w:lang w:val="en-US"/>
        </w:rPr>
      </w:pPr>
    </w:p>
    <w:p w14:paraId="5BD65637" w14:textId="77777777" w:rsidR="00706C01" w:rsidRPr="002D528D" w:rsidRDefault="00706C01">
      <w:pPr>
        <w:rPr>
          <w:lang w:val="en-US"/>
        </w:rPr>
      </w:pPr>
    </w:p>
    <w:p w14:paraId="17D8D603" w14:textId="77777777" w:rsidR="00706C01" w:rsidRPr="002D528D" w:rsidRDefault="00706C01">
      <w:pPr>
        <w:rPr>
          <w:lang w:val="en-US"/>
        </w:rPr>
      </w:pPr>
    </w:p>
    <w:p w14:paraId="5F29B98C" w14:textId="77777777" w:rsidR="00706C01" w:rsidRPr="002D528D" w:rsidRDefault="00706C01">
      <w:pPr>
        <w:rPr>
          <w:lang w:val="en-US"/>
        </w:rPr>
      </w:pPr>
    </w:p>
    <w:p w14:paraId="0CA7B702" w14:textId="77777777" w:rsidR="00706C01" w:rsidRPr="002D528D" w:rsidRDefault="00706C01">
      <w:pPr>
        <w:rPr>
          <w:lang w:val="en-US"/>
        </w:rPr>
      </w:pPr>
    </w:p>
    <w:p w14:paraId="26E51395" w14:textId="77777777" w:rsidR="00706C01" w:rsidRPr="002D528D" w:rsidRDefault="00706C01">
      <w:pPr>
        <w:rPr>
          <w:lang w:val="en-US"/>
        </w:rPr>
      </w:pPr>
    </w:p>
    <w:p w14:paraId="0384D70C" w14:textId="77777777" w:rsidR="00706C01" w:rsidRPr="002D528D" w:rsidRDefault="00706C01">
      <w:pPr>
        <w:rPr>
          <w:lang w:val="en-US"/>
        </w:rPr>
      </w:pPr>
    </w:p>
    <w:p w14:paraId="572FFFF2" w14:textId="77777777" w:rsidR="00706C01" w:rsidRPr="002D528D" w:rsidRDefault="00706C01">
      <w:pPr>
        <w:rPr>
          <w:lang w:val="en-US"/>
        </w:rPr>
      </w:pPr>
    </w:p>
    <w:p w14:paraId="6C277370" w14:textId="77777777" w:rsidR="00706C01" w:rsidRPr="002D528D" w:rsidRDefault="00706C01">
      <w:pPr>
        <w:rPr>
          <w:lang w:val="en-US"/>
        </w:rPr>
      </w:pPr>
    </w:p>
    <w:p w14:paraId="3515D7AB" w14:textId="77777777" w:rsidR="00706C01" w:rsidRPr="002D528D" w:rsidRDefault="00706C01">
      <w:pPr>
        <w:rPr>
          <w:lang w:val="en-US"/>
        </w:rPr>
      </w:pPr>
    </w:p>
    <w:p w14:paraId="61F77616" w14:textId="77777777" w:rsidR="00706C01" w:rsidRPr="002D528D" w:rsidRDefault="00706C01">
      <w:pPr>
        <w:rPr>
          <w:lang w:val="en-US"/>
        </w:rPr>
      </w:pPr>
    </w:p>
    <w:p w14:paraId="7D846D74" w14:textId="77777777" w:rsidR="00706C01" w:rsidRPr="002D528D" w:rsidRDefault="00706C01">
      <w:pPr>
        <w:rPr>
          <w:lang w:val="en-US"/>
        </w:rPr>
      </w:pPr>
    </w:p>
    <w:p w14:paraId="1953910D" w14:textId="77777777" w:rsidR="00706C01" w:rsidRPr="002D528D" w:rsidRDefault="00706C01">
      <w:pPr>
        <w:rPr>
          <w:lang w:val="en-US"/>
        </w:rPr>
      </w:pPr>
    </w:p>
    <w:p w14:paraId="5FD9FB84" w14:textId="77777777" w:rsidR="00706C01" w:rsidRPr="002D528D" w:rsidRDefault="00706C01">
      <w:pPr>
        <w:rPr>
          <w:lang w:val="en-US"/>
        </w:rPr>
      </w:pPr>
    </w:p>
    <w:p w14:paraId="46C7C63B" w14:textId="77777777" w:rsidR="00706C01" w:rsidRPr="002D528D" w:rsidRDefault="00706C01">
      <w:pPr>
        <w:rPr>
          <w:lang w:val="en-US"/>
        </w:rPr>
      </w:pPr>
    </w:p>
    <w:p w14:paraId="76CDD500" w14:textId="77777777" w:rsidR="00706C01" w:rsidRPr="002D528D" w:rsidRDefault="00706C01">
      <w:pPr>
        <w:rPr>
          <w:lang w:val="en-US"/>
        </w:rPr>
      </w:pPr>
    </w:p>
    <w:p w14:paraId="04A2658A" w14:textId="77777777" w:rsidR="00706C01" w:rsidRPr="002D528D" w:rsidRDefault="00706C01">
      <w:pPr>
        <w:rPr>
          <w:lang w:val="en-US"/>
        </w:rPr>
      </w:pPr>
    </w:p>
    <w:p w14:paraId="4E0A58DA" w14:textId="77777777" w:rsidR="00706C01" w:rsidRPr="002D528D" w:rsidRDefault="00706C01">
      <w:pPr>
        <w:rPr>
          <w:lang w:val="en-US"/>
        </w:rPr>
      </w:pPr>
    </w:p>
    <w:p w14:paraId="4DEDEE1F" w14:textId="77777777" w:rsidR="00706C01" w:rsidRPr="002D528D" w:rsidRDefault="00706C01">
      <w:pPr>
        <w:rPr>
          <w:lang w:val="en-US"/>
        </w:rPr>
      </w:pPr>
    </w:p>
    <w:p w14:paraId="37749029" w14:textId="77777777" w:rsidR="00E500D8" w:rsidRPr="00E500D8" w:rsidRDefault="00E500D8" w:rsidP="00E500D8">
      <w:pPr>
        <w:rPr>
          <w:b/>
          <w:bCs/>
          <w:lang w:val="en-GB"/>
        </w:rPr>
      </w:pPr>
      <w:r w:rsidRPr="00E500D8">
        <w:rPr>
          <w:b/>
          <w:bCs/>
          <w:lang w:val="en-GB"/>
        </w:rPr>
        <w:lastRenderedPageBreak/>
        <w:t>1. Cultural Heritage and UNESCO Perspective</w:t>
      </w:r>
    </w:p>
    <w:p w14:paraId="0DCB4AB1" w14:textId="77777777" w:rsidR="00E500D8" w:rsidRPr="00E500D8" w:rsidRDefault="00E500D8" w:rsidP="00E500D8">
      <w:pPr>
        <w:rPr>
          <w:lang w:val="en-GB"/>
        </w:rPr>
      </w:pPr>
      <w:r w:rsidRPr="00E500D8">
        <w:rPr>
          <w:lang w:val="en-GB"/>
        </w:rPr>
        <w:t>Cultural heritage can be understood as the collective legacy of traditions, objects, and values that societies inherit from previous generations and preserve for the future. It includes both physical artifacts and non-material cultural expressions that shape identity and continuity within communities (Harrison, 2013).</w:t>
      </w:r>
    </w:p>
    <w:p w14:paraId="4AFD1AF4" w14:textId="77777777" w:rsidR="00E500D8" w:rsidRPr="00E500D8" w:rsidRDefault="00E500D8" w:rsidP="00E500D8">
      <w:pPr>
        <w:rPr>
          <w:lang w:val="en-GB"/>
        </w:rPr>
      </w:pPr>
      <w:r w:rsidRPr="00E500D8">
        <w:rPr>
          <w:lang w:val="en-GB"/>
        </w:rPr>
        <w:t>UNESCO conceptualizes cultural heritage through an evolving and inclusive framework. Initially, the 1972 World Heritage Convention focused mainly on tangible heritage such as monuments, buildings, and archaeological sites of outstanding universal value. However, the organization later expanded its definition to include intangible cultural heritage, recognizing practices, traditions, languages, and knowledge systems as equally important (UNESCO, 2003).</w:t>
      </w:r>
    </w:p>
    <w:p w14:paraId="6AFFD463" w14:textId="77777777" w:rsidR="00E500D8" w:rsidRPr="00E500D8" w:rsidRDefault="00E500D8" w:rsidP="00E500D8">
      <w:pPr>
        <w:rPr>
          <w:lang w:val="en-GB"/>
        </w:rPr>
      </w:pPr>
      <w:r w:rsidRPr="00E500D8">
        <w:rPr>
          <w:lang w:val="en-GB"/>
        </w:rPr>
        <w:t>This broader understanding reflects a shift from viewing heritage as static objects to recognizing it as a living process. UNESCO emphasizes that heritage is continuously recreated by communities and plays a key role in maintaining cultural diversity and social cohesion (Logan et al., 2016).</w:t>
      </w:r>
    </w:p>
    <w:p w14:paraId="7383BA52" w14:textId="77777777" w:rsidR="00E500D8" w:rsidRPr="00E500D8" w:rsidRDefault="00E500D8" w:rsidP="00E500D8">
      <w:pPr>
        <w:rPr>
          <w:lang w:val="en-GB"/>
        </w:rPr>
      </w:pPr>
      <w:r w:rsidRPr="00E500D8">
        <w:rPr>
          <w:lang w:val="en-GB"/>
        </w:rPr>
        <w:t>Additionally, UNESCO promotes safeguarding strategies that involve local communities, ensuring that heritage remains relevant and sustainable. This approach highlights the importance of participation, transmission, and adaptation rather than mere preservation.</w:t>
      </w:r>
    </w:p>
    <w:p w14:paraId="7347A1FB" w14:textId="4D0652A1" w:rsidR="00E500D8" w:rsidRDefault="00E500D8" w:rsidP="00E500D8">
      <w:pPr>
        <w:rPr>
          <w:b/>
          <w:bCs/>
          <w:lang w:val="en-GB"/>
        </w:rPr>
      </w:pPr>
    </w:p>
    <w:p w14:paraId="4A0FFA90" w14:textId="77777777" w:rsidR="00E500D8" w:rsidRPr="00E500D8" w:rsidRDefault="00E500D8" w:rsidP="00E500D8">
      <w:pPr>
        <w:rPr>
          <w:lang w:val="en-GB"/>
        </w:rPr>
      </w:pPr>
    </w:p>
    <w:p w14:paraId="1E1E06D5" w14:textId="77777777" w:rsidR="00E500D8" w:rsidRPr="00E500D8" w:rsidRDefault="00E500D8" w:rsidP="00E500D8">
      <w:pPr>
        <w:rPr>
          <w:b/>
          <w:bCs/>
          <w:lang w:val="en-GB"/>
        </w:rPr>
      </w:pPr>
      <w:r w:rsidRPr="00E500D8">
        <w:rPr>
          <w:b/>
          <w:bCs/>
          <w:lang w:val="en-GB"/>
        </w:rPr>
        <w:t>2. Tangible vs Intangible Heritage</w:t>
      </w:r>
    </w:p>
    <w:p w14:paraId="00F8DB8B" w14:textId="77777777" w:rsidR="00E500D8" w:rsidRPr="00E500D8" w:rsidRDefault="00E500D8" w:rsidP="00E500D8">
      <w:pPr>
        <w:rPr>
          <w:lang w:val="en-GB"/>
        </w:rPr>
      </w:pPr>
      <w:r w:rsidRPr="00E500D8">
        <w:rPr>
          <w:lang w:val="en-GB"/>
        </w:rPr>
        <w:t>Tangible and intangible heritage represent two fundamental categories within cultural heritage, differing mainly in their physical nature and methods of preservation.</w:t>
      </w:r>
    </w:p>
    <w:p w14:paraId="660B25E1" w14:textId="77777777" w:rsidR="00E500D8" w:rsidRPr="00E500D8" w:rsidRDefault="00E500D8" w:rsidP="00E500D8">
      <w:pPr>
        <w:rPr>
          <w:lang w:val="en-GB"/>
        </w:rPr>
      </w:pPr>
      <w:r w:rsidRPr="00E500D8">
        <w:rPr>
          <w:lang w:val="en-GB"/>
        </w:rPr>
        <w:t>Tangible heritage refers to material culture, including buildings, monuments, artifacts, and historical sites. These are concrete and can be physically preserved through restoration and conservation techniques. Examples include castles, temples, and museum collections (Pendlebury, 2013).</w:t>
      </w:r>
    </w:p>
    <w:p w14:paraId="54B92665" w14:textId="77777777" w:rsidR="00E500D8" w:rsidRPr="00E500D8" w:rsidRDefault="00E500D8" w:rsidP="00E500D8">
      <w:pPr>
        <w:rPr>
          <w:lang w:val="en-GB"/>
        </w:rPr>
      </w:pPr>
      <w:r w:rsidRPr="00E500D8">
        <w:rPr>
          <w:lang w:val="en-GB"/>
        </w:rPr>
        <w:t>On the other hand, intangible heritage includes non-material cultural elements such as oral traditions, performing arts, rituals, and traditional craftsmanship. These forms of heritage exist through practice and are transmitted from generation to generation (</w:t>
      </w:r>
      <w:proofErr w:type="spellStart"/>
      <w:r w:rsidRPr="00E500D8">
        <w:rPr>
          <w:lang w:val="en-GB"/>
        </w:rPr>
        <w:t>Lenzerini</w:t>
      </w:r>
      <w:proofErr w:type="spellEnd"/>
      <w:r w:rsidRPr="00E500D8">
        <w:rPr>
          <w:lang w:val="en-GB"/>
        </w:rPr>
        <w:t>, 2011).</w:t>
      </w:r>
    </w:p>
    <w:p w14:paraId="5E02C715" w14:textId="77777777" w:rsidR="00E500D8" w:rsidRPr="00E500D8" w:rsidRDefault="00E500D8" w:rsidP="00E500D8">
      <w:pPr>
        <w:rPr>
          <w:lang w:val="en-GB"/>
        </w:rPr>
      </w:pPr>
      <w:r w:rsidRPr="00E500D8">
        <w:rPr>
          <w:lang w:val="en-GB"/>
        </w:rPr>
        <w:t>A major distinction lies in their sustainability. Tangible heritage can endure over time if properly conserved, whereas intangible heritage is more fragile because it depends on human participation. Without continuous practice, it can easily disappear.</w:t>
      </w:r>
    </w:p>
    <w:p w14:paraId="2B9C5B07" w14:textId="77777777" w:rsidR="00E500D8" w:rsidRPr="00E500D8" w:rsidRDefault="00E500D8" w:rsidP="00E500D8">
      <w:pPr>
        <w:rPr>
          <w:lang w:val="en-GB"/>
        </w:rPr>
      </w:pPr>
      <w:r w:rsidRPr="00E500D8">
        <w:rPr>
          <w:lang w:val="en-GB"/>
        </w:rPr>
        <w:t>Furthermore, intangible heritage often provides meaning to tangible heritage. For instance, a historic site may hold little significance without the cultural practices and beliefs associated with it. Therefore, both forms are interconnected and essential for a complete understanding of culture.</w:t>
      </w:r>
    </w:p>
    <w:p w14:paraId="285CF2B0" w14:textId="620C4266" w:rsidR="00E500D8" w:rsidRDefault="00E500D8" w:rsidP="00E500D8">
      <w:pPr>
        <w:rPr>
          <w:b/>
          <w:bCs/>
          <w:lang w:val="en-GB"/>
        </w:rPr>
      </w:pPr>
      <w:r w:rsidRPr="00E500D8">
        <w:rPr>
          <w:b/>
          <w:bCs/>
          <w:lang w:val="en-GB"/>
        </w:rPr>
        <w:t xml:space="preserve">References </w:t>
      </w:r>
    </w:p>
    <w:p w14:paraId="69291F36" w14:textId="77777777" w:rsidR="00E500D8" w:rsidRPr="00E500D8" w:rsidRDefault="00E500D8" w:rsidP="00E500D8">
      <w:pPr>
        <w:rPr>
          <w:lang w:val="en-GB"/>
        </w:rPr>
      </w:pPr>
    </w:p>
    <w:p w14:paraId="10D706EF" w14:textId="77777777" w:rsidR="00E500D8" w:rsidRPr="00E500D8" w:rsidRDefault="00E500D8" w:rsidP="00E500D8">
      <w:pPr>
        <w:numPr>
          <w:ilvl w:val="0"/>
          <w:numId w:val="9"/>
        </w:numPr>
        <w:rPr>
          <w:lang w:val="en-GB"/>
        </w:rPr>
      </w:pPr>
      <w:r w:rsidRPr="00E500D8">
        <w:rPr>
          <w:lang w:val="en-GB"/>
        </w:rPr>
        <w:t xml:space="preserve">Pendlebury, J. (2013). </w:t>
      </w:r>
      <w:r w:rsidRPr="00E500D8">
        <w:rPr>
          <w:i/>
          <w:iCs/>
          <w:lang w:val="en-GB"/>
        </w:rPr>
        <w:t>Conservation in the Age of Consensus</w:t>
      </w:r>
      <w:r w:rsidRPr="00E500D8">
        <w:rPr>
          <w:lang w:val="en-GB"/>
        </w:rPr>
        <w:t xml:space="preserve">. https://doi.org/10.4324/9780203121801 </w:t>
      </w:r>
    </w:p>
    <w:p w14:paraId="2431ACC2" w14:textId="77777777" w:rsidR="00E500D8" w:rsidRPr="00E500D8" w:rsidRDefault="00E500D8" w:rsidP="00E500D8">
      <w:pPr>
        <w:numPr>
          <w:ilvl w:val="0"/>
          <w:numId w:val="9"/>
        </w:numPr>
        <w:rPr>
          <w:lang w:val="en-GB"/>
        </w:rPr>
      </w:pPr>
      <w:proofErr w:type="spellStart"/>
      <w:r w:rsidRPr="00E500D8">
        <w:rPr>
          <w:lang w:val="en-GB"/>
        </w:rPr>
        <w:t>Lenzerini</w:t>
      </w:r>
      <w:proofErr w:type="spellEnd"/>
      <w:r w:rsidRPr="00E500D8">
        <w:rPr>
          <w:lang w:val="en-GB"/>
        </w:rPr>
        <w:t xml:space="preserve">, F. (2011). Intangible cultural heritage. </w:t>
      </w:r>
      <w:hyperlink r:id="rId6" w:tgtFrame="_new" w:history="1">
        <w:r w:rsidRPr="00E500D8">
          <w:rPr>
            <w:rStyle w:val="Hyperlink"/>
            <w:lang w:val="en-GB"/>
          </w:rPr>
          <w:t>https://doi.org/10.1093/ejil/chr006</w:t>
        </w:r>
      </w:hyperlink>
      <w:r w:rsidRPr="00E500D8">
        <w:rPr>
          <w:lang w:val="en-GB"/>
        </w:rPr>
        <w:t xml:space="preserve"> </w:t>
      </w:r>
    </w:p>
    <w:p w14:paraId="20BD4F38" w14:textId="77777777" w:rsidR="00E500D8" w:rsidRPr="00E500D8" w:rsidRDefault="00E500D8" w:rsidP="00E500D8">
      <w:pPr>
        <w:numPr>
          <w:ilvl w:val="0"/>
          <w:numId w:val="9"/>
        </w:numPr>
        <w:rPr>
          <w:lang w:val="en-GB"/>
        </w:rPr>
      </w:pPr>
      <w:r w:rsidRPr="00E500D8">
        <w:rPr>
          <w:lang w:val="en-GB"/>
        </w:rPr>
        <w:t xml:space="preserve">UNESCO. (2003). </w:t>
      </w:r>
      <w:r w:rsidRPr="00E500D8">
        <w:rPr>
          <w:i/>
          <w:iCs/>
          <w:lang w:val="en-GB"/>
        </w:rPr>
        <w:t>Convention for Intangible Cultural Heritage</w:t>
      </w:r>
      <w:r w:rsidRPr="00E500D8">
        <w:rPr>
          <w:lang w:val="en-GB"/>
        </w:rPr>
        <w:t xml:space="preserve">. </w:t>
      </w:r>
    </w:p>
    <w:p w14:paraId="1994C86D" w14:textId="77777777" w:rsidR="00E500D8" w:rsidRPr="00E500D8" w:rsidRDefault="00E500D8" w:rsidP="00E500D8">
      <w:pPr>
        <w:numPr>
          <w:ilvl w:val="0"/>
          <w:numId w:val="9"/>
        </w:numPr>
        <w:rPr>
          <w:lang w:val="en-GB"/>
        </w:rPr>
      </w:pPr>
      <w:r w:rsidRPr="00E500D8">
        <w:rPr>
          <w:lang w:val="en-GB"/>
        </w:rPr>
        <w:t xml:space="preserve">Harrison, R. (2013). </w:t>
      </w:r>
      <w:r w:rsidRPr="00E500D8">
        <w:rPr>
          <w:i/>
          <w:iCs/>
          <w:lang w:val="en-GB"/>
        </w:rPr>
        <w:t>Heritage: Critical Approaches</w:t>
      </w:r>
      <w:r w:rsidRPr="00E500D8">
        <w:rPr>
          <w:lang w:val="en-GB"/>
        </w:rPr>
        <w:t xml:space="preserve">. </w:t>
      </w:r>
    </w:p>
    <w:p w14:paraId="25196568" w14:textId="77777777" w:rsidR="00706C01" w:rsidRPr="002D528D" w:rsidRDefault="00706C01" w:rsidP="002D528D">
      <w:pPr>
        <w:rPr>
          <w:lang w:val="en-US"/>
        </w:rPr>
      </w:pPr>
    </w:p>
    <w:sectPr w:rsidR="00706C01" w:rsidRPr="002D5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544073F-9729-48A2-AD51-296CFDA55DA7}"/>
    <w:embedBold r:id="rId2" w:fontKey="{0A9DB112-8873-4012-B600-2386CD40C776}"/>
    <w:embedItalic r:id="rId3" w:fontKey="{4334F7B8-6F2E-48D2-A51F-239BE6B0EBB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E56B81F-4D4A-4B13-BC8C-15B1A3878AB6}"/>
  </w:font>
  <w:font w:name="Calibri Light">
    <w:panose1 w:val="020F0302020204030204"/>
    <w:charset w:val="00"/>
    <w:family w:val="swiss"/>
    <w:pitch w:val="variable"/>
    <w:sig w:usb0="E4002EFF" w:usb1="C000247B" w:usb2="00000009" w:usb3="00000000" w:csb0="000001FF" w:csb1="00000000"/>
    <w:embedRegular r:id="rId5" w:fontKey="{890E933A-9914-4E91-AABE-9054DE6EEDC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2676E"/>
    <w:multiLevelType w:val="multilevel"/>
    <w:tmpl w:val="64F6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652BA"/>
    <w:multiLevelType w:val="multilevel"/>
    <w:tmpl w:val="E30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D552F"/>
    <w:multiLevelType w:val="multilevel"/>
    <w:tmpl w:val="8A8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62FF1"/>
    <w:multiLevelType w:val="multilevel"/>
    <w:tmpl w:val="E7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A4529"/>
    <w:multiLevelType w:val="multilevel"/>
    <w:tmpl w:val="0284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EF79BE"/>
    <w:multiLevelType w:val="multilevel"/>
    <w:tmpl w:val="9758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2279F0"/>
    <w:multiLevelType w:val="multilevel"/>
    <w:tmpl w:val="99C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076B43"/>
    <w:multiLevelType w:val="multilevel"/>
    <w:tmpl w:val="584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9753A4"/>
    <w:multiLevelType w:val="multilevel"/>
    <w:tmpl w:val="1980A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7645453">
    <w:abstractNumId w:val="3"/>
  </w:num>
  <w:num w:numId="2" w16cid:durableId="403377365">
    <w:abstractNumId w:val="7"/>
  </w:num>
  <w:num w:numId="3" w16cid:durableId="1948080051">
    <w:abstractNumId w:val="8"/>
  </w:num>
  <w:num w:numId="4" w16cid:durableId="497385274">
    <w:abstractNumId w:val="2"/>
  </w:num>
  <w:num w:numId="5" w16cid:durableId="368846214">
    <w:abstractNumId w:val="1"/>
  </w:num>
  <w:num w:numId="6" w16cid:durableId="307705172">
    <w:abstractNumId w:val="5"/>
  </w:num>
  <w:num w:numId="7" w16cid:durableId="1343582672">
    <w:abstractNumId w:val="0"/>
  </w:num>
  <w:num w:numId="8" w16cid:durableId="1376812325">
    <w:abstractNumId w:val="4"/>
  </w:num>
  <w:num w:numId="9" w16cid:durableId="3888405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6BE1"/>
    <w:rsid w:val="0003533E"/>
    <w:rsid w:val="000524D7"/>
    <w:rsid w:val="001700EC"/>
    <w:rsid w:val="00174BB1"/>
    <w:rsid w:val="00224FD9"/>
    <w:rsid w:val="002D528D"/>
    <w:rsid w:val="002F4AE0"/>
    <w:rsid w:val="00384E8A"/>
    <w:rsid w:val="003D1074"/>
    <w:rsid w:val="00426865"/>
    <w:rsid w:val="00477CAA"/>
    <w:rsid w:val="00502E29"/>
    <w:rsid w:val="005E458B"/>
    <w:rsid w:val="00672345"/>
    <w:rsid w:val="00706C01"/>
    <w:rsid w:val="00844EC2"/>
    <w:rsid w:val="008516FE"/>
    <w:rsid w:val="009C1D0A"/>
    <w:rsid w:val="00A044F7"/>
    <w:rsid w:val="00A8150E"/>
    <w:rsid w:val="00B20343"/>
    <w:rsid w:val="00B85EA7"/>
    <w:rsid w:val="00BE65DD"/>
    <w:rsid w:val="00C612A4"/>
    <w:rsid w:val="00CC6AD1"/>
    <w:rsid w:val="00E500D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AE8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706C01"/>
    <w:rPr>
      <w:color w:val="0563C1" w:themeColor="hyperlink"/>
      <w:u w:val="single"/>
    </w:rPr>
  </w:style>
  <w:style w:type="character" w:styleId="UnresolvedMention">
    <w:name w:val="Unresolved Mention"/>
    <w:basedOn w:val="DefaultParagraphFont"/>
    <w:uiPriority w:val="99"/>
    <w:semiHidden/>
    <w:unhideWhenUsed/>
    <w:rsid w:val="0070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ejil/chr00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506</Words>
  <Characters>2885</Characters>
  <Application>Microsoft Office Word</Application>
  <DocSecurity>0</DocSecurity>
  <Lines>24</Lines>
  <Paragraphs>6</Paragraphs>
  <ScaleCrop>false</ScaleCrop>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2026-04-10T01:46:00Z</dcterms:created>
  <dcterms:modified xsi:type="dcterms:W3CDTF">2026-04-10T01:46:00Z</dcterms:modified>
</cp:coreProperties>
</file>