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A8BB6"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30754A" wp14:editId="3A105FA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8EA5B3"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977A30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4DB67665"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6BE8F0A2" w14:textId="77777777" w:rsidR="0019504D" w:rsidRDefault="0019504D"/>
    <w:p w14:paraId="62645EED" w14:textId="77777777" w:rsidR="0019504D" w:rsidRDefault="0019504D"/>
    <w:p w14:paraId="3F9A8F7A" w14:textId="77777777" w:rsidR="0019504D" w:rsidRDefault="0019504D"/>
    <w:p w14:paraId="277F0BF2" w14:textId="77777777" w:rsidR="0019504D" w:rsidRDefault="0019504D"/>
    <w:p w14:paraId="4FFA0779" w14:textId="77777777" w:rsidR="0019504D" w:rsidRDefault="0019504D"/>
    <w:p w14:paraId="45FD8E83" w14:textId="77777777" w:rsidR="00CD620A" w:rsidRDefault="00CD620A"/>
    <w:p w14:paraId="2B512476" w14:textId="77777777" w:rsidR="00CD620A" w:rsidRDefault="00CD620A"/>
    <w:p w14:paraId="62F099C8" w14:textId="77777777" w:rsidR="00CD620A" w:rsidRDefault="00CD620A"/>
    <w:p w14:paraId="43488278" w14:textId="77777777" w:rsidR="00CD620A" w:rsidRDefault="00CD620A"/>
    <w:p w14:paraId="4FC21640" w14:textId="77777777" w:rsidR="00CD620A" w:rsidRDefault="00CD620A"/>
    <w:p w14:paraId="63DC7B3A" w14:textId="77777777" w:rsidR="00EA737F" w:rsidRDefault="00EA737F"/>
    <w:p w14:paraId="1C704214" w14:textId="77777777" w:rsidR="0019504D" w:rsidRDefault="0019504D"/>
    <w:p w14:paraId="19A3C339" w14:textId="77777777" w:rsidR="0019504D" w:rsidRDefault="0019504D"/>
    <w:p w14:paraId="3A851FE6"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0258B41" w14:textId="77777777" w:rsidR="00CA2604" w:rsidRDefault="00CA2604" w:rsidP="00EA737F">
      <w:pPr>
        <w:spacing w:line="276" w:lineRule="auto"/>
        <w:rPr>
          <w:b/>
          <w:bCs/>
          <w:lang w:val="en-US"/>
        </w:rPr>
      </w:pPr>
    </w:p>
    <w:p w14:paraId="5B5C0824" w14:textId="77777777" w:rsidR="00CA2604" w:rsidRPr="00EA737F" w:rsidRDefault="00CA2604" w:rsidP="00EA737F">
      <w:pPr>
        <w:spacing w:line="276" w:lineRule="auto"/>
        <w:rPr>
          <w:b/>
          <w:bCs/>
          <w:lang w:val="en-US"/>
        </w:rPr>
      </w:pPr>
    </w:p>
    <w:p w14:paraId="74B12A83" w14:textId="77777777" w:rsidR="00EA737F" w:rsidRDefault="00EA737F" w:rsidP="00EA737F">
      <w:pPr>
        <w:spacing w:line="276" w:lineRule="auto"/>
        <w:rPr>
          <w:lang w:val="en-US"/>
        </w:rPr>
      </w:pPr>
    </w:p>
    <w:p w14:paraId="5D399B6F" w14:textId="77777777" w:rsidR="00335E8C" w:rsidRDefault="00335E8C" w:rsidP="00EA737F">
      <w:pPr>
        <w:spacing w:line="276" w:lineRule="auto"/>
        <w:rPr>
          <w:lang w:val="en-US"/>
        </w:rPr>
      </w:pPr>
    </w:p>
    <w:p w14:paraId="3719968E" w14:textId="77777777" w:rsidR="00335E8C" w:rsidRDefault="00335E8C" w:rsidP="00EA737F">
      <w:pPr>
        <w:spacing w:line="276" w:lineRule="auto"/>
        <w:rPr>
          <w:lang w:val="en-US"/>
        </w:rPr>
      </w:pPr>
    </w:p>
    <w:p w14:paraId="17EA8E06" w14:textId="77777777" w:rsidR="00335E8C" w:rsidRDefault="00335E8C" w:rsidP="00EA737F">
      <w:pPr>
        <w:spacing w:line="276" w:lineRule="auto"/>
        <w:rPr>
          <w:lang w:val="en-US"/>
        </w:rPr>
      </w:pPr>
    </w:p>
    <w:p w14:paraId="58674AB8" w14:textId="77777777" w:rsidR="00335E8C" w:rsidRDefault="00335E8C" w:rsidP="00EA737F">
      <w:pPr>
        <w:spacing w:line="276" w:lineRule="auto"/>
        <w:rPr>
          <w:lang w:val="en-US"/>
        </w:rPr>
      </w:pPr>
    </w:p>
    <w:p w14:paraId="5AAD54D4" w14:textId="77777777" w:rsidR="00335E8C" w:rsidRDefault="00335E8C" w:rsidP="00EA737F">
      <w:pPr>
        <w:spacing w:line="276" w:lineRule="auto"/>
        <w:rPr>
          <w:lang w:val="en-US"/>
        </w:rPr>
      </w:pPr>
    </w:p>
    <w:p w14:paraId="72D4907B" w14:textId="77777777" w:rsidR="00335E8C" w:rsidRDefault="00335E8C" w:rsidP="00EA737F">
      <w:pPr>
        <w:spacing w:line="276" w:lineRule="auto"/>
        <w:rPr>
          <w:lang w:val="en-US"/>
        </w:rPr>
      </w:pPr>
    </w:p>
    <w:p w14:paraId="261A681D" w14:textId="77777777" w:rsidR="00335E8C" w:rsidRDefault="00335E8C" w:rsidP="00EA737F">
      <w:pPr>
        <w:spacing w:line="276" w:lineRule="auto"/>
        <w:rPr>
          <w:lang w:val="en-US"/>
        </w:rPr>
      </w:pPr>
    </w:p>
    <w:p w14:paraId="79D7E544" w14:textId="77777777" w:rsidR="00335E8C" w:rsidRDefault="00335E8C" w:rsidP="00EA737F">
      <w:pPr>
        <w:spacing w:line="276" w:lineRule="auto"/>
        <w:rPr>
          <w:lang w:val="en-US"/>
        </w:rPr>
      </w:pPr>
    </w:p>
    <w:p w14:paraId="4DD12D22" w14:textId="77777777" w:rsidR="00335E8C" w:rsidRDefault="00335E8C" w:rsidP="00EA737F">
      <w:pPr>
        <w:spacing w:line="276" w:lineRule="auto"/>
        <w:rPr>
          <w:lang w:val="en-US"/>
        </w:rPr>
      </w:pPr>
    </w:p>
    <w:p w14:paraId="35DD7E42" w14:textId="77777777" w:rsidR="00335E8C" w:rsidRDefault="00335E8C" w:rsidP="00EA737F">
      <w:pPr>
        <w:spacing w:line="276" w:lineRule="auto"/>
        <w:rPr>
          <w:lang w:val="en-US"/>
        </w:rPr>
      </w:pPr>
    </w:p>
    <w:p w14:paraId="22909B73" w14:textId="77777777" w:rsidR="00335E8C" w:rsidRDefault="00335E8C" w:rsidP="00EA737F">
      <w:pPr>
        <w:spacing w:line="276" w:lineRule="auto"/>
        <w:rPr>
          <w:lang w:val="en-US"/>
        </w:rPr>
      </w:pPr>
    </w:p>
    <w:p w14:paraId="72FB832D" w14:textId="77777777" w:rsidR="00335E8C" w:rsidRDefault="00335E8C" w:rsidP="00EA737F">
      <w:pPr>
        <w:spacing w:line="276" w:lineRule="auto"/>
        <w:rPr>
          <w:lang w:val="en-US"/>
        </w:rPr>
      </w:pPr>
    </w:p>
    <w:p w14:paraId="13681756" w14:textId="77777777" w:rsidR="00335E8C" w:rsidRDefault="00335E8C" w:rsidP="00EA737F">
      <w:pPr>
        <w:spacing w:line="276" w:lineRule="auto"/>
        <w:rPr>
          <w:lang w:val="en-US"/>
        </w:rPr>
      </w:pPr>
    </w:p>
    <w:p w14:paraId="7E3653F8" w14:textId="77777777" w:rsidR="00335E8C" w:rsidRDefault="00335E8C" w:rsidP="00EA737F">
      <w:pPr>
        <w:spacing w:line="276" w:lineRule="auto"/>
        <w:rPr>
          <w:lang w:val="en-US"/>
        </w:rPr>
      </w:pPr>
    </w:p>
    <w:p w14:paraId="0FA6C07F" w14:textId="77777777" w:rsidR="00335E8C" w:rsidRDefault="00335E8C" w:rsidP="00EA737F">
      <w:pPr>
        <w:spacing w:line="276" w:lineRule="auto"/>
        <w:rPr>
          <w:lang w:val="en-US"/>
        </w:rPr>
      </w:pPr>
    </w:p>
    <w:p w14:paraId="4F9BB8E8" w14:textId="77777777" w:rsidR="00335E8C" w:rsidRDefault="00335E8C" w:rsidP="00EA737F">
      <w:pPr>
        <w:spacing w:line="276" w:lineRule="auto"/>
        <w:rPr>
          <w:lang w:val="en-US"/>
        </w:rPr>
      </w:pPr>
    </w:p>
    <w:p w14:paraId="4E82A2B3" w14:textId="77777777" w:rsidR="00335E8C" w:rsidRDefault="00335E8C" w:rsidP="00EA737F">
      <w:pPr>
        <w:spacing w:line="276" w:lineRule="auto"/>
        <w:rPr>
          <w:lang w:val="en-US"/>
        </w:rPr>
      </w:pPr>
    </w:p>
    <w:p w14:paraId="4F61EECC" w14:textId="77777777" w:rsidR="00335E8C" w:rsidRDefault="00335E8C" w:rsidP="00EA737F">
      <w:pPr>
        <w:spacing w:line="276" w:lineRule="auto"/>
        <w:rPr>
          <w:lang w:val="en-US"/>
        </w:rPr>
      </w:pPr>
    </w:p>
    <w:p w14:paraId="1CA9ED84" w14:textId="77777777" w:rsidR="00335E8C" w:rsidRDefault="00335E8C" w:rsidP="00EA737F">
      <w:pPr>
        <w:spacing w:line="276" w:lineRule="auto"/>
        <w:rPr>
          <w:lang w:val="en-US"/>
        </w:rPr>
      </w:pPr>
    </w:p>
    <w:p w14:paraId="10F78CFB" w14:textId="77777777" w:rsidR="00335E8C" w:rsidRDefault="00335E8C" w:rsidP="00EA737F">
      <w:pPr>
        <w:spacing w:line="276" w:lineRule="auto"/>
        <w:rPr>
          <w:lang w:val="en-US"/>
        </w:rPr>
      </w:pPr>
    </w:p>
    <w:p w14:paraId="7DB8590B" w14:textId="77777777" w:rsidR="00335E8C" w:rsidRDefault="00335E8C" w:rsidP="00EA737F">
      <w:pPr>
        <w:spacing w:line="276" w:lineRule="auto"/>
        <w:rPr>
          <w:lang w:val="en-US"/>
        </w:rPr>
      </w:pPr>
    </w:p>
    <w:p w14:paraId="54608F8C" w14:textId="77777777" w:rsidR="00335E8C" w:rsidRDefault="00335E8C" w:rsidP="00EA737F">
      <w:pPr>
        <w:spacing w:line="276" w:lineRule="auto"/>
        <w:rPr>
          <w:lang w:val="en-US"/>
        </w:rPr>
      </w:pPr>
    </w:p>
    <w:p w14:paraId="4BB8D0D6" w14:textId="77777777" w:rsidR="00EA737F" w:rsidRDefault="00EA737F" w:rsidP="003E6F9A">
      <w:pPr>
        <w:spacing w:line="276" w:lineRule="auto"/>
        <w:rPr>
          <w:b/>
          <w:bCs/>
          <w:lang w:val="en-US"/>
        </w:rPr>
      </w:pPr>
      <w:r w:rsidRPr="003E6F9A">
        <w:rPr>
          <w:b/>
          <w:bCs/>
          <w:lang w:val="en-US"/>
        </w:rPr>
        <w:lastRenderedPageBreak/>
        <w:t xml:space="preserve">1- </w:t>
      </w:r>
      <w:r w:rsidR="003E6F9A" w:rsidRPr="003E6F9A">
        <w:rPr>
          <w:b/>
          <w:bCs/>
          <w:lang w:val="en-US"/>
        </w:rPr>
        <w:t>What are the Challenges in Harmonizing Consumer Protection Standards Globally?</w:t>
      </w:r>
    </w:p>
    <w:p w14:paraId="3DEB0A5E" w14:textId="77777777" w:rsidR="00335E8C" w:rsidRDefault="00335E8C" w:rsidP="003E6F9A">
      <w:pPr>
        <w:spacing w:line="276" w:lineRule="auto"/>
        <w:rPr>
          <w:b/>
          <w:bCs/>
          <w:lang w:val="en-US"/>
        </w:rPr>
      </w:pPr>
    </w:p>
    <w:p w14:paraId="298AD81A" w14:textId="77777777" w:rsidR="00335E8C" w:rsidRPr="00335E8C" w:rsidRDefault="00335E8C" w:rsidP="00335E8C">
      <w:pPr>
        <w:spacing w:line="276" w:lineRule="auto"/>
        <w:rPr>
          <w:lang w:val="en-GB"/>
        </w:rPr>
      </w:pPr>
      <w:r w:rsidRPr="00335E8C">
        <w:rPr>
          <w:lang w:val="en-GB"/>
        </w:rPr>
        <w:t>Harmonizing consumer protection standards globally presents formidable challenges rooted in legal diversity, enforcement gaps, institutional weaknesses, technological evolution, and sovereignty concerns. These obstacles hinder the creation of a cohesive international framework, leaving consumers vulnerable in cross-border transactions.</w:t>
      </w:r>
    </w:p>
    <w:p w14:paraId="4E9116B1" w14:textId="77777777" w:rsidR="00335E8C" w:rsidRPr="00335E8C" w:rsidRDefault="00335E8C" w:rsidP="00335E8C">
      <w:pPr>
        <w:spacing w:line="276" w:lineRule="auto"/>
        <w:rPr>
          <w:lang w:val="en-GB"/>
        </w:rPr>
      </w:pPr>
      <w:r w:rsidRPr="00335E8C">
        <w:rPr>
          <w:lang w:val="en-GB"/>
        </w:rPr>
        <w:t>A primary barrier is the profound divergence in national consumer protection laws. Countries exhibit varying scopes of coverage, enforcement mechanisms, and substantive standards, often shaped by differing legal traditions and economic development levels. For instance, while advanced economies enforce stringent product safety and liability rules, many developing nations prioritize basic market access over comprehensive protections, making uniform standards politically contentious (Amelia et al., 2023). Harmonization efforts risk diluting robust domestic regimes to accommodate weaker ones, fostering resistance among policymakers.​</w:t>
      </w:r>
    </w:p>
    <w:p w14:paraId="2F205573" w14:textId="77777777" w:rsidR="00335E8C" w:rsidRPr="00335E8C" w:rsidRDefault="00335E8C" w:rsidP="00335E8C">
      <w:pPr>
        <w:spacing w:line="276" w:lineRule="auto"/>
        <w:rPr>
          <w:lang w:val="en-GB"/>
        </w:rPr>
      </w:pPr>
      <w:r w:rsidRPr="00335E8C">
        <w:rPr>
          <w:lang w:val="en-GB"/>
        </w:rPr>
        <w:t>Enforcement across borders compounds this issue. Jurisdictional conflicts, procedural incompatibilities, and limited extraterritorial powers prevent effective action against foreign violators. Even with international guidelines like the UNGCP, translating shared principles into practical cooperation—such as mutual legal assistance or data sharing—remains inconsistent (</w:t>
      </w:r>
      <w:proofErr w:type="spellStart"/>
      <w:r w:rsidRPr="00335E8C">
        <w:rPr>
          <w:lang w:val="en-GB"/>
        </w:rPr>
        <w:t>Benöhr</w:t>
      </w:r>
      <w:proofErr w:type="spellEnd"/>
      <w:r w:rsidRPr="00335E8C">
        <w:rPr>
          <w:lang w:val="en-GB"/>
        </w:rPr>
        <w:t>, 2020). This enables regulatory arbitrage, where firms exploit lax jurisdictions to target stricter markets via e-commerce.​</w:t>
      </w:r>
    </w:p>
    <w:p w14:paraId="067AEBC1" w14:textId="77777777" w:rsidR="00335E8C" w:rsidRPr="00335E8C" w:rsidRDefault="00335E8C" w:rsidP="00335E8C">
      <w:pPr>
        <w:spacing w:line="276" w:lineRule="auto"/>
        <w:rPr>
          <w:lang w:val="en-GB"/>
        </w:rPr>
      </w:pPr>
      <w:r w:rsidRPr="00335E8C">
        <w:rPr>
          <w:lang w:val="en-GB"/>
        </w:rPr>
        <w:t>Institutional capacity deficits further impede progress. Under-resourced agencies in low-income countries struggle with digital surveillance, technical expertise, and participation in global networks, perpetuating uneven implementation (UNCTAD, 2024). Technological disruptions, including AI-driven personalization and platform economies, exacerbate fragmentation as nations adopt divergent regulatory responses.​</w:t>
      </w:r>
    </w:p>
    <w:p w14:paraId="34B30FD3" w14:textId="77777777" w:rsidR="00335E8C" w:rsidRPr="00335E8C" w:rsidRDefault="00335E8C" w:rsidP="00335E8C">
      <w:pPr>
        <w:spacing w:line="276" w:lineRule="auto"/>
        <w:rPr>
          <w:lang w:val="en-GB"/>
        </w:rPr>
      </w:pPr>
      <w:r w:rsidRPr="00335E8C">
        <w:rPr>
          <w:lang w:val="en-GB"/>
        </w:rPr>
        <w:t>Sovereignty and cultural variances also resist supranational alignment. States guard autonomy over culturally sensitive areas like risk tolerance and moral standards, limiting binding treaties (OECD, 2024).​</w:t>
      </w:r>
    </w:p>
    <w:p w14:paraId="5472DAC8" w14:textId="77777777" w:rsidR="00335E8C" w:rsidRDefault="00335E8C" w:rsidP="00335E8C">
      <w:pPr>
        <w:spacing w:line="276" w:lineRule="auto"/>
        <w:rPr>
          <w:lang w:val="en-GB"/>
        </w:rPr>
      </w:pPr>
      <w:r w:rsidRPr="00335E8C">
        <w:rPr>
          <w:lang w:val="en-GB"/>
        </w:rPr>
        <w:t>In conclusion, while soft-law frameworks offer promise, overcoming these multifaceted challenges demands targeted capacity-building, innovative cooperation tools, and gradual convergence.</w:t>
      </w:r>
    </w:p>
    <w:p w14:paraId="3702078D" w14:textId="77777777" w:rsidR="00335E8C" w:rsidRDefault="00335E8C" w:rsidP="00335E8C">
      <w:pPr>
        <w:spacing w:line="276" w:lineRule="auto"/>
        <w:rPr>
          <w:lang w:val="en-GB"/>
        </w:rPr>
      </w:pPr>
    </w:p>
    <w:p w14:paraId="6BB0B6DE" w14:textId="77777777" w:rsidR="00335E8C" w:rsidRDefault="00335E8C" w:rsidP="00335E8C">
      <w:pPr>
        <w:spacing w:line="276" w:lineRule="auto"/>
        <w:rPr>
          <w:lang w:val="en-GB"/>
        </w:rPr>
      </w:pPr>
    </w:p>
    <w:p w14:paraId="2653C0FA" w14:textId="77777777" w:rsidR="00335E8C" w:rsidRDefault="00335E8C" w:rsidP="00335E8C">
      <w:pPr>
        <w:spacing w:line="276" w:lineRule="auto"/>
        <w:rPr>
          <w:lang w:val="en-GB"/>
        </w:rPr>
      </w:pPr>
    </w:p>
    <w:p w14:paraId="1EA70DE6" w14:textId="77777777" w:rsidR="00335E8C" w:rsidRDefault="00335E8C" w:rsidP="00335E8C">
      <w:pPr>
        <w:spacing w:line="276" w:lineRule="auto"/>
        <w:rPr>
          <w:lang w:val="en-GB"/>
        </w:rPr>
      </w:pPr>
    </w:p>
    <w:p w14:paraId="17E12FB7" w14:textId="77777777" w:rsidR="00335E8C" w:rsidRDefault="00335E8C" w:rsidP="00335E8C">
      <w:pPr>
        <w:spacing w:line="276" w:lineRule="auto"/>
        <w:rPr>
          <w:lang w:val="en-GB"/>
        </w:rPr>
      </w:pPr>
    </w:p>
    <w:p w14:paraId="7E1EEFD4" w14:textId="77777777" w:rsidR="00335E8C" w:rsidRDefault="00335E8C" w:rsidP="00335E8C">
      <w:pPr>
        <w:spacing w:line="276" w:lineRule="auto"/>
        <w:rPr>
          <w:lang w:val="en-GB"/>
        </w:rPr>
      </w:pPr>
    </w:p>
    <w:p w14:paraId="4B2B86EC" w14:textId="77777777" w:rsidR="00335E8C" w:rsidRDefault="00335E8C" w:rsidP="00335E8C">
      <w:pPr>
        <w:spacing w:line="276" w:lineRule="auto"/>
        <w:rPr>
          <w:lang w:val="en-GB"/>
        </w:rPr>
      </w:pPr>
    </w:p>
    <w:p w14:paraId="43BD37A7" w14:textId="77777777" w:rsidR="00335E8C" w:rsidRDefault="00335E8C" w:rsidP="00335E8C">
      <w:pPr>
        <w:spacing w:line="276" w:lineRule="auto"/>
        <w:rPr>
          <w:lang w:val="en-GB"/>
        </w:rPr>
      </w:pPr>
    </w:p>
    <w:p w14:paraId="02D7AA2F" w14:textId="77777777" w:rsidR="00335E8C" w:rsidRDefault="00335E8C" w:rsidP="00335E8C">
      <w:pPr>
        <w:spacing w:line="276" w:lineRule="auto"/>
        <w:rPr>
          <w:lang w:val="en-GB"/>
        </w:rPr>
      </w:pPr>
    </w:p>
    <w:p w14:paraId="2AE800EC" w14:textId="77777777" w:rsidR="00335E8C" w:rsidRPr="00335E8C" w:rsidRDefault="00335E8C" w:rsidP="00335E8C">
      <w:pPr>
        <w:spacing w:line="276" w:lineRule="auto"/>
        <w:rPr>
          <w:lang w:val="en-GB"/>
        </w:rPr>
      </w:pPr>
    </w:p>
    <w:p w14:paraId="0DF7E1DC" w14:textId="77777777" w:rsidR="00335E8C" w:rsidRDefault="00335E8C" w:rsidP="003E6F9A">
      <w:pPr>
        <w:spacing w:line="276" w:lineRule="auto"/>
        <w:rPr>
          <w:b/>
          <w:bCs/>
          <w:lang w:val="en-US"/>
        </w:rPr>
      </w:pPr>
    </w:p>
    <w:p w14:paraId="5C102E5A" w14:textId="185F0EA8" w:rsidR="00335E8C" w:rsidRDefault="00335E8C" w:rsidP="003E6F9A">
      <w:pPr>
        <w:spacing w:line="276" w:lineRule="auto"/>
        <w:rPr>
          <w:b/>
          <w:bCs/>
          <w:lang w:val="en-US"/>
        </w:rPr>
      </w:pPr>
      <w:r>
        <w:rPr>
          <w:b/>
          <w:bCs/>
          <w:lang w:val="en-US"/>
        </w:rPr>
        <w:t xml:space="preserve">References </w:t>
      </w:r>
    </w:p>
    <w:p w14:paraId="0B2D2BFE" w14:textId="77777777" w:rsidR="00335E8C" w:rsidRPr="00335E8C" w:rsidRDefault="00335E8C" w:rsidP="00335E8C">
      <w:pPr>
        <w:spacing w:line="276" w:lineRule="auto"/>
        <w:rPr>
          <w:b/>
          <w:bCs/>
          <w:lang w:val="en-GB"/>
        </w:rPr>
      </w:pPr>
      <w:r w:rsidRPr="00335E8C">
        <w:rPr>
          <w:b/>
          <w:bCs/>
          <w:lang w:val="en-GB"/>
        </w:rPr>
        <w:t>Amelia, R., et al. (2023). Harmonizing Consumer Protection Laws: E-commerce as Catalyst. </w:t>
      </w:r>
      <w:r w:rsidRPr="00335E8C">
        <w:rPr>
          <w:b/>
          <w:bCs/>
          <w:i/>
          <w:iCs/>
          <w:lang w:val="en-GB"/>
        </w:rPr>
        <w:t>Advances in Social Science, Education and Humanities Research</w:t>
      </w:r>
      <w:r w:rsidRPr="00335E8C">
        <w:rPr>
          <w:b/>
          <w:bCs/>
          <w:lang w:val="en-GB"/>
        </w:rPr>
        <w:t>, 851, 1198-1204. </w:t>
      </w:r>
      <w:hyperlink r:id="rId5" w:tgtFrame="_blank" w:history="1">
        <w:r w:rsidRPr="00335E8C">
          <w:rPr>
            <w:rStyle w:val="Hyperlink"/>
            <w:b/>
            <w:bCs/>
            <w:lang w:val="en-GB"/>
          </w:rPr>
          <w:t>https://doi.org/10.2991/978-2-38476-180-7_155</w:t>
        </w:r>
      </w:hyperlink>
      <w:r w:rsidRPr="00335E8C">
        <w:rPr>
          <w:b/>
          <w:bCs/>
          <w:lang w:val="en-GB"/>
        </w:rPr>
        <w:t>​</w:t>
      </w:r>
    </w:p>
    <w:p w14:paraId="5EFD53FD" w14:textId="77777777" w:rsidR="00335E8C" w:rsidRPr="00335E8C" w:rsidRDefault="00335E8C" w:rsidP="00335E8C">
      <w:pPr>
        <w:spacing w:line="276" w:lineRule="auto"/>
        <w:rPr>
          <w:b/>
          <w:bCs/>
          <w:lang w:val="en-GB"/>
        </w:rPr>
      </w:pPr>
      <w:proofErr w:type="spellStart"/>
      <w:r w:rsidRPr="00335E8C">
        <w:rPr>
          <w:b/>
          <w:bCs/>
          <w:lang w:val="en-GB"/>
        </w:rPr>
        <w:t>Benöhr</w:t>
      </w:r>
      <w:proofErr w:type="spellEnd"/>
      <w:r w:rsidRPr="00335E8C">
        <w:rPr>
          <w:b/>
          <w:bCs/>
          <w:lang w:val="en-GB"/>
        </w:rPr>
        <w:t>, I. (2020). The United Nations Guidelines for Consumer Protection: Legal and institutional aspects. </w:t>
      </w:r>
      <w:r w:rsidRPr="00335E8C">
        <w:rPr>
          <w:b/>
          <w:bCs/>
          <w:i/>
          <w:iCs/>
          <w:lang w:val="en-GB"/>
        </w:rPr>
        <w:t>Journal of Consumer Policy</w:t>
      </w:r>
      <w:r w:rsidRPr="00335E8C">
        <w:rPr>
          <w:b/>
          <w:bCs/>
          <w:lang w:val="en-GB"/>
        </w:rPr>
        <w:t>, 43(1), 85-113. </w:t>
      </w:r>
      <w:hyperlink r:id="rId6" w:tgtFrame="_blank" w:history="1">
        <w:r w:rsidRPr="00335E8C">
          <w:rPr>
            <w:rStyle w:val="Hyperlink"/>
            <w:b/>
            <w:bCs/>
            <w:lang w:val="en-GB"/>
          </w:rPr>
          <w:t>https://doi.org/10.1007/s10603-019-09443-y</w:t>
        </w:r>
      </w:hyperlink>
      <w:r w:rsidRPr="00335E8C">
        <w:rPr>
          <w:b/>
          <w:bCs/>
          <w:lang w:val="en-GB"/>
        </w:rPr>
        <w:t>​</w:t>
      </w:r>
    </w:p>
    <w:p w14:paraId="378BEAE6" w14:textId="77777777" w:rsidR="00335E8C" w:rsidRPr="00335E8C" w:rsidRDefault="00335E8C" w:rsidP="00335E8C">
      <w:pPr>
        <w:spacing w:line="276" w:lineRule="auto"/>
        <w:rPr>
          <w:b/>
          <w:bCs/>
          <w:lang w:val="en-GB"/>
        </w:rPr>
      </w:pPr>
      <w:r w:rsidRPr="00335E8C">
        <w:rPr>
          <w:b/>
          <w:bCs/>
          <w:lang w:val="en-GB"/>
        </w:rPr>
        <w:t>UNCTAD. (2024). </w:t>
      </w:r>
      <w:r w:rsidRPr="00335E8C">
        <w:rPr>
          <w:b/>
          <w:bCs/>
          <w:i/>
          <w:iCs/>
          <w:lang w:val="en-GB"/>
        </w:rPr>
        <w:t>Emerging trends and challenges in consumer product safety</w:t>
      </w:r>
      <w:r w:rsidRPr="00335E8C">
        <w:rPr>
          <w:b/>
          <w:bCs/>
          <w:lang w:val="en-GB"/>
        </w:rPr>
        <w:t>. United Nations Conference on Trade and Development. </w:t>
      </w:r>
      <w:hyperlink r:id="rId7" w:tgtFrame="_blank" w:history="1">
        <w:r w:rsidRPr="00335E8C">
          <w:rPr>
            <w:rStyle w:val="Hyperlink"/>
            <w:b/>
            <w:bCs/>
            <w:lang w:val="en-GB"/>
          </w:rPr>
          <w:t>https://unctad.org/system/files/official-document/ditccplp2024d1_en.pdf</w:t>
        </w:r>
      </w:hyperlink>
      <w:r w:rsidRPr="00335E8C">
        <w:rPr>
          <w:b/>
          <w:bCs/>
          <w:lang w:val="en-GB"/>
        </w:rPr>
        <w:t>​</w:t>
      </w:r>
    </w:p>
    <w:p w14:paraId="6A73E62E" w14:textId="77777777" w:rsidR="00335E8C" w:rsidRPr="00335E8C" w:rsidRDefault="00335E8C" w:rsidP="003E6F9A">
      <w:pPr>
        <w:spacing w:line="276" w:lineRule="auto"/>
        <w:rPr>
          <w:b/>
          <w:bCs/>
          <w:lang w:val="en-US"/>
        </w:rPr>
      </w:pPr>
    </w:p>
    <w:sectPr w:rsidR="00335E8C" w:rsidRPr="00335E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41E43E58-91AA-46F5-B7DA-0E67A77E39B4}"/>
    <w:embedBold r:id="rId2" w:fontKey="{73E05250-82F9-483C-AC7F-F0FD79763723}"/>
    <w:embedBoldItalic r:id="rId3" w:fontKey="{096F0EDC-FDAB-4512-B249-FBF8DF0D594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66CB15A-02D5-4151-B5D9-63B62FCBEDAA}"/>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D8AD9655-037E-4C1C-9A4A-D8F320B3EC3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35E8C"/>
    <w:rsid w:val="00384E8A"/>
    <w:rsid w:val="003D1074"/>
    <w:rsid w:val="003E6F9A"/>
    <w:rsid w:val="00424B85"/>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7D5C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335E8C"/>
    <w:rPr>
      <w:color w:val="0563C1" w:themeColor="hyperlink"/>
      <w:u w:val="single"/>
    </w:rPr>
  </w:style>
  <w:style w:type="character" w:styleId="UnresolvedMention">
    <w:name w:val="Unresolved Mention"/>
    <w:basedOn w:val="DefaultParagraphFont"/>
    <w:uiPriority w:val="99"/>
    <w:semiHidden/>
    <w:unhideWhenUsed/>
    <w:rsid w:val="00335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unctad.org/system/files/official-document/ditccplp2024d1_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603-019-09443-y" TargetMode="External"/><Relationship Id="rId5" Type="http://schemas.openxmlformats.org/officeDocument/2006/relationships/hyperlink" Target="https://doi.org/10.2991/978-2-38476-180-7_155"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507</Words>
  <Characters>2892</Characters>
  <Application>Microsoft Office Word</Application>
  <DocSecurity>0</DocSecurity>
  <Lines>24</Lines>
  <Paragraphs>6</Paragraphs>
  <ScaleCrop>false</ScaleCrop>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2026-02-04T13:18:00Z</dcterms:created>
  <dcterms:modified xsi:type="dcterms:W3CDTF">2026-02-04T13:18:00Z</dcterms:modified>
</cp:coreProperties>
</file>