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6A6A86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p w14:paraId="7408BCC8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lastRenderedPageBreak/>
        <w:t xml:space="preserve">SWOT Analysis of </w:t>
      </w:r>
      <w:proofErr w:type="spellStart"/>
      <w:r w:rsidRPr="00BF0CC1">
        <w:rPr>
          <w:b/>
          <w:bCs/>
          <w:lang w:val="en-GB"/>
        </w:rPr>
        <w:t>Chichén</w:t>
      </w:r>
      <w:proofErr w:type="spellEnd"/>
      <w:r w:rsidRPr="00BF0CC1">
        <w:rPr>
          <w:b/>
          <w:bCs/>
          <w:lang w:val="en-GB"/>
        </w:rPr>
        <w:t xml:space="preserve"> </w:t>
      </w:r>
      <w:proofErr w:type="spellStart"/>
      <w:r w:rsidRPr="00BF0CC1">
        <w:rPr>
          <w:b/>
          <w:bCs/>
          <w:lang w:val="en-GB"/>
        </w:rPr>
        <w:t>Itzá</w:t>
      </w:r>
      <w:proofErr w:type="spellEnd"/>
      <w:r w:rsidRPr="00BF0CC1">
        <w:rPr>
          <w:b/>
          <w:bCs/>
          <w:lang w:val="en-GB"/>
        </w:rPr>
        <w:t xml:space="preserve"> (Mexico)</w:t>
      </w:r>
    </w:p>
    <w:p w14:paraId="0E3F46F6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SWOT Analysis Table</w:t>
      </w:r>
    </w:p>
    <w:tbl>
      <w:tblPr>
        <w:tblStyle w:val="ListTable5Dark-Accent3"/>
        <w:tblW w:w="0" w:type="auto"/>
        <w:tblLook w:val="04A0" w:firstRow="1" w:lastRow="0" w:firstColumn="1" w:lastColumn="0" w:noHBand="0" w:noVBand="1"/>
      </w:tblPr>
      <w:tblGrid>
        <w:gridCol w:w="2262"/>
        <w:gridCol w:w="2230"/>
        <w:gridCol w:w="2230"/>
        <w:gridCol w:w="2244"/>
      </w:tblGrid>
      <w:tr w:rsidR="00BF0CC1" w:rsidRPr="00BF0CC1" w14:paraId="1FDB4D4C" w14:textId="77777777" w:rsidTr="00BF0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2C91FA0D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77327E6A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6728A377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1D13E8EB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Threats</w:t>
            </w:r>
          </w:p>
        </w:tc>
      </w:tr>
      <w:tr w:rsidR="00BF0CC1" w:rsidRPr="00BF0CC1" w14:paraId="5221A5DF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3132DA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UNESCO World Heritage Site and one of the New Seven Wonders of the World, recognized for its outstanding Mayan heritage.</w:t>
            </w:r>
          </w:p>
        </w:tc>
        <w:tc>
          <w:tcPr>
            <w:tcW w:w="0" w:type="auto"/>
            <w:hideMark/>
          </w:tcPr>
          <w:p w14:paraId="6978B1A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Ancient limestone structures require continuous restoration and conservation.</w:t>
            </w:r>
          </w:p>
        </w:tc>
        <w:tc>
          <w:tcPr>
            <w:tcW w:w="0" w:type="auto"/>
            <w:hideMark/>
          </w:tcPr>
          <w:p w14:paraId="5644596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Expand digital tourism through Virtual Reality (VR), Augmented Reality (AR), and virtual museum experiences.</w:t>
            </w:r>
          </w:p>
        </w:tc>
        <w:tc>
          <w:tcPr>
            <w:tcW w:w="0" w:type="auto"/>
            <w:hideMark/>
          </w:tcPr>
          <w:p w14:paraId="17271A1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Climate change, hurricanes, and heavy rainfall accelerate the deterioration of archaeological structures.</w:t>
            </w:r>
          </w:p>
        </w:tc>
      </w:tr>
      <w:tr w:rsidR="00BF0CC1" w:rsidRPr="00BF0CC1" w14:paraId="4ABB45E6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E545F5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Rich historical, cultural, and archaeological significance attracts millions of domestic and international visitors annually.</w:t>
            </w:r>
          </w:p>
        </w:tc>
        <w:tc>
          <w:tcPr>
            <w:tcW w:w="0" w:type="auto"/>
            <w:hideMark/>
          </w:tcPr>
          <w:p w14:paraId="49B9C210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Visitor overcrowding during peak seasons affects both the monument and visitor experience.</w:t>
            </w:r>
          </w:p>
        </w:tc>
        <w:tc>
          <w:tcPr>
            <w:tcW w:w="0" w:type="auto"/>
            <w:hideMark/>
          </w:tcPr>
          <w:p w14:paraId="7656B59A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international archaeological research and cultural exchange programs.</w:t>
            </w:r>
          </w:p>
        </w:tc>
        <w:tc>
          <w:tcPr>
            <w:tcW w:w="0" w:type="auto"/>
            <w:hideMark/>
          </w:tcPr>
          <w:p w14:paraId="7781D452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Environmental pollution and natural erosion threaten the long-term preservation of the site.</w:t>
            </w:r>
          </w:p>
        </w:tc>
      </w:tr>
      <w:tr w:rsidR="00BF0CC1" w:rsidRPr="00BF0CC1" w14:paraId="162D2E80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7568FE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Significant contributor to Mexico's tourism economy and cultural identity.</w:t>
            </w:r>
          </w:p>
        </w:tc>
        <w:tc>
          <w:tcPr>
            <w:tcW w:w="0" w:type="auto"/>
            <w:hideMark/>
          </w:tcPr>
          <w:p w14:paraId="6C4982F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Limited accessibility and visitor facilities in some parts of the archaeological complex.</w:t>
            </w:r>
          </w:p>
        </w:tc>
        <w:tc>
          <w:tcPr>
            <w:tcW w:w="0" w:type="auto"/>
            <w:hideMark/>
          </w:tcPr>
          <w:p w14:paraId="5B32C58D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Promote sustainable tourism by engaging local communities in conservation and tourism activities.</w:t>
            </w:r>
          </w:p>
        </w:tc>
        <w:tc>
          <w:tcPr>
            <w:tcW w:w="0" w:type="auto"/>
            <w:hideMark/>
          </w:tcPr>
          <w:p w14:paraId="45D1A17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Illegal artifact trafficking, vandalism, and uncontrolled tourism activities pose risks to the site.</w:t>
            </w:r>
          </w:p>
        </w:tc>
      </w:tr>
    </w:tbl>
    <w:p w14:paraId="5E5DA22A" w14:textId="77777777" w:rsidR="00BF0CC1" w:rsidRPr="00BF0CC1" w:rsidRDefault="00BF0CC1" w:rsidP="00BF0CC1">
      <w:pPr>
        <w:pStyle w:val="ListParagraph"/>
        <w:spacing w:line="276" w:lineRule="auto"/>
        <w:rPr>
          <w:lang w:val="en-GB"/>
        </w:rPr>
      </w:pPr>
      <w:r w:rsidRPr="00BF0CC1">
        <w:rPr>
          <w:lang w:val="en-GB"/>
        </w:rPr>
        <w:pict w14:anchorId="4EA990A6">
          <v:rect id="_x0000_i1212" style="width:0;height:1.5pt" o:hralign="center" o:hrstd="t" o:hr="t" fillcolor="#a0a0a0" stroked="f"/>
        </w:pict>
      </w:r>
    </w:p>
    <w:p w14:paraId="492311E7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lastRenderedPageBreak/>
        <w:t>Linking the SWOT Analysis to Objectives, Strategies, and Actions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2251"/>
        <w:gridCol w:w="2217"/>
        <w:gridCol w:w="2218"/>
        <w:gridCol w:w="2340"/>
      </w:tblGrid>
      <w:tr w:rsidR="00BF0CC1" w:rsidRPr="00BF0CC1" w14:paraId="7E5A14AA" w14:textId="77777777" w:rsidTr="00BF0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72B34B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08551F10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449561FC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31DCCABA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Actions</w:t>
            </w:r>
          </w:p>
        </w:tc>
      </w:tr>
      <w:tr w:rsidR="00BF0CC1" w:rsidRPr="00BF0CC1" w14:paraId="5952EBA1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D7A874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4C665D2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Preserve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 as a globally recognized cultural heritage site.</w:t>
            </w:r>
          </w:p>
        </w:tc>
        <w:tc>
          <w:tcPr>
            <w:tcW w:w="0" w:type="auto"/>
            <w:hideMark/>
          </w:tcPr>
          <w:p w14:paraId="0E109A68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conservation through international partnerships.</w:t>
            </w:r>
          </w:p>
        </w:tc>
        <w:tc>
          <w:tcPr>
            <w:tcW w:w="0" w:type="auto"/>
            <w:hideMark/>
          </w:tcPr>
          <w:p w14:paraId="2E003736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Collaborate with UNESCO, Mexico's National Institute of Anthropology and History (INAH), and international conservation organizations to secure funding and technical expertise.</w:t>
            </w:r>
          </w:p>
        </w:tc>
      </w:tr>
      <w:tr w:rsidR="00BF0CC1" w:rsidRPr="00BF0CC1" w14:paraId="44E7E95A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D26779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2: Historical and archaeological importance</w:t>
            </w:r>
          </w:p>
        </w:tc>
        <w:tc>
          <w:tcPr>
            <w:tcW w:w="0" w:type="auto"/>
            <w:hideMark/>
          </w:tcPr>
          <w:p w14:paraId="27C708F1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Enhance public understanding of Mayan civilization.</w:t>
            </w:r>
          </w:p>
        </w:tc>
        <w:tc>
          <w:tcPr>
            <w:tcW w:w="0" w:type="auto"/>
            <w:hideMark/>
          </w:tcPr>
          <w:p w14:paraId="19AECFA8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Promote educational tourism and cultural interpretation.</w:t>
            </w:r>
          </w:p>
        </w:tc>
        <w:tc>
          <w:tcPr>
            <w:tcW w:w="0" w:type="auto"/>
            <w:hideMark/>
          </w:tcPr>
          <w:p w14:paraId="62612C28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guided heritage tours, museum exhibitions, educational workshops, and multilingual information materials.</w:t>
            </w:r>
          </w:p>
        </w:tc>
      </w:tr>
      <w:tr w:rsidR="00BF0CC1" w:rsidRPr="00BF0CC1" w14:paraId="0F5C99C3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EFEDFA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Strength 3: Strong tourism demand</w:t>
            </w:r>
          </w:p>
        </w:tc>
        <w:tc>
          <w:tcPr>
            <w:tcW w:w="0" w:type="auto"/>
            <w:hideMark/>
          </w:tcPr>
          <w:p w14:paraId="02893FD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Increase tourism benefits while protecting the archaeological site.</w:t>
            </w:r>
          </w:p>
        </w:tc>
        <w:tc>
          <w:tcPr>
            <w:tcW w:w="0" w:type="auto"/>
            <w:hideMark/>
          </w:tcPr>
          <w:p w14:paraId="6663523A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0B567895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Introduce online ticket reservations, timed-entry systems, improved visitor centres, and professional guide services.</w:t>
            </w:r>
          </w:p>
        </w:tc>
      </w:tr>
      <w:tr w:rsidR="00BF0CC1" w:rsidRPr="00BF0CC1" w14:paraId="50C992B0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E839911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Weakness 1: High conservation requirements</w:t>
            </w:r>
          </w:p>
        </w:tc>
        <w:tc>
          <w:tcPr>
            <w:tcW w:w="0" w:type="auto"/>
            <w:hideMark/>
          </w:tcPr>
          <w:p w14:paraId="4994091A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Ensure long-term preservation of archaeological structures.</w:t>
            </w:r>
          </w:p>
        </w:tc>
        <w:tc>
          <w:tcPr>
            <w:tcW w:w="0" w:type="auto"/>
            <w:hideMark/>
          </w:tcPr>
          <w:p w14:paraId="4F2E01E3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sustainable conservation funding.</w:t>
            </w:r>
          </w:p>
        </w:tc>
        <w:tc>
          <w:tcPr>
            <w:tcW w:w="0" w:type="auto"/>
            <w:hideMark/>
          </w:tcPr>
          <w:p w14:paraId="330B3A55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Secure government funding, private sponsorships, international grants, and allocate tourism revenue for restoration projects.</w:t>
            </w:r>
          </w:p>
        </w:tc>
      </w:tr>
      <w:tr w:rsidR="00BF0CC1" w:rsidRPr="00BF0CC1" w14:paraId="7F993098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0D528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Weakness 2: Visitor overcrowding</w:t>
            </w:r>
          </w:p>
        </w:tc>
        <w:tc>
          <w:tcPr>
            <w:tcW w:w="0" w:type="auto"/>
            <w:hideMark/>
          </w:tcPr>
          <w:p w14:paraId="7A24417C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experience and reduce damage to the site.</w:t>
            </w:r>
          </w:p>
        </w:tc>
        <w:tc>
          <w:tcPr>
            <w:tcW w:w="0" w:type="auto"/>
            <w:hideMark/>
          </w:tcPr>
          <w:p w14:paraId="5BF12B94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Implement effective crowd management strategies.</w:t>
            </w:r>
          </w:p>
        </w:tc>
        <w:tc>
          <w:tcPr>
            <w:tcW w:w="0" w:type="auto"/>
            <w:hideMark/>
          </w:tcPr>
          <w:p w14:paraId="4E21BE95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Introduce visitor quotas, designated walking routes, and encourage off-season tourism.</w:t>
            </w:r>
          </w:p>
        </w:tc>
      </w:tr>
      <w:tr w:rsidR="00BF0CC1" w:rsidRPr="00BF0CC1" w14:paraId="143DBF04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EA2896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Weakness 3: Limited accessibility</w:t>
            </w:r>
          </w:p>
        </w:tc>
        <w:tc>
          <w:tcPr>
            <w:tcW w:w="0" w:type="auto"/>
            <w:hideMark/>
          </w:tcPr>
          <w:p w14:paraId="5C23D59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visitor access while protecting the heritage site.</w:t>
            </w:r>
          </w:p>
        </w:tc>
        <w:tc>
          <w:tcPr>
            <w:tcW w:w="0" w:type="auto"/>
            <w:hideMark/>
          </w:tcPr>
          <w:p w14:paraId="65C5C630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Upgrade tourism infrastructure responsibly.</w:t>
            </w:r>
          </w:p>
        </w:tc>
        <w:tc>
          <w:tcPr>
            <w:tcW w:w="0" w:type="auto"/>
            <w:hideMark/>
          </w:tcPr>
          <w:p w14:paraId="6F511273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pathways, signage, shuttle services, and accessibility features for elderly and disabled visitors where feasible.</w:t>
            </w:r>
          </w:p>
        </w:tc>
      </w:tr>
      <w:tr w:rsidR="00BF0CC1" w:rsidRPr="00BF0CC1" w14:paraId="03A5F2D2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D5AC0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633595D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Increase global access to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Itzá.</w:t>
            </w:r>
          </w:p>
        </w:tc>
        <w:tc>
          <w:tcPr>
            <w:tcW w:w="0" w:type="auto"/>
            <w:hideMark/>
          </w:tcPr>
          <w:p w14:paraId="19C2E26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647550B4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Develop VR tours, AR mobile applications, virtual exhibitions, and interactive educational platforms.</w:t>
            </w:r>
          </w:p>
        </w:tc>
      </w:tr>
      <w:tr w:rsidR="00BF0CC1" w:rsidRPr="00BF0CC1" w14:paraId="50FF032A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610535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>Opportunity 2: International research collaboration</w:t>
            </w:r>
          </w:p>
        </w:tc>
        <w:tc>
          <w:tcPr>
            <w:tcW w:w="0" w:type="auto"/>
            <w:hideMark/>
          </w:tcPr>
          <w:p w14:paraId="75118E74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Advance archaeological knowledge and conservation practices.</w:t>
            </w:r>
          </w:p>
        </w:tc>
        <w:tc>
          <w:tcPr>
            <w:tcW w:w="0" w:type="auto"/>
            <w:hideMark/>
          </w:tcPr>
          <w:p w14:paraId="3D92EDEE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partnerships with universities and research institutions.</w:t>
            </w:r>
          </w:p>
        </w:tc>
        <w:tc>
          <w:tcPr>
            <w:tcW w:w="0" w:type="auto"/>
            <w:hideMark/>
          </w:tcPr>
          <w:p w14:paraId="48BE8B9E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Conduct joint archaeological excavations, conservation research, and heritage management training.</w:t>
            </w:r>
          </w:p>
        </w:tc>
      </w:tr>
      <w:tr w:rsidR="00BF0CC1" w:rsidRPr="00BF0CC1" w14:paraId="441ED050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294922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Opportunity 3: Community-based tourism</w:t>
            </w:r>
          </w:p>
        </w:tc>
        <w:tc>
          <w:tcPr>
            <w:tcW w:w="0" w:type="auto"/>
            <w:hideMark/>
          </w:tcPr>
          <w:p w14:paraId="64E78640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Improve local economic development while preserving cultural heritage.</w:t>
            </w:r>
          </w:p>
        </w:tc>
        <w:tc>
          <w:tcPr>
            <w:tcW w:w="0" w:type="auto"/>
            <w:hideMark/>
          </w:tcPr>
          <w:p w14:paraId="21162A7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Encourage local participation in tourism.</w:t>
            </w:r>
          </w:p>
        </w:tc>
        <w:tc>
          <w:tcPr>
            <w:tcW w:w="0" w:type="auto"/>
            <w:hideMark/>
          </w:tcPr>
          <w:p w14:paraId="6A68735E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Support local artisans, traditional cultural performances, eco-tourism businesses, and community-led tourism initiatives.</w:t>
            </w:r>
          </w:p>
        </w:tc>
      </w:tr>
      <w:tr w:rsidR="00BF0CC1" w:rsidRPr="00BF0CC1" w14:paraId="1E6DE97F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2A6DDE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Threat 1: Climate change and natural disasters</w:t>
            </w:r>
          </w:p>
        </w:tc>
        <w:tc>
          <w:tcPr>
            <w:tcW w:w="0" w:type="auto"/>
            <w:hideMark/>
          </w:tcPr>
          <w:p w14:paraId="0FC5D191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Reduce environmental risks to the archaeological site.</w:t>
            </w:r>
          </w:p>
        </w:tc>
        <w:tc>
          <w:tcPr>
            <w:tcW w:w="0" w:type="auto"/>
            <w:hideMark/>
          </w:tcPr>
          <w:p w14:paraId="33055B27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Strengthen environmental monitoring and disaster preparedness.</w:t>
            </w:r>
          </w:p>
        </w:tc>
        <w:tc>
          <w:tcPr>
            <w:tcW w:w="0" w:type="auto"/>
            <w:hideMark/>
          </w:tcPr>
          <w:p w14:paraId="6F86B8D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Install weather monitoring systems, improve drainage infrastructure, and develop emergency conservation plans.</w:t>
            </w:r>
          </w:p>
        </w:tc>
      </w:tr>
      <w:tr w:rsidR="00BF0CC1" w:rsidRPr="00BF0CC1" w14:paraId="09A287FA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A37B6F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Threat 2: Environmental erosion</w:t>
            </w:r>
          </w:p>
        </w:tc>
        <w:tc>
          <w:tcPr>
            <w:tcW w:w="0" w:type="auto"/>
            <w:hideMark/>
          </w:tcPr>
          <w:p w14:paraId="0FC34A69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Protect archaeological structures from long-term deterioration.</w:t>
            </w:r>
          </w:p>
        </w:tc>
        <w:tc>
          <w:tcPr>
            <w:tcW w:w="0" w:type="auto"/>
            <w:hideMark/>
          </w:tcPr>
          <w:p w14:paraId="520A6600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Implement preventive conservation measures.</w:t>
            </w:r>
          </w:p>
        </w:tc>
        <w:tc>
          <w:tcPr>
            <w:tcW w:w="0" w:type="auto"/>
            <w:hideMark/>
          </w:tcPr>
          <w:p w14:paraId="73F7EF41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Conduct regular structural inspections, stone restoration, and landscape management programs.</w:t>
            </w:r>
          </w:p>
        </w:tc>
      </w:tr>
      <w:tr w:rsidR="00BF0CC1" w:rsidRPr="00BF0CC1" w14:paraId="51C182E7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4742EF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 xml:space="preserve">Threat 3: Vandalism </w:t>
            </w:r>
            <w:r w:rsidRPr="00BF0CC1">
              <w:rPr>
                <w:lang w:val="en-GB"/>
              </w:rPr>
              <w:lastRenderedPageBreak/>
              <w:t>and illegal artifact trafficking</w:t>
            </w:r>
          </w:p>
        </w:tc>
        <w:tc>
          <w:tcPr>
            <w:tcW w:w="0" w:type="auto"/>
            <w:hideMark/>
          </w:tcPr>
          <w:p w14:paraId="37DF9EBF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Strengthen heritage </w:t>
            </w:r>
            <w:r w:rsidRPr="00BF0CC1">
              <w:rPr>
                <w:lang w:val="en-GB"/>
              </w:rPr>
              <w:lastRenderedPageBreak/>
              <w:t>protection and visitor safety.</w:t>
            </w:r>
          </w:p>
        </w:tc>
        <w:tc>
          <w:tcPr>
            <w:tcW w:w="0" w:type="auto"/>
            <w:hideMark/>
          </w:tcPr>
          <w:p w14:paraId="18D9C9A6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Enhance security </w:t>
            </w:r>
            <w:r w:rsidRPr="00BF0CC1">
              <w:rPr>
                <w:lang w:val="en-GB"/>
              </w:rPr>
              <w:lastRenderedPageBreak/>
              <w:t>systems and legal enforcement.</w:t>
            </w:r>
          </w:p>
        </w:tc>
        <w:tc>
          <w:tcPr>
            <w:tcW w:w="0" w:type="auto"/>
            <w:hideMark/>
          </w:tcPr>
          <w:p w14:paraId="7619AAFC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lastRenderedPageBreak/>
              <w:t xml:space="preserve">Increase CCTV surveillance, </w:t>
            </w:r>
            <w:r w:rsidRPr="00BF0CC1">
              <w:rPr>
                <w:lang w:val="en-GB"/>
              </w:rPr>
              <w:lastRenderedPageBreak/>
              <w:t>deploy trained security personnel, improve artifact documentation, and enforce stricter penalties for heritage crimes.</w:t>
            </w:r>
          </w:p>
        </w:tc>
      </w:tr>
    </w:tbl>
    <w:p w14:paraId="07C7AD6A" w14:textId="77777777" w:rsidR="00BF0CC1" w:rsidRPr="00BF0CC1" w:rsidRDefault="00BF0CC1" w:rsidP="00BF0CC1">
      <w:pPr>
        <w:pStyle w:val="ListParagraph"/>
        <w:spacing w:line="276" w:lineRule="auto"/>
        <w:rPr>
          <w:lang w:val="en-GB"/>
        </w:rPr>
      </w:pPr>
      <w:r w:rsidRPr="00BF0CC1">
        <w:rPr>
          <w:lang w:val="en-GB"/>
        </w:rPr>
        <w:lastRenderedPageBreak/>
        <w:pict w14:anchorId="5A1F0B7E">
          <v:rect id="_x0000_i1213" style="width:0;height:1.5pt" o:hralign="center" o:hrstd="t" o:hr="t" fillcolor="#a0a0a0" stroked="f"/>
        </w:pict>
      </w:r>
    </w:p>
    <w:p w14:paraId="125478A7" w14:textId="77777777" w:rsidR="00BF0CC1" w:rsidRPr="00BF0CC1" w:rsidRDefault="00BF0CC1" w:rsidP="00BF0CC1">
      <w:pPr>
        <w:pStyle w:val="ListParagraph"/>
        <w:spacing w:line="276" w:lineRule="auto"/>
        <w:rPr>
          <w:b/>
          <w:bCs/>
          <w:lang w:val="en-GB"/>
        </w:rPr>
      </w:pPr>
      <w:r w:rsidRPr="00BF0CC1">
        <w:rPr>
          <w:b/>
          <w:bCs/>
          <w:lang w:val="en-GB"/>
        </w:rPr>
        <w:t>Summary Table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1979"/>
        <w:gridCol w:w="7047"/>
      </w:tblGrid>
      <w:tr w:rsidR="00BF0CC1" w:rsidRPr="00BF0CC1" w14:paraId="1BB0B0AE" w14:textId="77777777" w:rsidTr="00BF0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A55A8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B8F18A1" w14:textId="77777777" w:rsidR="00BF0CC1" w:rsidRPr="00BF0CC1" w:rsidRDefault="00BF0CC1" w:rsidP="00BF0CC1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Key Focus</w:t>
            </w:r>
          </w:p>
        </w:tc>
      </w:tr>
      <w:tr w:rsidR="00BF0CC1" w:rsidRPr="00BF0CC1" w14:paraId="0E9F72C9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476D508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3DD77B3C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 xml:space="preserve">Preserve </w:t>
            </w:r>
            <w:proofErr w:type="spellStart"/>
            <w:r w:rsidRPr="00BF0CC1">
              <w:rPr>
                <w:lang w:val="en-GB"/>
              </w:rPr>
              <w:t>Chichén</w:t>
            </w:r>
            <w:proofErr w:type="spellEnd"/>
            <w:r w:rsidRPr="00BF0CC1">
              <w:rPr>
                <w:lang w:val="en-GB"/>
              </w:rPr>
              <w:t xml:space="preserve"> Itzá's cultural heritage, improve visitor experience, strengthen conservation, promote sustainable tourism, and support local community development.</w:t>
            </w:r>
          </w:p>
        </w:tc>
      </w:tr>
      <w:tr w:rsidR="00BF0CC1" w:rsidRPr="00BF0CC1" w14:paraId="72D42F0C" w14:textId="77777777" w:rsidTr="00BF0C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032F29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1334FCD5" w14:textId="77777777" w:rsidR="00BF0CC1" w:rsidRPr="00BF0CC1" w:rsidRDefault="00BF0CC1" w:rsidP="00BF0CC1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Heritage conservation, digital innovation, sustainable tourism, visitor management, international collaboration, environmental protection, and community engagement.</w:t>
            </w:r>
          </w:p>
        </w:tc>
      </w:tr>
      <w:tr w:rsidR="00BF0CC1" w:rsidRPr="00BF0CC1" w14:paraId="250574FA" w14:textId="77777777" w:rsidTr="00BF0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1DDDFD" w14:textId="77777777" w:rsidR="00BF0CC1" w:rsidRPr="00BF0CC1" w:rsidRDefault="00BF0CC1" w:rsidP="00BF0CC1">
            <w:pPr>
              <w:pStyle w:val="ListParagraph"/>
              <w:spacing w:line="276" w:lineRule="auto"/>
              <w:rPr>
                <w:lang w:val="en-GB"/>
              </w:rPr>
            </w:pPr>
            <w:r w:rsidRPr="00BF0CC1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1DA0BDB" w14:textId="77777777" w:rsidR="00BF0CC1" w:rsidRPr="00BF0CC1" w:rsidRDefault="00BF0CC1" w:rsidP="00BF0CC1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BF0CC1">
              <w:rPr>
                <w:lang w:val="en-GB"/>
              </w:rPr>
              <w:t>Restoration projects, VR and AR experiences, online ticketing, educational programs, accessibility improvements, environmental monitoring, enhanced security, disaster preparedness, and partnerships with local communities and research institutions.</w:t>
            </w:r>
          </w:p>
        </w:tc>
      </w:tr>
    </w:tbl>
    <w:p w14:paraId="4B9FEF74" w14:textId="77777777" w:rsidR="00BF0CC1" w:rsidRDefault="00BF0CC1" w:rsidP="004E190D">
      <w:pPr>
        <w:pStyle w:val="ListParagraph"/>
        <w:spacing w:line="276" w:lineRule="auto"/>
        <w:ind w:left="0"/>
        <w:rPr>
          <w:lang w:val="en-US"/>
        </w:rPr>
      </w:pPr>
    </w:p>
    <w:sectPr w:rsidR="00BF0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F066093-7172-4F0B-994A-157BC1F60C8B}"/>
    <w:embedBold r:id="rId2" w:fontKey="{B815500B-F665-42A8-AFCA-1FF276253B5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8460C31-98D9-4918-89C1-454FBD07B2A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313F1574-1CFB-4B50-8867-A5A823F1823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955FE"/>
    <w:rsid w:val="007C7917"/>
    <w:rsid w:val="00844EC2"/>
    <w:rsid w:val="008516FE"/>
    <w:rsid w:val="0089075B"/>
    <w:rsid w:val="009231A0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D2C2D"/>
    <w:rsid w:val="00BE5257"/>
    <w:rsid w:val="00BE65DD"/>
    <w:rsid w:val="00BF0CC1"/>
    <w:rsid w:val="00C612A4"/>
    <w:rsid w:val="00C80777"/>
    <w:rsid w:val="00CB519B"/>
    <w:rsid w:val="00CC6AD1"/>
    <w:rsid w:val="00CF34F8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CB51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4">
    <w:name w:val="Grid Table 1 Light Accent 4"/>
    <w:basedOn w:val="TableNormal"/>
    <w:uiPriority w:val="46"/>
    <w:rsid w:val="007955FE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5Dark-Accent4">
    <w:name w:val="List Table 5 Dark Accent 4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BF0CC1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2026-06-25T14:10:00Z</dcterms:created>
  <dcterms:modified xsi:type="dcterms:W3CDTF">2026-06-25T14:10:00Z</dcterms:modified>
</cp:coreProperties>
</file>