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12020731" w:displacedByCustomXml="next"/>
    <w:sdt>
      <w:sdtPr>
        <w:id w:val="1354766572"/>
        <w:docPartObj>
          <w:docPartGallery w:val="Cover Pages"/>
          <w:docPartUnique/>
        </w:docPartObj>
      </w:sdtPr>
      <w:sdtEndPr>
        <w:rPr>
          <w:rStyle w:val="Strong"/>
          <w:rFonts w:ascii="Times New Roman" w:hAnsi="Times New Roman" w:cs="Times New Roman"/>
          <w:b/>
          <w:bCs/>
          <w:sz w:val="24"/>
          <w:szCs w:val="24"/>
        </w:rPr>
      </w:sdtEndPr>
      <w:sdtContent>
        <w:p w14:paraId="449743DA" w14:textId="61DA7902" w:rsidR="001223F9" w:rsidRDefault="001223F9">
          <w:r>
            <w:rPr>
              <w:noProof/>
            </w:rPr>
            <mc:AlternateContent>
              <mc:Choice Requires="wps">
                <w:drawing>
                  <wp:anchor distT="0" distB="0" distL="114300" distR="114300" simplePos="0" relativeHeight="251660288" behindDoc="0" locked="0" layoutInCell="1" allowOverlap="1" wp14:anchorId="41CB5236" wp14:editId="156135DE">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4"/>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039003" w14:textId="39A4A11E" w:rsidR="001223F9" w:rsidRDefault="001223F9">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1CB5236" id="_x0000_t202" coordsize="21600,21600" o:spt="202" path="m,l,21600r21600,l21600,xe">
                    <v:stroke joinstyle="miter"/>
                    <v:path gradientshapeok="t" o:connecttype="rect"/>
                  </v:shapetype>
                  <v:shape id="Text Box 4"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53039003" w14:textId="39A4A11E" w:rsidR="001223F9" w:rsidRDefault="001223F9">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F09708B" wp14:editId="282F88F9">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5"/>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69B00BC" w14:textId="6F2945BE" w:rsidR="001223F9" w:rsidRDefault="001223F9">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F09708B" id="Text Box 5"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69B00BC" w14:textId="6F2945BE" w:rsidR="001223F9" w:rsidRDefault="001223F9">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3A42E9BF" w14:textId="7A1B4208" w:rsidR="001223F9" w:rsidRPr="00EA6149" w:rsidRDefault="00AF2FE6">
          <w:pPr>
            <w:rPr>
              <w:rStyle w:val="Strong"/>
              <w:rFonts w:ascii="Times New Roman" w:hAnsi="Times New Roman" w:cs="Times New Roman"/>
              <w:sz w:val="24"/>
              <w:szCs w:val="24"/>
            </w:rPr>
          </w:pPr>
          <w:r>
            <w:rPr>
              <w:noProof/>
            </w:rPr>
            <mc:AlternateContent>
              <mc:Choice Requires="wps">
                <w:drawing>
                  <wp:anchor distT="0" distB="0" distL="114300" distR="114300" simplePos="0" relativeHeight="251659264" behindDoc="0" locked="0" layoutInCell="1" allowOverlap="1" wp14:anchorId="42A67154" wp14:editId="0F953470">
                    <wp:simplePos x="0" y="0"/>
                    <wp:positionH relativeFrom="margin">
                      <wp:align>center</wp:align>
                    </wp:positionH>
                    <wp:positionV relativeFrom="page">
                      <wp:posOffset>1828800</wp:posOffset>
                    </wp:positionV>
                    <wp:extent cx="7414260" cy="3764280"/>
                    <wp:effectExtent l="0" t="0" r="0" b="7620"/>
                    <wp:wrapSquare wrapText="bothSides"/>
                    <wp:docPr id="154" name="Text Box 6"/>
                    <wp:cNvGraphicFramePr/>
                    <a:graphic xmlns:a="http://schemas.openxmlformats.org/drawingml/2006/main">
                      <a:graphicData uri="http://schemas.microsoft.com/office/word/2010/wordprocessingShape">
                        <wps:wsp>
                          <wps:cNvSpPr txBox="1"/>
                          <wps:spPr>
                            <a:xfrm>
                              <a:off x="0" y="0"/>
                              <a:ext cx="7414260" cy="37642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C2048D" w14:textId="77777777" w:rsidR="00EA6149" w:rsidRDefault="00EA6149" w:rsidP="00285CAB">
                                <w:pPr>
                                  <w:rPr>
                                    <w:caps/>
                                    <w:color w:val="4472C4" w:themeColor="accent1"/>
                                    <w:sz w:val="44"/>
                                    <w:szCs w:val="44"/>
                                  </w:rPr>
                                </w:pPr>
                                <w:r>
                                  <w:rPr>
                                    <w:noProof/>
                                  </w:rPr>
                                  <w:drawing>
                                    <wp:inline distT="0" distB="0" distL="0" distR="0" wp14:anchorId="3E4505EA" wp14:editId="7900B686">
                                      <wp:extent cx="4580952" cy="809524"/>
                                      <wp:effectExtent l="0" t="0" r="0" b="0"/>
                                      <wp:docPr id="11679609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960958" name=""/>
                                              <pic:cNvPicPr/>
                                            </pic:nvPicPr>
                                            <pic:blipFill>
                                              <a:blip r:embed="rId6"/>
                                              <a:stretch>
                                                <a:fillRect/>
                                              </a:stretch>
                                            </pic:blipFill>
                                            <pic:spPr>
                                              <a:xfrm>
                                                <a:off x="0" y="0"/>
                                                <a:ext cx="4580952" cy="809524"/>
                                              </a:xfrm>
                                              <a:prstGeom prst="rect">
                                                <a:avLst/>
                                              </a:prstGeom>
                                            </pic:spPr>
                                          </pic:pic>
                                        </a:graphicData>
                                      </a:graphic>
                                    </wp:inline>
                                  </w:drawing>
                                </w:r>
                              </w:p>
                              <w:p w14:paraId="6DC35C22" w14:textId="77777777" w:rsidR="00EA6149" w:rsidRDefault="00EA6149" w:rsidP="00285CAB">
                                <w:pPr>
                                  <w:rPr>
                                    <w:caps/>
                                    <w:color w:val="4472C4" w:themeColor="accent1"/>
                                    <w:sz w:val="44"/>
                                    <w:szCs w:val="44"/>
                                  </w:rPr>
                                </w:pPr>
                              </w:p>
                              <w:p w14:paraId="28ABE5ED" w14:textId="77777777" w:rsidR="00EA6149" w:rsidRDefault="00EA6149" w:rsidP="00285CAB">
                                <w:pPr>
                                  <w:rPr>
                                    <w:caps/>
                                    <w:color w:val="4472C4" w:themeColor="accent1"/>
                                    <w:sz w:val="44"/>
                                    <w:szCs w:val="44"/>
                                  </w:rPr>
                                </w:pPr>
                              </w:p>
                              <w:p w14:paraId="1BB74B55" w14:textId="47B02023" w:rsidR="001223F9" w:rsidRDefault="00285CAB" w:rsidP="00285CAB">
                                <w:pPr>
                                  <w:rPr>
                                    <w:color w:val="404040" w:themeColor="text1" w:themeTint="BF"/>
                                  </w:rPr>
                                </w:pPr>
                                <w:r w:rsidRPr="00285CAB">
                                  <w:rPr>
                                    <w:caps/>
                                    <w:color w:val="4472C4" w:themeColor="accent1"/>
                                    <w:sz w:val="44"/>
                                    <w:szCs w:val="44"/>
                                  </w:rPr>
                                  <w:t xml:space="preserve">Title: </w:t>
                                </w:r>
                                <w:r w:rsidR="00AF2FE6" w:rsidRPr="00285CAB">
                                  <w:rPr>
                                    <w:caps/>
                                    <w:color w:val="4472C4" w:themeColor="accent1"/>
                                    <w:sz w:val="44"/>
                                    <w:szCs w:val="44"/>
                                  </w:rPr>
                                  <w:t>Quality and Sustainability in Tourism and Hospitality</w:t>
                                </w:r>
                                <w:sdt>
                                  <w:sdtPr>
                                    <w:rPr>
                                      <w:color w:val="404040" w:themeColor="text1" w:themeTint="BF"/>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sidR="00AF2FE6" w:rsidRPr="00285CAB">
                                      <w:rPr>
                                        <w:color w:val="404040" w:themeColor="text1" w:themeTint="BF"/>
                                      </w:rPr>
                                      <w:t xml:space="preserve">     </w:t>
                                    </w:r>
                                  </w:sdtContent>
                                </w:sdt>
                              </w:p>
                              <w:p w14:paraId="4ACDC272" w14:textId="7CC42123" w:rsidR="00EA6149" w:rsidRPr="001C3ABD" w:rsidRDefault="00EA6149" w:rsidP="00285CAB">
                                <w:pPr>
                                  <w:rPr>
                                    <w:b/>
                                    <w:bCs/>
                                    <w:color w:val="404040" w:themeColor="text1" w:themeTint="BF"/>
                                  </w:rPr>
                                </w:pPr>
                              </w:p>
                              <w:p w14:paraId="3DBEEA5F" w14:textId="428E8679" w:rsidR="00EF508F" w:rsidRPr="001C3ABD" w:rsidRDefault="00EA6149" w:rsidP="00285CAB">
                                <w:pPr>
                                  <w:rPr>
                                    <w:b/>
                                    <w:bCs/>
                                    <w:color w:val="404040" w:themeColor="text1" w:themeTint="BF"/>
                                    <w:sz w:val="28"/>
                                    <w:szCs w:val="28"/>
                                  </w:rPr>
                                </w:pPr>
                                <w:r w:rsidRPr="001C3ABD">
                                  <w:rPr>
                                    <w:b/>
                                    <w:bCs/>
                                    <w:color w:val="404040" w:themeColor="text1" w:themeTint="BF"/>
                                    <w:sz w:val="28"/>
                                    <w:szCs w:val="28"/>
                                  </w:rPr>
                                  <w:t xml:space="preserve">Name: </w:t>
                                </w:r>
                                <w:r w:rsidR="001F19DC" w:rsidRPr="001C3ABD">
                                  <w:rPr>
                                    <w:b/>
                                    <w:bCs/>
                                    <w:color w:val="404040" w:themeColor="text1" w:themeTint="BF"/>
                                    <w:sz w:val="28"/>
                                    <w:szCs w:val="28"/>
                                  </w:rPr>
                                  <w:t xml:space="preserve"> </w:t>
                                </w:r>
                                <w:r w:rsidR="00001127">
                                  <w:rPr>
                                    <w:b/>
                                    <w:bCs/>
                                    <w:color w:val="404040" w:themeColor="text1" w:themeTint="BF"/>
                                    <w:sz w:val="28"/>
                                    <w:szCs w:val="28"/>
                                  </w:rPr>
                                  <w:t>NIRMALA RANI</w:t>
                                </w:r>
                              </w:p>
                              <w:p w14:paraId="0B382957" w14:textId="2FE3633C" w:rsidR="00EA6149" w:rsidRDefault="00EF508F" w:rsidP="00285CAB">
                                <w:pPr>
                                  <w:rPr>
                                    <w:color w:val="404040" w:themeColor="text1" w:themeTint="BF"/>
                                  </w:rPr>
                                </w:pPr>
                                <w:r w:rsidRPr="001C3ABD">
                                  <w:rPr>
                                    <w:b/>
                                    <w:bCs/>
                                    <w:color w:val="404040" w:themeColor="text1" w:themeTint="BF"/>
                                    <w:sz w:val="28"/>
                                    <w:szCs w:val="28"/>
                                  </w:rPr>
                                  <w:t xml:space="preserve">Course: </w:t>
                                </w:r>
                                <w:proofErr w:type="gramStart"/>
                                <w:r w:rsidR="00C27ABE" w:rsidRPr="001C3ABD">
                                  <w:rPr>
                                    <w:b/>
                                    <w:bCs/>
                                    <w:color w:val="404040" w:themeColor="text1" w:themeTint="BF"/>
                                    <w:sz w:val="28"/>
                                    <w:szCs w:val="28"/>
                                  </w:rPr>
                                  <w:t>Master's</w:t>
                                </w:r>
                                <w:proofErr w:type="gramEnd"/>
                                <w:r w:rsidR="00C27ABE" w:rsidRPr="001C3ABD">
                                  <w:rPr>
                                    <w:b/>
                                    <w:bCs/>
                                    <w:color w:val="404040" w:themeColor="text1" w:themeTint="BF"/>
                                    <w:sz w:val="28"/>
                                    <w:szCs w:val="28"/>
                                  </w:rPr>
                                  <w:t xml:space="preserve"> in Tourism and Recreation</w:t>
                                </w:r>
                                <w:r w:rsidR="00C27ABE" w:rsidRPr="001C3ABD">
                                  <w:rPr>
                                    <w:b/>
                                    <w:bCs/>
                                    <w:color w:val="404040" w:themeColor="text1" w:themeTint="BF"/>
                                    <w:sz w:val="28"/>
                                    <w:szCs w:val="28"/>
                                  </w:rPr>
                                  <w:br/>
                                  <w:t xml:space="preserve">Submission </w:t>
                                </w:r>
                                <w:proofErr w:type="gramStart"/>
                                <w:r w:rsidR="00C27ABE" w:rsidRPr="001C3ABD">
                                  <w:rPr>
                                    <w:b/>
                                    <w:bCs/>
                                    <w:color w:val="404040" w:themeColor="text1" w:themeTint="BF"/>
                                    <w:sz w:val="28"/>
                                    <w:szCs w:val="28"/>
                                  </w:rPr>
                                  <w:t>Date :</w:t>
                                </w:r>
                                <w:proofErr w:type="gramEnd"/>
                                <w:r w:rsidR="00C27ABE" w:rsidRPr="001C3ABD">
                                  <w:rPr>
                                    <w:b/>
                                    <w:bCs/>
                                    <w:color w:val="404040" w:themeColor="text1" w:themeTint="BF"/>
                                    <w:sz w:val="28"/>
                                    <w:szCs w:val="28"/>
                                  </w:rPr>
                                  <w:t xml:space="preserve"> 2</w:t>
                                </w:r>
                                <w:r w:rsidR="001C3ABD" w:rsidRPr="001C3ABD">
                                  <w:rPr>
                                    <w:b/>
                                    <w:bCs/>
                                    <w:color w:val="404040" w:themeColor="text1" w:themeTint="BF"/>
                                    <w:sz w:val="28"/>
                                    <w:szCs w:val="28"/>
                                  </w:rPr>
                                  <w:t>2</w:t>
                                </w:r>
                                <w:r w:rsidR="001C3ABD" w:rsidRPr="001C3ABD">
                                  <w:rPr>
                                    <w:b/>
                                    <w:bCs/>
                                    <w:color w:val="404040" w:themeColor="text1" w:themeTint="BF"/>
                                    <w:sz w:val="28"/>
                                    <w:szCs w:val="28"/>
                                    <w:vertAlign w:val="superscript"/>
                                  </w:rPr>
                                  <w:t>nd</w:t>
                                </w:r>
                                <w:r w:rsidR="001C3ABD" w:rsidRPr="001C3ABD">
                                  <w:rPr>
                                    <w:b/>
                                    <w:bCs/>
                                    <w:color w:val="404040" w:themeColor="text1" w:themeTint="BF"/>
                                    <w:sz w:val="28"/>
                                    <w:szCs w:val="28"/>
                                  </w:rPr>
                                  <w:t xml:space="preserve"> October, 2025</w:t>
                                </w:r>
                                <w:r>
                                  <w:rPr>
                                    <w:color w:val="404040" w:themeColor="text1" w:themeTint="BF"/>
                                  </w:rPr>
                                  <w:br/>
                                </w:r>
                              </w:p>
                              <w:p w14:paraId="73D3E2BF" w14:textId="77777777" w:rsidR="00EF508F" w:rsidRPr="00285CAB" w:rsidRDefault="00EF508F" w:rsidP="00285CAB">
                                <w:pPr>
                                  <w:rPr>
                                    <w:smallCaps/>
                                    <w:color w:val="404040" w:themeColor="text1" w:themeTint="BF"/>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2A67154" id="Text Box 6" o:spid="_x0000_s1028" type="#_x0000_t202" style="position:absolute;margin-left:0;margin-top:2in;width:583.8pt;height:296.4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" filled="f" stroked="f" strokeweight=".5pt">
                    <v:textbox inset="126pt,0,54pt,0">
                      <w:txbxContent>
                        <w:p w14:paraId="74C2048D" w14:textId="77777777" w:rsidR="00EA6149" w:rsidRDefault="00EA6149" w:rsidP="00285CAB">
                          <w:pPr>
                            <w:rPr>
                              <w:caps/>
                              <w:color w:val="4472C4" w:themeColor="accent1"/>
                              <w:sz w:val="44"/>
                              <w:szCs w:val="44"/>
                            </w:rPr>
                          </w:pPr>
                          <w:r>
                            <w:rPr>
                              <w:noProof/>
                            </w:rPr>
                            <w:drawing>
                              <wp:inline distT="0" distB="0" distL="0" distR="0" wp14:anchorId="3E4505EA" wp14:editId="7900B686">
                                <wp:extent cx="4580952" cy="809524"/>
                                <wp:effectExtent l="0" t="0" r="0" b="0"/>
                                <wp:docPr id="11679609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960958" name=""/>
                                        <pic:cNvPicPr/>
                                      </pic:nvPicPr>
                                      <pic:blipFill>
                                        <a:blip r:embed="rId6"/>
                                        <a:stretch>
                                          <a:fillRect/>
                                        </a:stretch>
                                      </pic:blipFill>
                                      <pic:spPr>
                                        <a:xfrm>
                                          <a:off x="0" y="0"/>
                                          <a:ext cx="4580952" cy="809524"/>
                                        </a:xfrm>
                                        <a:prstGeom prst="rect">
                                          <a:avLst/>
                                        </a:prstGeom>
                                      </pic:spPr>
                                    </pic:pic>
                                  </a:graphicData>
                                </a:graphic>
                              </wp:inline>
                            </w:drawing>
                          </w:r>
                        </w:p>
                        <w:p w14:paraId="6DC35C22" w14:textId="77777777" w:rsidR="00EA6149" w:rsidRDefault="00EA6149" w:rsidP="00285CAB">
                          <w:pPr>
                            <w:rPr>
                              <w:caps/>
                              <w:color w:val="4472C4" w:themeColor="accent1"/>
                              <w:sz w:val="44"/>
                              <w:szCs w:val="44"/>
                            </w:rPr>
                          </w:pPr>
                        </w:p>
                        <w:p w14:paraId="28ABE5ED" w14:textId="77777777" w:rsidR="00EA6149" w:rsidRDefault="00EA6149" w:rsidP="00285CAB">
                          <w:pPr>
                            <w:rPr>
                              <w:caps/>
                              <w:color w:val="4472C4" w:themeColor="accent1"/>
                              <w:sz w:val="44"/>
                              <w:szCs w:val="44"/>
                            </w:rPr>
                          </w:pPr>
                        </w:p>
                        <w:p w14:paraId="1BB74B55" w14:textId="47B02023" w:rsidR="001223F9" w:rsidRDefault="00285CAB" w:rsidP="00285CAB">
                          <w:pPr>
                            <w:rPr>
                              <w:color w:val="404040" w:themeColor="text1" w:themeTint="BF"/>
                            </w:rPr>
                          </w:pPr>
                          <w:r w:rsidRPr="00285CAB">
                            <w:rPr>
                              <w:caps/>
                              <w:color w:val="4472C4" w:themeColor="accent1"/>
                              <w:sz w:val="44"/>
                              <w:szCs w:val="44"/>
                            </w:rPr>
                            <w:t xml:space="preserve">Title: </w:t>
                          </w:r>
                          <w:r w:rsidR="00AF2FE6" w:rsidRPr="00285CAB">
                            <w:rPr>
                              <w:caps/>
                              <w:color w:val="4472C4" w:themeColor="accent1"/>
                              <w:sz w:val="44"/>
                              <w:szCs w:val="44"/>
                            </w:rPr>
                            <w:t>Quality and Sustainability in Tourism and Hospitality</w:t>
                          </w:r>
                          <w:sdt>
                            <w:sdtPr>
                              <w:rPr>
                                <w:color w:val="404040" w:themeColor="text1" w:themeTint="BF"/>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sidR="00AF2FE6" w:rsidRPr="00285CAB">
                                <w:rPr>
                                  <w:color w:val="404040" w:themeColor="text1" w:themeTint="BF"/>
                                </w:rPr>
                                <w:t xml:space="preserve">     </w:t>
                              </w:r>
                            </w:sdtContent>
                          </w:sdt>
                        </w:p>
                        <w:p w14:paraId="4ACDC272" w14:textId="7CC42123" w:rsidR="00EA6149" w:rsidRPr="001C3ABD" w:rsidRDefault="00EA6149" w:rsidP="00285CAB">
                          <w:pPr>
                            <w:rPr>
                              <w:b/>
                              <w:bCs/>
                              <w:color w:val="404040" w:themeColor="text1" w:themeTint="BF"/>
                            </w:rPr>
                          </w:pPr>
                        </w:p>
                        <w:p w14:paraId="3DBEEA5F" w14:textId="428E8679" w:rsidR="00EF508F" w:rsidRPr="001C3ABD" w:rsidRDefault="00EA6149" w:rsidP="00285CAB">
                          <w:pPr>
                            <w:rPr>
                              <w:b/>
                              <w:bCs/>
                              <w:color w:val="404040" w:themeColor="text1" w:themeTint="BF"/>
                              <w:sz w:val="28"/>
                              <w:szCs w:val="28"/>
                            </w:rPr>
                          </w:pPr>
                          <w:r w:rsidRPr="001C3ABD">
                            <w:rPr>
                              <w:b/>
                              <w:bCs/>
                              <w:color w:val="404040" w:themeColor="text1" w:themeTint="BF"/>
                              <w:sz w:val="28"/>
                              <w:szCs w:val="28"/>
                            </w:rPr>
                            <w:t xml:space="preserve">Name: </w:t>
                          </w:r>
                          <w:r w:rsidR="001F19DC" w:rsidRPr="001C3ABD">
                            <w:rPr>
                              <w:b/>
                              <w:bCs/>
                              <w:color w:val="404040" w:themeColor="text1" w:themeTint="BF"/>
                              <w:sz w:val="28"/>
                              <w:szCs w:val="28"/>
                            </w:rPr>
                            <w:t xml:space="preserve"> </w:t>
                          </w:r>
                          <w:r w:rsidR="00001127">
                            <w:rPr>
                              <w:b/>
                              <w:bCs/>
                              <w:color w:val="404040" w:themeColor="text1" w:themeTint="BF"/>
                              <w:sz w:val="28"/>
                              <w:szCs w:val="28"/>
                            </w:rPr>
                            <w:t>NIRMALA RANI</w:t>
                          </w:r>
                        </w:p>
                        <w:p w14:paraId="0B382957" w14:textId="2FE3633C" w:rsidR="00EA6149" w:rsidRDefault="00EF508F" w:rsidP="00285CAB">
                          <w:pPr>
                            <w:rPr>
                              <w:color w:val="404040" w:themeColor="text1" w:themeTint="BF"/>
                            </w:rPr>
                          </w:pPr>
                          <w:r w:rsidRPr="001C3ABD">
                            <w:rPr>
                              <w:b/>
                              <w:bCs/>
                              <w:color w:val="404040" w:themeColor="text1" w:themeTint="BF"/>
                              <w:sz w:val="28"/>
                              <w:szCs w:val="28"/>
                            </w:rPr>
                            <w:t xml:space="preserve">Course: </w:t>
                          </w:r>
                          <w:proofErr w:type="gramStart"/>
                          <w:r w:rsidR="00C27ABE" w:rsidRPr="001C3ABD">
                            <w:rPr>
                              <w:b/>
                              <w:bCs/>
                              <w:color w:val="404040" w:themeColor="text1" w:themeTint="BF"/>
                              <w:sz w:val="28"/>
                              <w:szCs w:val="28"/>
                            </w:rPr>
                            <w:t>Master's</w:t>
                          </w:r>
                          <w:proofErr w:type="gramEnd"/>
                          <w:r w:rsidR="00C27ABE" w:rsidRPr="001C3ABD">
                            <w:rPr>
                              <w:b/>
                              <w:bCs/>
                              <w:color w:val="404040" w:themeColor="text1" w:themeTint="BF"/>
                              <w:sz w:val="28"/>
                              <w:szCs w:val="28"/>
                            </w:rPr>
                            <w:t xml:space="preserve"> in Tourism and Recreation</w:t>
                          </w:r>
                          <w:r w:rsidR="00C27ABE" w:rsidRPr="001C3ABD">
                            <w:rPr>
                              <w:b/>
                              <w:bCs/>
                              <w:color w:val="404040" w:themeColor="text1" w:themeTint="BF"/>
                              <w:sz w:val="28"/>
                              <w:szCs w:val="28"/>
                            </w:rPr>
                            <w:br/>
                            <w:t xml:space="preserve">Submission </w:t>
                          </w:r>
                          <w:proofErr w:type="gramStart"/>
                          <w:r w:rsidR="00C27ABE" w:rsidRPr="001C3ABD">
                            <w:rPr>
                              <w:b/>
                              <w:bCs/>
                              <w:color w:val="404040" w:themeColor="text1" w:themeTint="BF"/>
                              <w:sz w:val="28"/>
                              <w:szCs w:val="28"/>
                            </w:rPr>
                            <w:t>Date :</w:t>
                          </w:r>
                          <w:proofErr w:type="gramEnd"/>
                          <w:r w:rsidR="00C27ABE" w:rsidRPr="001C3ABD">
                            <w:rPr>
                              <w:b/>
                              <w:bCs/>
                              <w:color w:val="404040" w:themeColor="text1" w:themeTint="BF"/>
                              <w:sz w:val="28"/>
                              <w:szCs w:val="28"/>
                            </w:rPr>
                            <w:t xml:space="preserve"> 2</w:t>
                          </w:r>
                          <w:r w:rsidR="001C3ABD" w:rsidRPr="001C3ABD">
                            <w:rPr>
                              <w:b/>
                              <w:bCs/>
                              <w:color w:val="404040" w:themeColor="text1" w:themeTint="BF"/>
                              <w:sz w:val="28"/>
                              <w:szCs w:val="28"/>
                            </w:rPr>
                            <w:t>2</w:t>
                          </w:r>
                          <w:r w:rsidR="001C3ABD" w:rsidRPr="001C3ABD">
                            <w:rPr>
                              <w:b/>
                              <w:bCs/>
                              <w:color w:val="404040" w:themeColor="text1" w:themeTint="BF"/>
                              <w:sz w:val="28"/>
                              <w:szCs w:val="28"/>
                              <w:vertAlign w:val="superscript"/>
                            </w:rPr>
                            <w:t>nd</w:t>
                          </w:r>
                          <w:r w:rsidR="001C3ABD" w:rsidRPr="001C3ABD">
                            <w:rPr>
                              <w:b/>
                              <w:bCs/>
                              <w:color w:val="404040" w:themeColor="text1" w:themeTint="BF"/>
                              <w:sz w:val="28"/>
                              <w:szCs w:val="28"/>
                            </w:rPr>
                            <w:t xml:space="preserve"> October, 2025</w:t>
                          </w:r>
                          <w:r>
                            <w:rPr>
                              <w:color w:val="404040" w:themeColor="text1" w:themeTint="BF"/>
                            </w:rPr>
                            <w:br/>
                          </w:r>
                        </w:p>
                        <w:p w14:paraId="73D3E2BF" w14:textId="77777777" w:rsidR="00EF508F" w:rsidRPr="00285CAB" w:rsidRDefault="00EF508F" w:rsidP="00285CAB">
                          <w:pPr>
                            <w:rPr>
                              <w:smallCaps/>
                              <w:color w:val="404040" w:themeColor="text1" w:themeTint="BF"/>
                            </w:rPr>
                          </w:pPr>
                        </w:p>
                      </w:txbxContent>
                    </v:textbox>
                    <w10:wrap type="square" anchorx="margin" anchory="page"/>
                  </v:shape>
                </w:pict>
              </mc:Fallback>
            </mc:AlternateContent>
          </w:r>
          <w:r w:rsidR="001223F9">
            <w:rPr>
              <w:rStyle w:val="Strong"/>
              <w:rFonts w:ascii="Times New Roman" w:hAnsi="Times New Roman" w:cs="Times New Roman"/>
              <w:sz w:val="24"/>
              <w:szCs w:val="24"/>
            </w:rPr>
            <w:br w:type="page"/>
          </w:r>
        </w:p>
      </w:sdtContent>
    </w:sdt>
    <w:p w14:paraId="723FD298" w14:textId="03E31901" w:rsidR="0074529D" w:rsidRPr="00B6504B" w:rsidRDefault="0074529D" w:rsidP="00B6504B">
      <w:pPr>
        <w:pStyle w:val="Heading1"/>
        <w:spacing w:line="480" w:lineRule="auto"/>
        <w:rPr>
          <w:rStyle w:val="Strong"/>
          <w:rFonts w:ascii="Times New Roman" w:hAnsi="Times New Roman" w:cs="Times New Roman"/>
          <w:sz w:val="24"/>
          <w:szCs w:val="24"/>
        </w:rPr>
      </w:pPr>
      <w:r w:rsidRPr="00B6504B">
        <w:rPr>
          <w:rStyle w:val="Strong"/>
          <w:rFonts w:ascii="Times New Roman" w:hAnsi="Times New Roman" w:cs="Times New Roman"/>
          <w:sz w:val="24"/>
          <w:szCs w:val="24"/>
        </w:rPr>
        <w:lastRenderedPageBreak/>
        <w:t>Abstract</w:t>
      </w:r>
      <w:bookmarkEnd w:id="0"/>
    </w:p>
    <w:p w14:paraId="2BD679BB" w14:textId="77777777" w:rsidR="00365884" w:rsidRDefault="00365884" w:rsidP="00365884">
      <w:pPr>
        <w:spacing w:line="480" w:lineRule="auto"/>
        <w:rPr>
          <w:rFonts w:ascii="Times New Roman" w:hAnsi="Times New Roman" w:cs="Times New Roman"/>
          <w:i/>
          <w:iCs/>
          <w:sz w:val="24"/>
          <w:szCs w:val="24"/>
          <w:lang w:val="en-GB"/>
        </w:rPr>
      </w:pPr>
      <w:r w:rsidRPr="00365884">
        <w:rPr>
          <w:rFonts w:ascii="Times New Roman" w:hAnsi="Times New Roman" w:cs="Times New Roman"/>
          <w:i/>
          <w:iCs/>
          <w:sz w:val="24"/>
          <w:szCs w:val="24"/>
          <w:lang w:val="en-GB"/>
        </w:rPr>
        <w:t xml:space="preserve">Because of the concentrated environmental, social, and economic effects of </w:t>
      </w:r>
      <w:proofErr w:type="spellStart"/>
      <w:r w:rsidRPr="00365884">
        <w:rPr>
          <w:rFonts w:ascii="Times New Roman" w:hAnsi="Times New Roman" w:cs="Times New Roman"/>
          <w:i/>
          <w:iCs/>
          <w:sz w:val="24"/>
          <w:szCs w:val="24"/>
          <w:lang w:val="en-GB"/>
        </w:rPr>
        <w:t>megatourism</w:t>
      </w:r>
      <w:proofErr w:type="spellEnd"/>
      <w:r w:rsidRPr="00365884">
        <w:rPr>
          <w:rFonts w:ascii="Times New Roman" w:hAnsi="Times New Roman" w:cs="Times New Roman"/>
          <w:i/>
          <w:iCs/>
          <w:sz w:val="24"/>
          <w:szCs w:val="24"/>
          <w:lang w:val="en-GB"/>
        </w:rPr>
        <w:t xml:space="preserve"> events, tight processes, unambiguous reporting, and operational solutions are required to ensure the accomplishment of net-positive outcomes and long-term legacies for the towns and people that host these events. Throughout the entirety of the bid-to-legacy spectrum, the purpose of this paper is to propose a sustainable event management framework that is based on the event sustainability management system (ESMS) of ISO 20121:2024 and the GRI Event Organizers Sector Supplement (EOSS). The framework's objective is to harmonize governance, materiality, target setting, lifecycle controls, key performance indicators (KPI), audit, and disclosure procedures. A significant project on the use of the ISO 20121 standard as a precursor to scaling, as well as learning in the sector by the London 2012 Olympics, are some of the examples that are used. Evidence-based programs can be found on the connections between scale impact reductions and stakeholder confidence. The examples that are used include the use of 95 percent existing and temporary facilities by the Paris 2024 Olympics, as well as a strategy to reduce the footprint by fifty percent and comprehensive carbon accounting. The framework incorporates the environmental, social, and economic programs, as well as the continuous improvement and sector-specific reporting, </w:t>
      </w:r>
      <w:proofErr w:type="gramStart"/>
      <w:r w:rsidRPr="00365884">
        <w:rPr>
          <w:rFonts w:ascii="Times New Roman" w:hAnsi="Times New Roman" w:cs="Times New Roman"/>
          <w:i/>
          <w:iCs/>
          <w:sz w:val="24"/>
          <w:szCs w:val="24"/>
          <w:lang w:val="en-GB"/>
        </w:rPr>
        <w:t>in order to</w:t>
      </w:r>
      <w:proofErr w:type="gramEnd"/>
      <w:r w:rsidRPr="00365884">
        <w:rPr>
          <w:rFonts w:ascii="Times New Roman" w:hAnsi="Times New Roman" w:cs="Times New Roman"/>
          <w:i/>
          <w:iCs/>
          <w:sz w:val="24"/>
          <w:szCs w:val="24"/>
          <w:lang w:val="en-GB"/>
        </w:rPr>
        <w:t xml:space="preserve"> align with the strategy, quality assurance, and expectations of the stakeholders.</w:t>
      </w:r>
    </w:p>
    <w:p w14:paraId="56CFA170" w14:textId="77777777" w:rsidR="00365884" w:rsidRDefault="00365884" w:rsidP="00365884">
      <w:pPr>
        <w:spacing w:line="480" w:lineRule="auto"/>
        <w:rPr>
          <w:rFonts w:ascii="Times New Roman" w:hAnsi="Times New Roman" w:cs="Times New Roman"/>
          <w:i/>
          <w:iCs/>
          <w:sz w:val="24"/>
          <w:szCs w:val="24"/>
          <w:lang w:val="en-GB"/>
        </w:rPr>
      </w:pPr>
    </w:p>
    <w:p w14:paraId="6F3D53E8" w14:textId="77777777" w:rsidR="00365884" w:rsidRDefault="00365884" w:rsidP="00365884">
      <w:pPr>
        <w:spacing w:line="480" w:lineRule="auto"/>
        <w:rPr>
          <w:rFonts w:ascii="Times New Roman" w:hAnsi="Times New Roman" w:cs="Times New Roman"/>
          <w:i/>
          <w:iCs/>
          <w:sz w:val="24"/>
          <w:szCs w:val="24"/>
          <w:lang w:val="en-GB"/>
        </w:rPr>
      </w:pPr>
    </w:p>
    <w:p w14:paraId="1C638CC8" w14:textId="77777777" w:rsidR="00365884" w:rsidRPr="00365884" w:rsidRDefault="00365884" w:rsidP="00365884">
      <w:pPr>
        <w:spacing w:line="480" w:lineRule="auto"/>
        <w:rPr>
          <w:rFonts w:ascii="Times New Roman" w:hAnsi="Times New Roman" w:cs="Times New Roman"/>
          <w:i/>
          <w:iCs/>
          <w:sz w:val="24"/>
          <w:szCs w:val="24"/>
          <w:lang w:val="en-GB"/>
        </w:rPr>
      </w:pPr>
    </w:p>
    <w:p w14:paraId="7AC4CA4F" w14:textId="77777777" w:rsidR="0074529D" w:rsidRDefault="0074529D" w:rsidP="00B6504B">
      <w:pPr>
        <w:spacing w:line="480" w:lineRule="auto"/>
        <w:rPr>
          <w:rFonts w:ascii="Times New Roman" w:hAnsi="Times New Roman" w:cs="Times New Roman"/>
          <w:sz w:val="24"/>
          <w:szCs w:val="24"/>
        </w:rPr>
      </w:pPr>
    </w:p>
    <w:sdt>
      <w:sdtPr>
        <w:rPr>
          <w:rFonts w:asciiTheme="minorHAnsi" w:eastAsiaTheme="minorEastAsia" w:hAnsiTheme="minorHAnsi" w:cstheme="minorBidi"/>
          <w:color w:val="auto"/>
          <w:sz w:val="22"/>
          <w:szCs w:val="22"/>
          <w:lang w:eastAsia="zh-CN"/>
        </w:rPr>
        <w:id w:val="19049485"/>
        <w:docPartObj>
          <w:docPartGallery w:val="Table of Contents"/>
          <w:docPartUnique/>
        </w:docPartObj>
      </w:sdtPr>
      <w:sdtEndPr>
        <w:rPr>
          <w:b/>
          <w:bCs/>
          <w:noProof/>
        </w:rPr>
      </w:sdtEndPr>
      <w:sdtContent>
        <w:p w14:paraId="6E84F059" w14:textId="31C7ABD9" w:rsidR="007D7C92" w:rsidRDefault="007D7C92">
          <w:pPr>
            <w:pStyle w:val="TOCHeading"/>
          </w:pPr>
          <w:r>
            <w:t>Table of Content</w:t>
          </w:r>
        </w:p>
        <w:p w14:paraId="54186325" w14:textId="77777777" w:rsidR="007D7C92" w:rsidRPr="007D7C92" w:rsidRDefault="007D7C92" w:rsidP="007D7C92">
          <w:pPr>
            <w:rPr>
              <w:lang w:eastAsia="en-US"/>
            </w:rPr>
          </w:pPr>
        </w:p>
        <w:p w14:paraId="781FD15C" w14:textId="135801AC" w:rsidR="007D7C92" w:rsidRDefault="007D7C92">
          <w:pPr>
            <w:pStyle w:val="TOC1"/>
            <w:tabs>
              <w:tab w:val="right" w:leader="dot" w:pos="9350"/>
            </w:tabs>
            <w:rPr>
              <w:noProof/>
            </w:rPr>
          </w:pPr>
          <w:r>
            <w:fldChar w:fldCharType="begin"/>
          </w:r>
          <w:r>
            <w:instrText xml:space="preserve"> TOC \o "1-3" \h \z \u </w:instrText>
          </w:r>
          <w:r>
            <w:fldChar w:fldCharType="separate"/>
          </w:r>
          <w:hyperlink w:anchor="_Toc212020731" w:history="1">
            <w:r w:rsidRPr="00DE6652">
              <w:rPr>
                <w:rStyle w:val="Hyperlink"/>
                <w:rFonts w:ascii="Times New Roman" w:hAnsi="Times New Roman" w:cs="Times New Roman"/>
                <w:b/>
                <w:bCs/>
                <w:noProof/>
              </w:rPr>
              <w:t>Abstract</w:t>
            </w:r>
            <w:r>
              <w:rPr>
                <w:noProof/>
                <w:webHidden/>
              </w:rPr>
              <w:tab/>
            </w:r>
            <w:r>
              <w:rPr>
                <w:noProof/>
                <w:webHidden/>
              </w:rPr>
              <w:fldChar w:fldCharType="begin"/>
            </w:r>
            <w:r>
              <w:rPr>
                <w:noProof/>
                <w:webHidden/>
              </w:rPr>
              <w:instrText xml:space="preserve"> PAGEREF _Toc212020731 \h </w:instrText>
            </w:r>
            <w:r>
              <w:rPr>
                <w:noProof/>
                <w:webHidden/>
              </w:rPr>
            </w:r>
            <w:r>
              <w:rPr>
                <w:noProof/>
                <w:webHidden/>
              </w:rPr>
              <w:fldChar w:fldCharType="separate"/>
            </w:r>
            <w:r>
              <w:rPr>
                <w:noProof/>
                <w:webHidden/>
              </w:rPr>
              <w:t>1</w:t>
            </w:r>
            <w:r>
              <w:rPr>
                <w:noProof/>
                <w:webHidden/>
              </w:rPr>
              <w:fldChar w:fldCharType="end"/>
            </w:r>
          </w:hyperlink>
        </w:p>
        <w:p w14:paraId="77AFA0F8" w14:textId="12DA2B04" w:rsidR="007D7C92" w:rsidRPr="007D7C92" w:rsidRDefault="007D7C92">
          <w:pPr>
            <w:pStyle w:val="TOC1"/>
            <w:tabs>
              <w:tab w:val="right" w:leader="dot" w:pos="9350"/>
            </w:tabs>
            <w:rPr>
              <w:noProof/>
              <w:sz w:val="24"/>
              <w:szCs w:val="24"/>
            </w:rPr>
          </w:pPr>
          <w:hyperlink w:anchor="_Toc212020732" w:history="1">
            <w:r w:rsidRPr="007D7C92">
              <w:rPr>
                <w:rStyle w:val="Hyperlink"/>
                <w:rFonts w:ascii="Times New Roman" w:hAnsi="Times New Roman" w:cs="Times New Roman"/>
                <w:b/>
                <w:bCs/>
                <w:noProof/>
                <w:sz w:val="24"/>
                <w:szCs w:val="24"/>
              </w:rPr>
              <w:t>Introduction</w:t>
            </w:r>
            <w:r w:rsidRPr="007D7C92">
              <w:rPr>
                <w:noProof/>
                <w:webHidden/>
                <w:sz w:val="24"/>
                <w:szCs w:val="24"/>
              </w:rPr>
              <w:tab/>
            </w:r>
            <w:r w:rsidRPr="007D7C92">
              <w:rPr>
                <w:noProof/>
                <w:webHidden/>
                <w:sz w:val="24"/>
                <w:szCs w:val="24"/>
              </w:rPr>
              <w:fldChar w:fldCharType="begin"/>
            </w:r>
            <w:r w:rsidRPr="007D7C92">
              <w:rPr>
                <w:noProof/>
                <w:webHidden/>
                <w:sz w:val="24"/>
                <w:szCs w:val="24"/>
              </w:rPr>
              <w:instrText xml:space="preserve"> PAGEREF _Toc212020732 \h </w:instrText>
            </w:r>
            <w:r w:rsidRPr="007D7C92">
              <w:rPr>
                <w:noProof/>
                <w:webHidden/>
                <w:sz w:val="24"/>
                <w:szCs w:val="24"/>
              </w:rPr>
            </w:r>
            <w:r w:rsidRPr="007D7C92">
              <w:rPr>
                <w:noProof/>
                <w:webHidden/>
                <w:sz w:val="24"/>
                <w:szCs w:val="24"/>
              </w:rPr>
              <w:fldChar w:fldCharType="separate"/>
            </w:r>
            <w:r w:rsidRPr="007D7C92">
              <w:rPr>
                <w:noProof/>
                <w:webHidden/>
                <w:sz w:val="24"/>
                <w:szCs w:val="24"/>
              </w:rPr>
              <w:t>2</w:t>
            </w:r>
            <w:r w:rsidRPr="007D7C92">
              <w:rPr>
                <w:noProof/>
                <w:webHidden/>
                <w:sz w:val="24"/>
                <w:szCs w:val="24"/>
              </w:rPr>
              <w:fldChar w:fldCharType="end"/>
            </w:r>
          </w:hyperlink>
        </w:p>
        <w:p w14:paraId="27BF2F53" w14:textId="2DB0B89D" w:rsidR="007D7C92" w:rsidRPr="007D7C92" w:rsidRDefault="007D7C92">
          <w:pPr>
            <w:pStyle w:val="TOC1"/>
            <w:tabs>
              <w:tab w:val="right" w:leader="dot" w:pos="9350"/>
            </w:tabs>
            <w:rPr>
              <w:noProof/>
              <w:sz w:val="24"/>
              <w:szCs w:val="24"/>
            </w:rPr>
          </w:pPr>
          <w:hyperlink w:anchor="_Toc212020733" w:history="1">
            <w:r w:rsidRPr="007D7C92">
              <w:rPr>
                <w:rStyle w:val="Hyperlink"/>
                <w:rFonts w:ascii="Times New Roman" w:hAnsi="Times New Roman" w:cs="Times New Roman"/>
                <w:b/>
                <w:bCs/>
                <w:noProof/>
                <w:sz w:val="24"/>
                <w:szCs w:val="24"/>
              </w:rPr>
              <w:t>Literature review</w:t>
            </w:r>
            <w:r w:rsidRPr="007D7C92">
              <w:rPr>
                <w:noProof/>
                <w:webHidden/>
                <w:sz w:val="24"/>
                <w:szCs w:val="24"/>
              </w:rPr>
              <w:tab/>
            </w:r>
            <w:r w:rsidRPr="007D7C92">
              <w:rPr>
                <w:noProof/>
                <w:webHidden/>
                <w:sz w:val="24"/>
                <w:szCs w:val="24"/>
              </w:rPr>
              <w:fldChar w:fldCharType="begin"/>
            </w:r>
            <w:r w:rsidRPr="007D7C92">
              <w:rPr>
                <w:noProof/>
                <w:webHidden/>
                <w:sz w:val="24"/>
                <w:szCs w:val="24"/>
              </w:rPr>
              <w:instrText xml:space="preserve"> PAGEREF _Toc212020733 \h </w:instrText>
            </w:r>
            <w:r w:rsidRPr="007D7C92">
              <w:rPr>
                <w:noProof/>
                <w:webHidden/>
                <w:sz w:val="24"/>
                <w:szCs w:val="24"/>
              </w:rPr>
            </w:r>
            <w:r w:rsidRPr="007D7C92">
              <w:rPr>
                <w:noProof/>
                <w:webHidden/>
                <w:sz w:val="24"/>
                <w:szCs w:val="24"/>
              </w:rPr>
              <w:fldChar w:fldCharType="separate"/>
            </w:r>
            <w:r w:rsidRPr="007D7C92">
              <w:rPr>
                <w:noProof/>
                <w:webHidden/>
                <w:sz w:val="24"/>
                <w:szCs w:val="24"/>
              </w:rPr>
              <w:t>3</w:t>
            </w:r>
            <w:r w:rsidRPr="007D7C92">
              <w:rPr>
                <w:noProof/>
                <w:webHidden/>
                <w:sz w:val="24"/>
                <w:szCs w:val="24"/>
              </w:rPr>
              <w:fldChar w:fldCharType="end"/>
            </w:r>
          </w:hyperlink>
        </w:p>
        <w:p w14:paraId="6C8745E9" w14:textId="796A5726" w:rsidR="007D7C92" w:rsidRDefault="007D7C92">
          <w:pPr>
            <w:pStyle w:val="TOC1"/>
            <w:tabs>
              <w:tab w:val="right" w:leader="dot" w:pos="9350"/>
            </w:tabs>
            <w:rPr>
              <w:noProof/>
            </w:rPr>
          </w:pPr>
          <w:hyperlink w:anchor="_Toc212020734" w:history="1">
            <w:r w:rsidRPr="00DE6652">
              <w:rPr>
                <w:rStyle w:val="Hyperlink"/>
                <w:rFonts w:ascii="Times New Roman" w:hAnsi="Times New Roman" w:cs="Times New Roman"/>
                <w:b/>
                <w:bCs/>
                <w:noProof/>
              </w:rPr>
              <w:t>Methodology</w:t>
            </w:r>
            <w:r>
              <w:rPr>
                <w:noProof/>
                <w:webHidden/>
              </w:rPr>
              <w:tab/>
            </w:r>
            <w:r>
              <w:rPr>
                <w:noProof/>
                <w:webHidden/>
              </w:rPr>
              <w:fldChar w:fldCharType="begin"/>
            </w:r>
            <w:r>
              <w:rPr>
                <w:noProof/>
                <w:webHidden/>
              </w:rPr>
              <w:instrText xml:space="preserve"> PAGEREF _Toc212020734 \h </w:instrText>
            </w:r>
            <w:r>
              <w:rPr>
                <w:noProof/>
                <w:webHidden/>
              </w:rPr>
            </w:r>
            <w:r>
              <w:rPr>
                <w:noProof/>
                <w:webHidden/>
              </w:rPr>
              <w:fldChar w:fldCharType="separate"/>
            </w:r>
            <w:r>
              <w:rPr>
                <w:noProof/>
                <w:webHidden/>
              </w:rPr>
              <w:t>7</w:t>
            </w:r>
            <w:r>
              <w:rPr>
                <w:noProof/>
                <w:webHidden/>
              </w:rPr>
              <w:fldChar w:fldCharType="end"/>
            </w:r>
          </w:hyperlink>
        </w:p>
        <w:p w14:paraId="1C91F5C8" w14:textId="2992EDB3" w:rsidR="007D7C92" w:rsidRDefault="007D7C92">
          <w:pPr>
            <w:pStyle w:val="TOC1"/>
            <w:tabs>
              <w:tab w:val="right" w:leader="dot" w:pos="9350"/>
            </w:tabs>
            <w:rPr>
              <w:noProof/>
            </w:rPr>
          </w:pPr>
          <w:hyperlink w:anchor="_Toc212020735" w:history="1">
            <w:r w:rsidRPr="00DE6652">
              <w:rPr>
                <w:rStyle w:val="Hyperlink"/>
                <w:rFonts w:ascii="Times New Roman" w:hAnsi="Times New Roman" w:cs="Times New Roman"/>
                <w:b/>
                <w:bCs/>
                <w:noProof/>
              </w:rPr>
              <w:t>Findings</w:t>
            </w:r>
            <w:r>
              <w:rPr>
                <w:noProof/>
                <w:webHidden/>
              </w:rPr>
              <w:tab/>
            </w:r>
            <w:r>
              <w:rPr>
                <w:noProof/>
                <w:webHidden/>
              </w:rPr>
              <w:fldChar w:fldCharType="begin"/>
            </w:r>
            <w:r>
              <w:rPr>
                <w:noProof/>
                <w:webHidden/>
              </w:rPr>
              <w:instrText xml:space="preserve"> PAGEREF _Toc212020735 \h </w:instrText>
            </w:r>
            <w:r>
              <w:rPr>
                <w:noProof/>
                <w:webHidden/>
              </w:rPr>
            </w:r>
            <w:r>
              <w:rPr>
                <w:noProof/>
                <w:webHidden/>
              </w:rPr>
              <w:fldChar w:fldCharType="separate"/>
            </w:r>
            <w:r>
              <w:rPr>
                <w:noProof/>
                <w:webHidden/>
              </w:rPr>
              <w:t>11</w:t>
            </w:r>
            <w:r>
              <w:rPr>
                <w:noProof/>
                <w:webHidden/>
              </w:rPr>
              <w:fldChar w:fldCharType="end"/>
            </w:r>
          </w:hyperlink>
        </w:p>
        <w:p w14:paraId="268EB022" w14:textId="16AA6C6F" w:rsidR="007D7C92" w:rsidRDefault="007D7C92">
          <w:pPr>
            <w:pStyle w:val="TOC1"/>
            <w:tabs>
              <w:tab w:val="right" w:leader="dot" w:pos="9350"/>
            </w:tabs>
            <w:rPr>
              <w:noProof/>
            </w:rPr>
          </w:pPr>
          <w:hyperlink w:anchor="_Toc212020736" w:history="1">
            <w:r w:rsidRPr="00DE6652">
              <w:rPr>
                <w:rStyle w:val="Hyperlink"/>
                <w:rFonts w:ascii="Times New Roman" w:hAnsi="Times New Roman" w:cs="Times New Roman"/>
                <w:b/>
                <w:bCs/>
                <w:noProof/>
              </w:rPr>
              <w:t>Discussion</w:t>
            </w:r>
            <w:r>
              <w:rPr>
                <w:noProof/>
                <w:webHidden/>
              </w:rPr>
              <w:tab/>
            </w:r>
            <w:r>
              <w:rPr>
                <w:noProof/>
                <w:webHidden/>
              </w:rPr>
              <w:fldChar w:fldCharType="begin"/>
            </w:r>
            <w:r>
              <w:rPr>
                <w:noProof/>
                <w:webHidden/>
              </w:rPr>
              <w:instrText xml:space="preserve"> PAGEREF _Toc212020736 \h </w:instrText>
            </w:r>
            <w:r>
              <w:rPr>
                <w:noProof/>
                <w:webHidden/>
              </w:rPr>
            </w:r>
            <w:r>
              <w:rPr>
                <w:noProof/>
                <w:webHidden/>
              </w:rPr>
              <w:fldChar w:fldCharType="separate"/>
            </w:r>
            <w:r>
              <w:rPr>
                <w:noProof/>
                <w:webHidden/>
              </w:rPr>
              <w:t>15</w:t>
            </w:r>
            <w:r>
              <w:rPr>
                <w:noProof/>
                <w:webHidden/>
              </w:rPr>
              <w:fldChar w:fldCharType="end"/>
            </w:r>
          </w:hyperlink>
        </w:p>
        <w:p w14:paraId="4B07BDDA" w14:textId="183B5A09" w:rsidR="007D7C92" w:rsidRDefault="007D7C92">
          <w:pPr>
            <w:pStyle w:val="TOC1"/>
            <w:tabs>
              <w:tab w:val="right" w:leader="dot" w:pos="9350"/>
            </w:tabs>
            <w:rPr>
              <w:noProof/>
            </w:rPr>
          </w:pPr>
          <w:hyperlink w:anchor="_Toc212020737" w:history="1">
            <w:r w:rsidRPr="00DE6652">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_Toc212020737 \h </w:instrText>
            </w:r>
            <w:r>
              <w:rPr>
                <w:noProof/>
                <w:webHidden/>
              </w:rPr>
            </w:r>
            <w:r>
              <w:rPr>
                <w:noProof/>
                <w:webHidden/>
              </w:rPr>
              <w:fldChar w:fldCharType="separate"/>
            </w:r>
            <w:r>
              <w:rPr>
                <w:noProof/>
                <w:webHidden/>
              </w:rPr>
              <w:t>18</w:t>
            </w:r>
            <w:r>
              <w:rPr>
                <w:noProof/>
                <w:webHidden/>
              </w:rPr>
              <w:fldChar w:fldCharType="end"/>
            </w:r>
          </w:hyperlink>
        </w:p>
        <w:p w14:paraId="030B2233" w14:textId="77731106" w:rsidR="007D7C92" w:rsidRDefault="007D7C92">
          <w:pPr>
            <w:pStyle w:val="TOC1"/>
            <w:tabs>
              <w:tab w:val="right" w:leader="dot" w:pos="9350"/>
            </w:tabs>
            <w:rPr>
              <w:noProof/>
            </w:rPr>
          </w:pPr>
          <w:hyperlink w:anchor="_Toc212020738" w:history="1">
            <w:r w:rsidRPr="00DE6652">
              <w:rPr>
                <w:rStyle w:val="Hyperlink"/>
                <w:rFonts w:ascii="Times New Roman" w:hAnsi="Times New Roman" w:cs="Times New Roman"/>
                <w:b/>
                <w:bCs/>
                <w:noProof/>
              </w:rPr>
              <w:t>Recommendation</w:t>
            </w:r>
            <w:r>
              <w:rPr>
                <w:noProof/>
                <w:webHidden/>
              </w:rPr>
              <w:tab/>
            </w:r>
            <w:r>
              <w:rPr>
                <w:noProof/>
                <w:webHidden/>
              </w:rPr>
              <w:fldChar w:fldCharType="begin"/>
            </w:r>
            <w:r>
              <w:rPr>
                <w:noProof/>
                <w:webHidden/>
              </w:rPr>
              <w:instrText xml:space="preserve"> PAGEREF _Toc212020738 \h </w:instrText>
            </w:r>
            <w:r>
              <w:rPr>
                <w:noProof/>
                <w:webHidden/>
              </w:rPr>
            </w:r>
            <w:r>
              <w:rPr>
                <w:noProof/>
                <w:webHidden/>
              </w:rPr>
              <w:fldChar w:fldCharType="separate"/>
            </w:r>
            <w:r>
              <w:rPr>
                <w:noProof/>
                <w:webHidden/>
              </w:rPr>
              <w:t>18</w:t>
            </w:r>
            <w:r>
              <w:rPr>
                <w:noProof/>
                <w:webHidden/>
              </w:rPr>
              <w:fldChar w:fldCharType="end"/>
            </w:r>
          </w:hyperlink>
        </w:p>
        <w:p w14:paraId="5D2BB560" w14:textId="0085F8DF" w:rsidR="007D7C92" w:rsidRDefault="007D7C92">
          <w:pPr>
            <w:pStyle w:val="TOC1"/>
            <w:tabs>
              <w:tab w:val="right" w:leader="dot" w:pos="9350"/>
            </w:tabs>
            <w:rPr>
              <w:noProof/>
            </w:rPr>
          </w:pPr>
          <w:hyperlink w:anchor="_Toc212020739" w:history="1">
            <w:r w:rsidRPr="00DE6652">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_Toc212020739 \h </w:instrText>
            </w:r>
            <w:r>
              <w:rPr>
                <w:noProof/>
                <w:webHidden/>
              </w:rPr>
            </w:r>
            <w:r>
              <w:rPr>
                <w:noProof/>
                <w:webHidden/>
              </w:rPr>
              <w:fldChar w:fldCharType="separate"/>
            </w:r>
            <w:r>
              <w:rPr>
                <w:noProof/>
                <w:webHidden/>
              </w:rPr>
              <w:t>21</w:t>
            </w:r>
            <w:r>
              <w:rPr>
                <w:noProof/>
                <w:webHidden/>
              </w:rPr>
              <w:fldChar w:fldCharType="end"/>
            </w:r>
          </w:hyperlink>
        </w:p>
        <w:p w14:paraId="7D056D6E" w14:textId="2EA925B4" w:rsidR="007D7C92" w:rsidRDefault="007D7C92">
          <w:r>
            <w:rPr>
              <w:b/>
              <w:bCs/>
              <w:noProof/>
            </w:rPr>
            <w:fldChar w:fldCharType="end"/>
          </w:r>
        </w:p>
      </w:sdtContent>
    </w:sdt>
    <w:p w14:paraId="4478EF66" w14:textId="77777777" w:rsidR="007D7C92" w:rsidRPr="00B6504B" w:rsidRDefault="007D7C92" w:rsidP="00B6504B">
      <w:pPr>
        <w:spacing w:line="480" w:lineRule="auto"/>
        <w:rPr>
          <w:rFonts w:ascii="Times New Roman" w:hAnsi="Times New Roman" w:cs="Times New Roman"/>
          <w:sz w:val="24"/>
          <w:szCs w:val="24"/>
        </w:rPr>
      </w:pPr>
    </w:p>
    <w:p w14:paraId="431D5866" w14:textId="77777777" w:rsidR="0074529D" w:rsidRPr="00B6504B" w:rsidRDefault="0074529D" w:rsidP="00B6504B">
      <w:pPr>
        <w:spacing w:line="480" w:lineRule="auto"/>
        <w:rPr>
          <w:rFonts w:ascii="Times New Roman" w:hAnsi="Times New Roman" w:cs="Times New Roman"/>
          <w:sz w:val="24"/>
          <w:szCs w:val="24"/>
        </w:rPr>
      </w:pPr>
    </w:p>
    <w:p w14:paraId="1BCD840C" w14:textId="77777777" w:rsidR="0074529D" w:rsidRPr="00B6504B" w:rsidRDefault="0074529D"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br w:type="page"/>
      </w:r>
    </w:p>
    <w:p w14:paraId="57D52A67" w14:textId="7CA3C9DF" w:rsidR="0074529D" w:rsidRPr="00CA530F" w:rsidRDefault="0074529D" w:rsidP="00B6504B">
      <w:pPr>
        <w:pStyle w:val="Heading1"/>
        <w:spacing w:line="480" w:lineRule="auto"/>
        <w:rPr>
          <w:rFonts w:ascii="Times New Roman" w:hAnsi="Times New Roman" w:cs="Times New Roman"/>
          <w:b/>
          <w:bCs/>
          <w:sz w:val="24"/>
          <w:szCs w:val="24"/>
        </w:rPr>
      </w:pPr>
      <w:bookmarkStart w:id="1" w:name="_Toc212020732"/>
      <w:r w:rsidRPr="00CA530F">
        <w:rPr>
          <w:rFonts w:ascii="Times New Roman" w:hAnsi="Times New Roman" w:cs="Times New Roman"/>
          <w:b/>
          <w:bCs/>
          <w:sz w:val="24"/>
          <w:szCs w:val="24"/>
        </w:rPr>
        <w:lastRenderedPageBreak/>
        <w:t>Introduction</w:t>
      </w:r>
      <w:bookmarkEnd w:id="1"/>
    </w:p>
    <w:p w14:paraId="5AE87058" w14:textId="77777777" w:rsidR="00365884" w:rsidRPr="00365884" w:rsidRDefault="00365884" w:rsidP="00365884">
      <w:pPr>
        <w:pStyle w:val="Heading1"/>
        <w:spacing w:line="480" w:lineRule="auto"/>
        <w:rPr>
          <w:rFonts w:ascii="Times New Roman" w:hAnsi="Times New Roman" w:cs="Times New Roman"/>
          <w:color w:val="000000" w:themeColor="text1"/>
          <w:sz w:val="24"/>
          <w:szCs w:val="24"/>
          <w:lang w:val="en-GB"/>
        </w:rPr>
      </w:pPr>
      <w:bookmarkStart w:id="2" w:name="_Toc212020733"/>
      <w:r w:rsidRPr="00365884">
        <w:rPr>
          <w:rFonts w:ascii="Times New Roman" w:hAnsi="Times New Roman" w:cs="Times New Roman"/>
          <w:color w:val="000000" w:themeColor="text1"/>
          <w:sz w:val="24"/>
          <w:szCs w:val="24"/>
          <w:lang w:val="en-GB"/>
        </w:rPr>
        <w:t xml:space="preserve">Mega events quickly assemble the infrastructure facilities, human resources, and financial resources within dense urban spaces and global supply chains. As a result, the sustainability performance becomes a decisive factor in determining reputational legitimacy, community acceptance, and long-term legacy value. Mega events create both opportunities and risks. Mega events increase the risk level. It is the management system that incorporates sustainability policy, planning, risk management, operational control, monitoring, review, and continuous improvement into the event delivery that serves as the backbone of ISO 20121:2024. The most recent version of this management system includes an extended focus on social legacies and human rights (SGS, 2024). </w:t>
      </w:r>
      <w:r w:rsidRPr="00365884">
        <w:rPr>
          <w:rFonts w:ascii="Times New Roman" w:hAnsi="Times New Roman" w:cs="Times New Roman"/>
          <w:color w:val="000000" w:themeColor="text1"/>
          <w:sz w:val="24"/>
          <w:szCs w:val="24"/>
          <w:lang w:val="en-GB"/>
        </w:rPr>
        <w:br/>
        <w:t xml:space="preserve">The GRI The Event Organizers Sector Supplement provides organisers with guidance on lifecycle reporting that is specific to the reality of events. This guidance covers topics such as site selection, mobility, sourcing, accessibility, health and safety, volunteer management, community impacts, and legacy. As a result, it enables comparability and accountability, which are essential for gaining the confidence of stakeholders, as well as cross-edition and cross-host learning. Using more than 95% of existing or temporary facilities and </w:t>
      </w:r>
      <w:proofErr w:type="gramStart"/>
      <w:r w:rsidRPr="00365884">
        <w:rPr>
          <w:rFonts w:ascii="Times New Roman" w:hAnsi="Times New Roman" w:cs="Times New Roman"/>
          <w:color w:val="000000" w:themeColor="text1"/>
          <w:sz w:val="24"/>
          <w:szCs w:val="24"/>
          <w:lang w:val="en-GB"/>
        </w:rPr>
        <w:t>taking into account</w:t>
      </w:r>
      <w:proofErr w:type="gramEnd"/>
      <w:r w:rsidRPr="00365884">
        <w:rPr>
          <w:rFonts w:ascii="Times New Roman" w:hAnsi="Times New Roman" w:cs="Times New Roman"/>
          <w:color w:val="000000" w:themeColor="text1"/>
          <w:sz w:val="24"/>
          <w:szCs w:val="24"/>
          <w:lang w:val="en-GB"/>
        </w:rPr>
        <w:t xml:space="preserve"> scopes 1-3, such as spectator travel, Paris2024 will demonstrate how initial design and procure decisions can reduce environmental footprints by half without compromising event quality or inclusivity. This is accomplished by utilizing a decarbonization-first approach. The early acceptance of London 2012 resulted in the formation of ISO 20121 and a legacy of practices that could be altered later in the cycle. As a result, this legacy became an important component of the ongoing improvement of the event sector through the implementation of standardised governance and the transfer of knowledge.</w:t>
      </w:r>
    </w:p>
    <w:p w14:paraId="204596D7" w14:textId="16853B24" w:rsidR="00D617AC" w:rsidRPr="00CA530F" w:rsidRDefault="00D617AC" w:rsidP="00B6504B">
      <w:pPr>
        <w:pStyle w:val="Heading1"/>
        <w:spacing w:line="480" w:lineRule="auto"/>
        <w:rPr>
          <w:rFonts w:ascii="Times New Roman" w:hAnsi="Times New Roman" w:cs="Times New Roman"/>
          <w:b/>
          <w:bCs/>
          <w:sz w:val="24"/>
          <w:szCs w:val="24"/>
        </w:rPr>
      </w:pPr>
      <w:r w:rsidRPr="00CA530F">
        <w:rPr>
          <w:rFonts w:ascii="Times New Roman" w:hAnsi="Times New Roman" w:cs="Times New Roman"/>
          <w:b/>
          <w:bCs/>
          <w:sz w:val="24"/>
          <w:szCs w:val="24"/>
        </w:rPr>
        <w:lastRenderedPageBreak/>
        <w:t>Literature review</w:t>
      </w:r>
      <w:bookmarkEnd w:id="2"/>
      <w:r w:rsidRPr="00CA530F">
        <w:rPr>
          <w:rFonts w:ascii="Times New Roman" w:hAnsi="Times New Roman" w:cs="Times New Roman"/>
          <w:b/>
          <w:bCs/>
          <w:sz w:val="24"/>
          <w:szCs w:val="24"/>
        </w:rPr>
        <w:t xml:space="preserve">  </w:t>
      </w:r>
    </w:p>
    <w:p w14:paraId="3D1A9ADE" w14:textId="57065D95" w:rsidR="00080A20" w:rsidRP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The literature review confirms that ISO 20121:2024 outlines what an Event Sustainability Management System (ESMS) should require, which is relevant to events and also event-related activities of any scale. The conventional frameworks maintain sustainability as a managerial challenge that can be met by policy formulation, planning, control over operations, monitoring, and continuous improvement loops, which are consistent with Plan-Do-Check-Act (PDCA) concepts</w:t>
      </w:r>
      <w:r w:rsidR="006B2FE5">
        <w:rPr>
          <w:rFonts w:ascii="Times New Roman" w:hAnsi="Times New Roman" w:cs="Times New Roman"/>
          <w:sz w:val="24"/>
          <w:szCs w:val="24"/>
        </w:rPr>
        <w:t xml:space="preserve"> </w:t>
      </w:r>
      <w:r w:rsidR="00EF481C">
        <w:rPr>
          <w:rFonts w:ascii="Times New Roman" w:hAnsi="Times New Roman" w:cs="Times New Roman"/>
          <w:sz w:val="24"/>
          <w:szCs w:val="24"/>
        </w:rPr>
        <w:t>(SGS, 2024)</w:t>
      </w:r>
      <w:r w:rsidR="006B2FE5" w:rsidRPr="00B6504B">
        <w:rPr>
          <w:rFonts w:ascii="Times New Roman" w:hAnsi="Times New Roman" w:cs="Times New Roman"/>
          <w:sz w:val="24"/>
          <w:szCs w:val="24"/>
        </w:rPr>
        <w:t xml:space="preserve"> </w:t>
      </w:r>
      <w:r w:rsidRPr="00B6504B">
        <w:rPr>
          <w:rFonts w:ascii="Times New Roman" w:hAnsi="Times New Roman" w:cs="Times New Roman"/>
          <w:sz w:val="24"/>
          <w:szCs w:val="24"/>
        </w:rPr>
        <w:t>.</w:t>
      </w:r>
    </w:p>
    <w:p w14:paraId="5756982B" w14:textId="1CDBB0E7" w:rsidR="00080A20" w:rsidRP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The revision of ISO 20121:2024 explains that conformity is a concept that applies to the entire management system and not to an individual event. The standard focuses on governance, scope, stakeholder involvement as well as risks and opportunities management, including documented procedures that can be modified according to the </w:t>
      </w:r>
      <w:proofErr w:type="spellStart"/>
      <w:r w:rsidRPr="00B6504B">
        <w:rPr>
          <w:rFonts w:ascii="Times New Roman" w:hAnsi="Times New Roman" w:cs="Times New Roman"/>
          <w:sz w:val="24"/>
          <w:szCs w:val="24"/>
        </w:rPr>
        <w:t>organisational</w:t>
      </w:r>
      <w:proofErr w:type="spellEnd"/>
      <w:r w:rsidRPr="00B6504B">
        <w:rPr>
          <w:rFonts w:ascii="Times New Roman" w:hAnsi="Times New Roman" w:cs="Times New Roman"/>
          <w:sz w:val="24"/>
          <w:szCs w:val="24"/>
        </w:rPr>
        <w:t xml:space="preserve"> setting and risk profile</w:t>
      </w:r>
      <w:r w:rsidR="006B2FE5">
        <w:rPr>
          <w:rFonts w:ascii="Times New Roman" w:hAnsi="Times New Roman" w:cs="Times New Roman"/>
          <w:sz w:val="24"/>
          <w:szCs w:val="24"/>
        </w:rPr>
        <w:t xml:space="preserve"> </w:t>
      </w:r>
      <w:r w:rsidR="00EF481C">
        <w:rPr>
          <w:rFonts w:ascii="Times New Roman" w:hAnsi="Times New Roman" w:cs="Times New Roman"/>
          <w:sz w:val="24"/>
          <w:szCs w:val="24"/>
        </w:rPr>
        <w:t>(SGS, 2024)</w:t>
      </w:r>
      <w:r w:rsidR="006B2FE5" w:rsidRPr="00B6504B">
        <w:rPr>
          <w:rFonts w:ascii="Times New Roman" w:hAnsi="Times New Roman" w:cs="Times New Roman"/>
          <w:sz w:val="24"/>
          <w:szCs w:val="24"/>
        </w:rPr>
        <w:t xml:space="preserve"> </w:t>
      </w:r>
      <w:r w:rsidRPr="00B6504B">
        <w:rPr>
          <w:rFonts w:ascii="Times New Roman" w:hAnsi="Times New Roman" w:cs="Times New Roman"/>
          <w:sz w:val="24"/>
          <w:szCs w:val="24"/>
        </w:rPr>
        <w:t>.</w:t>
      </w:r>
    </w:p>
    <w:p w14:paraId="36EE1DBF" w14:textId="0C5C28A5" w:rsidR="00080A20" w:rsidRP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The main change in ISO 20121:2024 is the increased focus on social legacies, inclusivity, and safeguarding human and children rights. This is an acceptance of the fact that occurrences drive societal outcomes on a large scale and that protection should be instilled in the contractor governance, volunteer </w:t>
      </w:r>
      <w:proofErr w:type="spellStart"/>
      <w:r w:rsidRPr="00B6504B">
        <w:rPr>
          <w:rFonts w:ascii="Times New Roman" w:hAnsi="Times New Roman" w:cs="Times New Roman"/>
          <w:sz w:val="24"/>
          <w:szCs w:val="24"/>
        </w:rPr>
        <w:t>programmes</w:t>
      </w:r>
      <w:proofErr w:type="spellEnd"/>
      <w:r w:rsidRPr="00B6504B">
        <w:rPr>
          <w:rFonts w:ascii="Times New Roman" w:hAnsi="Times New Roman" w:cs="Times New Roman"/>
          <w:sz w:val="24"/>
          <w:szCs w:val="24"/>
        </w:rPr>
        <w:t xml:space="preserve"> and participant-experience design</w:t>
      </w:r>
      <w:r w:rsidR="006B2FE5">
        <w:rPr>
          <w:rFonts w:ascii="Times New Roman" w:hAnsi="Times New Roman" w:cs="Times New Roman"/>
          <w:sz w:val="24"/>
          <w:szCs w:val="24"/>
        </w:rPr>
        <w:t xml:space="preserve"> </w:t>
      </w:r>
      <w:r w:rsidR="006B2FE5" w:rsidRPr="006B2FE5">
        <w:rPr>
          <w:rFonts w:ascii="Times New Roman" w:hAnsi="Times New Roman" w:cs="Times New Roman"/>
          <w:sz w:val="24"/>
          <w:szCs w:val="24"/>
        </w:rPr>
        <w:t>(GRI Event Organizers, 2012)</w:t>
      </w:r>
      <w:r w:rsidRPr="00B6504B">
        <w:rPr>
          <w:rFonts w:ascii="Times New Roman" w:hAnsi="Times New Roman" w:cs="Times New Roman"/>
          <w:sz w:val="24"/>
          <w:szCs w:val="24"/>
        </w:rPr>
        <w:t>.</w:t>
      </w:r>
    </w:p>
    <w:p w14:paraId="314EF32C" w14:textId="77777777" w:rsidR="00080A20" w:rsidRP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Official implementation advice proves that ISO 20121 can be combined with ISO 9001 and ISO 14001, as a result of which the governance, audits, corrective measures, and performance review of quality and environmental and sustainability areas become common. The integration removes redundancy of systems and brings about efficiency.</w:t>
      </w:r>
    </w:p>
    <w:p w14:paraId="219FC5BD" w14:textId="77777777" w:rsidR="00080A20" w:rsidRP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lastRenderedPageBreak/>
        <w:t>The practical advantages of ISO 20121 are highlighted through training and advisory materials of the industry. These advantages involve cost savings in terms of better performance, better identification of risks, openness of the results and greater confidence among the stakeholders. These benefits are experienced when the ESMS is regularly implemented throughout the bid-to-legacy life cycle.</w:t>
      </w:r>
    </w:p>
    <w:p w14:paraId="6A93F3C6" w14:textId="50E6D921" w:rsidR="00080A20" w:rsidRP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According to commentaries documented by global conformity bodies concerning the 2024 revision, there is an extended scope of social inclusion and diversified ways of showing compliance. These changes increase the access without weakening responsibility on results</w:t>
      </w:r>
      <w:r w:rsidR="00952333" w:rsidRPr="00952333">
        <w:rPr>
          <w:rFonts w:ascii="Times New Roman" w:hAnsi="Times New Roman" w:cs="Times New Roman"/>
          <w:sz w:val="24"/>
          <w:szCs w:val="24"/>
        </w:rPr>
        <w:t>(Create Sensational, Sustainable Events with ISO 20121:2024, 2024)</w:t>
      </w:r>
      <w:r w:rsidRPr="00B6504B">
        <w:rPr>
          <w:rFonts w:ascii="Times New Roman" w:hAnsi="Times New Roman" w:cs="Times New Roman"/>
          <w:sz w:val="24"/>
          <w:szCs w:val="24"/>
        </w:rPr>
        <w:t>.</w:t>
      </w:r>
    </w:p>
    <w:p w14:paraId="03803E7A" w14:textId="77777777" w:rsidR="00080A20" w:rsidRP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Both the GRI Event </w:t>
      </w:r>
      <w:proofErr w:type="spellStart"/>
      <w:r w:rsidRPr="00B6504B">
        <w:rPr>
          <w:rFonts w:ascii="Times New Roman" w:hAnsi="Times New Roman" w:cs="Times New Roman"/>
          <w:sz w:val="24"/>
          <w:szCs w:val="24"/>
        </w:rPr>
        <w:t>Organisers</w:t>
      </w:r>
      <w:proofErr w:type="spellEnd"/>
      <w:r w:rsidRPr="00B6504B">
        <w:rPr>
          <w:rFonts w:ascii="Times New Roman" w:hAnsi="Times New Roman" w:cs="Times New Roman"/>
          <w:sz w:val="24"/>
          <w:szCs w:val="24"/>
        </w:rPr>
        <w:t xml:space="preserve"> Sector Supplement (EDSS) and the GRI management standards provide event-specific guidance and indicators of reporting. It allows </w:t>
      </w:r>
      <w:proofErr w:type="spellStart"/>
      <w:r w:rsidRPr="00B6504B">
        <w:rPr>
          <w:rFonts w:ascii="Times New Roman" w:hAnsi="Times New Roman" w:cs="Times New Roman"/>
          <w:sz w:val="24"/>
          <w:szCs w:val="24"/>
        </w:rPr>
        <w:t>organisers</w:t>
      </w:r>
      <w:proofErr w:type="spellEnd"/>
      <w:r w:rsidRPr="00B6504B">
        <w:rPr>
          <w:rFonts w:ascii="Times New Roman" w:hAnsi="Times New Roman" w:cs="Times New Roman"/>
          <w:sz w:val="24"/>
          <w:szCs w:val="24"/>
        </w:rPr>
        <w:t xml:space="preserve"> to state qualitative and quantitative performance within event lifecycles in a material and comparable manner to the stakeholders.</w:t>
      </w:r>
    </w:p>
    <w:p w14:paraId="3F10F62D" w14:textId="77777777" w:rsidR="00080A20" w:rsidRP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The EOSS will transform generic sustainability reporting to sector realities by considering the event as the product. It includes such topics as site selection and mobility, accessibility, health and safety, sourcing, expressions of dissent, and legacy knowledge transfer.</w:t>
      </w:r>
    </w:p>
    <w:p w14:paraId="6EB9D535" w14:textId="34FC11F9" w:rsidR="00080A20" w:rsidRP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GRI EOSS documentation provide sector specific indicators and disclosure requirements, helps communicate the strategies, KPIs, methodologies and outcomes of planning through to learning in a transparent manner. Additional quick-reference literature and industry-disclosure reports enhance the architecture of the mandated and other disclosures and promote assurance and external audit to enhance the credibility of reports</w:t>
      </w:r>
      <w:r w:rsidR="00601892">
        <w:rPr>
          <w:rFonts w:ascii="Times New Roman" w:hAnsi="Times New Roman" w:cs="Times New Roman"/>
          <w:sz w:val="24"/>
          <w:szCs w:val="24"/>
        </w:rPr>
        <w:t xml:space="preserve"> </w:t>
      </w:r>
      <w:r w:rsidR="00601892" w:rsidRPr="00601892">
        <w:rPr>
          <w:rFonts w:ascii="Times New Roman" w:hAnsi="Times New Roman" w:cs="Times New Roman"/>
          <w:sz w:val="24"/>
          <w:szCs w:val="24"/>
        </w:rPr>
        <w:t>(GRI, 2012)</w:t>
      </w:r>
      <w:r w:rsidRPr="00B6504B">
        <w:rPr>
          <w:rFonts w:ascii="Times New Roman" w:hAnsi="Times New Roman" w:cs="Times New Roman"/>
          <w:sz w:val="24"/>
          <w:szCs w:val="24"/>
        </w:rPr>
        <w:t>.</w:t>
      </w:r>
    </w:p>
    <w:p w14:paraId="1B445D45" w14:textId="77777777" w:rsidR="00080A20" w:rsidRP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lastRenderedPageBreak/>
        <w:t xml:space="preserve">The literature on the case illustrates the practical importance of early decisions in reducing the lifecycle effects. An example is Paris 2024 who pledged 95 percent existing or temporary facilities and aimed at a 50 percent carbon reduction compared to the recent Games, and scopes 1-3, such as spectator travel. This strategy will be an example of the role of venue portfolios, logistics design, and proximity planning in facilitating </w:t>
      </w:r>
      <w:proofErr w:type="spellStart"/>
      <w:r w:rsidRPr="00B6504B">
        <w:rPr>
          <w:rFonts w:ascii="Times New Roman" w:hAnsi="Times New Roman" w:cs="Times New Roman"/>
          <w:sz w:val="24"/>
          <w:szCs w:val="24"/>
        </w:rPr>
        <w:t>decarbonisation</w:t>
      </w:r>
      <w:proofErr w:type="spellEnd"/>
      <w:r w:rsidRPr="00B6504B">
        <w:rPr>
          <w:rFonts w:ascii="Times New Roman" w:hAnsi="Times New Roman" w:cs="Times New Roman"/>
          <w:sz w:val="24"/>
          <w:szCs w:val="24"/>
        </w:rPr>
        <w:t xml:space="preserve"> and circularity alongside the quality of events and reach to the audience in complex urban settings.</w:t>
      </w:r>
    </w:p>
    <w:p w14:paraId="247194BA" w14:textId="77777777" w:rsidR="00080A20" w:rsidRP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The institutional history also has the appearance of ISO 20121 being tied to the London 2012 Olympic setting, meaning that the initial version was printed in time to push those Games and spark a new wave of systemic approach towards sustainable event management. The value of this lineage to knowledge transfer is the fact that </w:t>
      </w:r>
      <w:proofErr w:type="spellStart"/>
      <w:r w:rsidRPr="00B6504B">
        <w:rPr>
          <w:rFonts w:ascii="Times New Roman" w:hAnsi="Times New Roman" w:cs="Times New Roman"/>
          <w:sz w:val="24"/>
          <w:szCs w:val="24"/>
        </w:rPr>
        <w:t>standardisation</w:t>
      </w:r>
      <w:proofErr w:type="spellEnd"/>
      <w:r w:rsidRPr="00B6504B">
        <w:rPr>
          <w:rFonts w:ascii="Times New Roman" w:hAnsi="Times New Roman" w:cs="Times New Roman"/>
          <w:sz w:val="24"/>
          <w:szCs w:val="24"/>
        </w:rPr>
        <w:t xml:space="preserve"> imparts a one-time innovation into </w:t>
      </w:r>
      <w:proofErr w:type="spellStart"/>
      <w:r w:rsidRPr="00B6504B">
        <w:rPr>
          <w:rFonts w:ascii="Times New Roman" w:hAnsi="Times New Roman" w:cs="Times New Roman"/>
          <w:sz w:val="24"/>
          <w:szCs w:val="24"/>
        </w:rPr>
        <w:t>formalised</w:t>
      </w:r>
      <w:proofErr w:type="spellEnd"/>
      <w:r w:rsidRPr="00B6504B">
        <w:rPr>
          <w:rFonts w:ascii="Times New Roman" w:hAnsi="Times New Roman" w:cs="Times New Roman"/>
          <w:sz w:val="24"/>
          <w:szCs w:val="24"/>
        </w:rPr>
        <w:t xml:space="preserve"> practice that continues even after the </w:t>
      </w:r>
      <w:proofErr w:type="spellStart"/>
      <w:r w:rsidRPr="00B6504B">
        <w:rPr>
          <w:rFonts w:ascii="Times New Roman" w:hAnsi="Times New Roman" w:cs="Times New Roman"/>
          <w:sz w:val="24"/>
          <w:szCs w:val="24"/>
        </w:rPr>
        <w:t>organising</w:t>
      </w:r>
      <w:proofErr w:type="spellEnd"/>
      <w:r w:rsidRPr="00B6504B">
        <w:rPr>
          <w:rFonts w:ascii="Times New Roman" w:hAnsi="Times New Roman" w:cs="Times New Roman"/>
          <w:sz w:val="24"/>
          <w:szCs w:val="24"/>
        </w:rPr>
        <w:t xml:space="preserve"> committees and host situations have passed.</w:t>
      </w:r>
    </w:p>
    <w:p w14:paraId="66002BA3" w14:textId="77777777" w:rsidR="00080A20" w:rsidRP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Further examples are football mega-events portraying the change in reporting practice. FIFA also published Final Sustainability Report 2022 Qatar, indicating that it was done in compliance with GRI Standards, which further solidifies </w:t>
      </w:r>
      <w:proofErr w:type="spellStart"/>
      <w:r w:rsidRPr="00B6504B">
        <w:rPr>
          <w:rFonts w:ascii="Times New Roman" w:hAnsi="Times New Roman" w:cs="Times New Roman"/>
          <w:sz w:val="24"/>
          <w:szCs w:val="24"/>
        </w:rPr>
        <w:t>normalisation</w:t>
      </w:r>
      <w:proofErr w:type="spellEnd"/>
      <w:r w:rsidRPr="00B6504B">
        <w:rPr>
          <w:rFonts w:ascii="Times New Roman" w:hAnsi="Times New Roman" w:cs="Times New Roman"/>
          <w:sz w:val="24"/>
          <w:szCs w:val="24"/>
        </w:rPr>
        <w:t xml:space="preserve"> in the sector in terms of transparent and indicator-based reporting. The sustainability portal of the tournament unites governance, environmental, social and economic topics with a GRI Content Index and assurance statement to aid the readability and credibility, despite arguments on the boundaries and methodologies of major-event carbon accounting.</w:t>
      </w:r>
    </w:p>
    <w:p w14:paraId="4CA54601" w14:textId="77777777" w:rsidR="00080A20" w:rsidRP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Toolkits like the UNDP guideline on sustainable event supplement standards and disclosures with the checklists on mobility, catering, energy, water, communications and waste. These toolkits can help the operational teams to transform principles into venue-level processes and minimum requirements at scale. They also enable </w:t>
      </w:r>
      <w:proofErr w:type="spellStart"/>
      <w:r w:rsidRPr="00B6504B">
        <w:rPr>
          <w:rFonts w:ascii="Times New Roman" w:hAnsi="Times New Roman" w:cs="Times New Roman"/>
          <w:sz w:val="24"/>
          <w:szCs w:val="24"/>
        </w:rPr>
        <w:t>harmonised</w:t>
      </w:r>
      <w:proofErr w:type="spellEnd"/>
      <w:r w:rsidRPr="00B6504B">
        <w:rPr>
          <w:rFonts w:ascii="Times New Roman" w:hAnsi="Times New Roman" w:cs="Times New Roman"/>
          <w:sz w:val="24"/>
          <w:szCs w:val="24"/>
        </w:rPr>
        <w:t xml:space="preserve"> operating practices where multi-</w:t>
      </w:r>
      <w:r w:rsidRPr="00B6504B">
        <w:rPr>
          <w:rFonts w:ascii="Times New Roman" w:hAnsi="Times New Roman" w:cs="Times New Roman"/>
          <w:sz w:val="24"/>
          <w:szCs w:val="24"/>
        </w:rPr>
        <w:lastRenderedPageBreak/>
        <w:t>venue portfolios are concerned, enhance the quality of data and support comparative performance reporting to feed into GRI EOSS aligned reporting cycles.</w:t>
      </w:r>
    </w:p>
    <w:p w14:paraId="000091FF" w14:textId="4B9E1746" w:rsidR="00D617AC" w:rsidRP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Standards-based governance and integrated with sector-specific disclosure and implemented toolkits is, therefore, the essence of modern literature on sustainable mega-events. This knowledge base is a bridge between policy and practice since these bodies are auditable and have a clear communication process. The case studies of Paris 2024 experience, the legacy of London 2012, and FIFA reporting pattern show how the discipline of management, early design choices and significant expectations of public responsibility co-evolve to address the climate alignment, social inclusion and economic value in high stakes environments.</w:t>
      </w:r>
    </w:p>
    <w:p w14:paraId="0C38102B" w14:textId="77777777" w:rsidR="0025483B" w:rsidRPr="00B6504B" w:rsidRDefault="0025483B"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br w:type="page"/>
      </w:r>
    </w:p>
    <w:p w14:paraId="30ED9F22" w14:textId="1F7D31DB" w:rsidR="00D617AC" w:rsidRPr="00CA530F" w:rsidRDefault="00D617AC" w:rsidP="00B6504B">
      <w:pPr>
        <w:pStyle w:val="Heading1"/>
        <w:spacing w:line="480" w:lineRule="auto"/>
        <w:rPr>
          <w:rFonts w:ascii="Times New Roman" w:hAnsi="Times New Roman" w:cs="Times New Roman"/>
          <w:b/>
          <w:bCs/>
          <w:sz w:val="24"/>
          <w:szCs w:val="24"/>
        </w:rPr>
      </w:pPr>
      <w:bookmarkStart w:id="3" w:name="_Toc212020734"/>
      <w:r w:rsidRPr="00CA530F">
        <w:rPr>
          <w:rFonts w:ascii="Times New Roman" w:hAnsi="Times New Roman" w:cs="Times New Roman"/>
          <w:b/>
          <w:bCs/>
          <w:sz w:val="24"/>
          <w:szCs w:val="24"/>
        </w:rPr>
        <w:lastRenderedPageBreak/>
        <w:t>Methodology</w:t>
      </w:r>
      <w:bookmarkEnd w:id="3"/>
      <w:r w:rsidRPr="00CA530F">
        <w:rPr>
          <w:rFonts w:ascii="Times New Roman" w:hAnsi="Times New Roman" w:cs="Times New Roman"/>
          <w:b/>
          <w:bCs/>
          <w:sz w:val="24"/>
          <w:szCs w:val="24"/>
        </w:rPr>
        <w:t xml:space="preserve">  </w:t>
      </w:r>
    </w:p>
    <w:p w14:paraId="0609F8C6" w14:textId="30CB6BEB" w:rsidR="00601347" w:rsidRPr="00B6504B" w:rsidRDefault="00601347"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The approach to the implementation and realization of a sustainable event management model of the large-scale tourism events is based on a paradigm of standards-synthesis and lifecycle-mapping, and the governance of which is regulated by ISO 20121 and disclosure by GRI EOSS. The above paradigm would see to it that sustainability is both administered and made visible through procedural mechanisms and material, which are easily comparable and in turn, that stakeholder concerns that are unique to major events are addressed</w:t>
      </w:r>
      <w:r w:rsidR="00FB1768">
        <w:rPr>
          <w:rFonts w:ascii="Times New Roman" w:hAnsi="Times New Roman" w:cs="Times New Roman"/>
          <w:sz w:val="24"/>
          <w:szCs w:val="24"/>
        </w:rPr>
        <w:t xml:space="preserve"> </w:t>
      </w:r>
      <w:r w:rsidR="00D17996" w:rsidRPr="00D17996">
        <w:rPr>
          <w:rFonts w:ascii="Times New Roman" w:hAnsi="Times New Roman" w:cs="Times New Roman"/>
          <w:sz w:val="24"/>
          <w:szCs w:val="24"/>
        </w:rPr>
        <w:t>(Guideline for sustainable events, 2023)</w:t>
      </w:r>
      <w:r w:rsidR="00D17996">
        <w:rPr>
          <w:rFonts w:ascii="Times New Roman" w:hAnsi="Times New Roman" w:cs="Times New Roman"/>
          <w:sz w:val="24"/>
          <w:szCs w:val="24"/>
        </w:rPr>
        <w:t xml:space="preserve"> </w:t>
      </w:r>
      <w:r w:rsidRPr="00B6504B">
        <w:rPr>
          <w:rFonts w:ascii="Times New Roman" w:hAnsi="Times New Roman" w:cs="Times New Roman"/>
          <w:sz w:val="24"/>
          <w:szCs w:val="24"/>
        </w:rPr>
        <w:t>.</w:t>
      </w:r>
    </w:p>
    <w:p w14:paraId="6721AFF5" w14:textId="77777777" w:rsidR="00601347" w:rsidRPr="00B6504B" w:rsidRDefault="00601347"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The standards-synthesis phase, which begins with the creation of an ISO 20121 -compliant ESMS that expresses scope, policy commitment, leadership roles, stakeholder engagement protocols, risk and opportunity management, operational controls, monitoring procedures, internal audit regimes, management review processes and expectations of continuous improvement. The ESMS will also be designed to integrate with ISO 9001 and ISO 14001 to allow the convergence of quality, environmental and sustainable controls in shared documentation, audit processes and corrective-action processes, to facilitate the assurance processes and reduce administration overheads to the delivery partners and suppliers.</w:t>
      </w:r>
    </w:p>
    <w:p w14:paraId="43CE9DA1" w14:textId="77777777" w:rsidR="00601347" w:rsidRPr="00B6504B" w:rsidRDefault="00601347"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Coexisting with the standards-synthesis, the disclosure synthesis is a mapping of GRIÉSS indicators to the individual lifecycle phases, namely, bid, planning, staging, and legacy, and thus, organizers can plan proactive disclosures before lock-in decisions and report the results that reflect not only operational performance but also post-event legacy effects. Mapping includes sectorial themes such as site-selection criteria, transport implications on attendees and participants, accessibility, volunteer management, sourcing performance, dissent expression, </w:t>
      </w:r>
      <w:r w:rsidRPr="00B6504B">
        <w:rPr>
          <w:rFonts w:ascii="Times New Roman" w:hAnsi="Times New Roman" w:cs="Times New Roman"/>
          <w:sz w:val="24"/>
          <w:szCs w:val="24"/>
        </w:rPr>
        <w:lastRenderedPageBreak/>
        <w:t>community engagement and knowledge transfer to the legacy and defined and delimited indicators.</w:t>
      </w:r>
    </w:p>
    <w:p w14:paraId="5BEF3FE8" w14:textId="0D8FE96F" w:rsidR="00601347" w:rsidRPr="00B6504B" w:rsidRDefault="00601347"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The case triangulation uses modern models of major events to give precedence to decisions carrying the highest impact; a relevant example is the use of 95 percent existing/temporary events and 50 percent footprint-reduction goal by Paris2024, supported by an extensive model of emissions accountancy including spectator travel. These exemplars serve as methodological pivot, and they demonstrate the causal relationship between pre-existing infrastructure and logistics design and subsequent downstream operational parameters, in terms of energy consumption, mobility, material consumption, accessibility, and community effects</w:t>
      </w:r>
      <w:r w:rsidR="00FB1768">
        <w:rPr>
          <w:rFonts w:ascii="Times New Roman" w:hAnsi="Times New Roman" w:cs="Times New Roman"/>
          <w:sz w:val="24"/>
          <w:szCs w:val="24"/>
        </w:rPr>
        <w:t xml:space="preserve"> </w:t>
      </w:r>
      <w:r w:rsidR="00FB1768" w:rsidRPr="00FB1768">
        <w:rPr>
          <w:rFonts w:ascii="Times New Roman" w:hAnsi="Times New Roman" w:cs="Times New Roman"/>
          <w:sz w:val="24"/>
          <w:szCs w:val="24"/>
        </w:rPr>
        <w:t>(BSI Group, 2012)</w:t>
      </w:r>
      <w:r w:rsidR="00FB1768">
        <w:rPr>
          <w:rFonts w:ascii="Times New Roman" w:hAnsi="Times New Roman" w:cs="Times New Roman"/>
          <w:sz w:val="24"/>
          <w:szCs w:val="24"/>
        </w:rPr>
        <w:t>.</w:t>
      </w:r>
    </w:p>
    <w:p w14:paraId="5F21A8F0" w14:textId="77777777" w:rsidR="00601347" w:rsidRPr="00B6504B" w:rsidRDefault="00601347"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The risk-based areas of control are outlined in line with considerations of materiality and sectoral precedent, which include construction and fit-out, energy and carbon, mobility and logistics, water efficiency, waste and circularity, accessibility and inclusion, workforce and volunteer management, and sustainable sourcing and supplier assurance. Every domain has ESMS provisions that are detailed, which specify the key performance indicators, monitoring protocols, corrective-action triggers, and have the controls that are liable to audit and may be refined and improved through the analysis of plans, Do, Check and Act circles.</w:t>
      </w:r>
    </w:p>
    <w:p w14:paraId="22329A71" w14:textId="77777777" w:rsidR="00601347" w:rsidRPr="00B6504B" w:rsidRDefault="00601347"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The stakeholder engagement is structured in the form of EOSS thematic framework that allows gathering the inputs on the material topics provided by communities, participants, volunteers, employees, sponsors, and municipal authorities in a systematic manner. This engagement is documented to formulate responses and commitments used to set targets and design programs. The engagement is re-enacted at critical milestones to ensure the contemporaneity of materiality </w:t>
      </w:r>
      <w:r w:rsidRPr="00B6504B">
        <w:rPr>
          <w:rFonts w:ascii="Times New Roman" w:hAnsi="Times New Roman" w:cs="Times New Roman"/>
          <w:sz w:val="24"/>
          <w:szCs w:val="24"/>
        </w:rPr>
        <w:lastRenderedPageBreak/>
        <w:t>as design iterations evolve and constraints come to play thus maintaining legitimacy with the ongoing alignment with the affected stakeholders.</w:t>
      </w:r>
    </w:p>
    <w:p w14:paraId="7B2379BF" w14:textId="77777777" w:rsidR="00601347" w:rsidRPr="00B6504B" w:rsidRDefault="00601347"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These targets and indicators are also set to be time bound, measurable and auditable with baselines and assumptions reported in line with the requirements of the EOSS and methodologies to carbon accounting and waste tracking that is in line with the norms of the sector to establish comparability. Management reviews bring together indicator performance, audit results, nonconformities, and even stakeholder feedback to guide corrective actions and redistribute resources where necessary and therefore bring the PDCA loop back together and allow improvement to cumulate across successive cycles and event editions.</w:t>
      </w:r>
    </w:p>
    <w:p w14:paraId="4EF6C090" w14:textId="77777777" w:rsidR="00601347" w:rsidRPr="00B6504B" w:rsidRDefault="00601347"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Reporting is done on a periodic public update rhythm in compliance with EOSS and it reports governance structures, material topics, targets, methodological frameworks, progress metrics, incidents, lessons learned and the legacy plan. The introduction of a GRI content index and optional key indicator assurance is a way to increase credibility. The adherence to GRI standards and the use of content indicators enables the benchmarking of mega events and increase the confidence of the stakeholders when mega events present detailed sustainability reports, as seen in the architectural and communicative modalities of the final Qatar 2022 report of FIFA.</w:t>
      </w:r>
    </w:p>
    <w:p w14:paraId="7E4B8100" w14:textId="6B3C6CA4" w:rsidR="00601347" w:rsidRPr="00B6504B" w:rsidRDefault="00601347"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The application is supported with practical toolkits such as the guideline to sustainable events by UNDP, which provides venue-level procedures associated with energy, mobility, catering, water, communications, and waste separation. Such resources make strategy readable to large scale daily operations. This stage of </w:t>
      </w:r>
      <w:proofErr w:type="spellStart"/>
      <w:r w:rsidRPr="00B6504B">
        <w:rPr>
          <w:rFonts w:ascii="Times New Roman" w:hAnsi="Times New Roman" w:cs="Times New Roman"/>
          <w:sz w:val="24"/>
          <w:szCs w:val="24"/>
        </w:rPr>
        <w:t>operationalisation</w:t>
      </w:r>
      <w:proofErr w:type="spellEnd"/>
      <w:r w:rsidRPr="00B6504B">
        <w:rPr>
          <w:rFonts w:ascii="Times New Roman" w:hAnsi="Times New Roman" w:cs="Times New Roman"/>
          <w:sz w:val="24"/>
          <w:szCs w:val="24"/>
        </w:rPr>
        <w:t xml:space="preserve"> is important to guarantee the quality of data, as well as the fulfilment of the conditions under which the benefits associated with the ISO 20121 certification are provided, including the performance transparency and the avoidance of risks</w:t>
      </w:r>
      <w:r w:rsidR="004E1EE5" w:rsidRPr="004E1EE5">
        <w:rPr>
          <w:rFonts w:ascii="Times New Roman" w:hAnsi="Times New Roman" w:cs="Times New Roman"/>
          <w:sz w:val="24"/>
          <w:szCs w:val="24"/>
        </w:rPr>
        <w:t>(UNDP Serbia, 2023)</w:t>
      </w:r>
      <w:r w:rsidRPr="00B6504B">
        <w:rPr>
          <w:rFonts w:ascii="Times New Roman" w:hAnsi="Times New Roman" w:cs="Times New Roman"/>
          <w:sz w:val="24"/>
          <w:szCs w:val="24"/>
        </w:rPr>
        <w:t>.</w:t>
      </w:r>
    </w:p>
    <w:p w14:paraId="50ABB4FC" w14:textId="07E57EAC" w:rsidR="00601347" w:rsidRPr="00B6504B" w:rsidRDefault="00601347"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lastRenderedPageBreak/>
        <w:t xml:space="preserve">Lastly, alignment to host city is </w:t>
      </w:r>
      <w:proofErr w:type="spellStart"/>
      <w:r w:rsidRPr="00B6504B">
        <w:rPr>
          <w:rFonts w:ascii="Times New Roman" w:hAnsi="Times New Roman" w:cs="Times New Roman"/>
          <w:sz w:val="24"/>
          <w:szCs w:val="24"/>
        </w:rPr>
        <w:t>institutionalised</w:t>
      </w:r>
      <w:proofErr w:type="spellEnd"/>
      <w:r w:rsidRPr="00B6504B">
        <w:rPr>
          <w:rFonts w:ascii="Times New Roman" w:hAnsi="Times New Roman" w:cs="Times New Roman"/>
          <w:sz w:val="24"/>
          <w:szCs w:val="24"/>
        </w:rPr>
        <w:t xml:space="preserve"> through establishment of connections between event strategies and local climatic action plans as well as development priorities. The Paris 2024 model is a good example of such integration where the venue choice, distance to activities and road/rail connectivity have twofold values and purposes, both improving the performance of the event and the development of the city in the long term. This kind of alignment </w:t>
      </w:r>
      <w:proofErr w:type="spellStart"/>
      <w:r w:rsidRPr="00B6504B">
        <w:rPr>
          <w:rFonts w:ascii="Times New Roman" w:hAnsi="Times New Roman" w:cs="Times New Roman"/>
          <w:sz w:val="24"/>
          <w:szCs w:val="24"/>
        </w:rPr>
        <w:t>minimises</w:t>
      </w:r>
      <w:proofErr w:type="spellEnd"/>
      <w:r w:rsidRPr="00B6504B">
        <w:rPr>
          <w:rFonts w:ascii="Times New Roman" w:hAnsi="Times New Roman" w:cs="Times New Roman"/>
          <w:sz w:val="24"/>
          <w:szCs w:val="24"/>
        </w:rPr>
        <w:t xml:space="preserve"> the chances of stranded assets, strengthens legacy value and ensures that the ESMS and EOSS reporting systems capture consequences that are not only temporary improvements of city systems but also long-term improvements in community wellbeing</w:t>
      </w:r>
      <w:r w:rsidR="000C40DF">
        <w:rPr>
          <w:rFonts w:ascii="Times New Roman" w:hAnsi="Times New Roman" w:cs="Times New Roman"/>
          <w:sz w:val="24"/>
          <w:szCs w:val="24"/>
        </w:rPr>
        <w:t xml:space="preserve"> </w:t>
      </w:r>
      <w:r w:rsidR="000C40DF" w:rsidRPr="000C40DF">
        <w:rPr>
          <w:rFonts w:ascii="Times New Roman" w:hAnsi="Times New Roman" w:cs="Times New Roman"/>
          <w:sz w:val="24"/>
          <w:szCs w:val="24"/>
        </w:rPr>
        <w:t>(Olympics.Com, 2024)</w:t>
      </w:r>
      <w:r w:rsidRPr="00B6504B">
        <w:rPr>
          <w:rFonts w:ascii="Times New Roman" w:hAnsi="Times New Roman" w:cs="Times New Roman"/>
          <w:sz w:val="24"/>
          <w:szCs w:val="24"/>
        </w:rPr>
        <w:t>.</w:t>
      </w:r>
    </w:p>
    <w:p w14:paraId="6DB18FD7" w14:textId="5146C7DC" w:rsidR="0074529D" w:rsidRPr="00B6504B" w:rsidRDefault="0074529D" w:rsidP="00B6504B">
      <w:pPr>
        <w:spacing w:line="480" w:lineRule="auto"/>
        <w:rPr>
          <w:rFonts w:ascii="Times New Roman" w:hAnsi="Times New Roman" w:cs="Times New Roman"/>
          <w:sz w:val="24"/>
          <w:szCs w:val="24"/>
        </w:rPr>
      </w:pPr>
      <w:r w:rsidRPr="00B6504B">
        <w:rPr>
          <w:rFonts w:ascii="Times New Roman" w:hAnsi="Times New Roman" w:cs="Times New Roman"/>
          <w:noProof/>
          <w:sz w:val="24"/>
          <w:szCs w:val="24"/>
        </w:rPr>
        <w:drawing>
          <wp:inline distT="0" distB="0" distL="0" distR="0" wp14:anchorId="6F107123" wp14:editId="7A5B9416">
            <wp:extent cx="6115050" cy="4076700"/>
            <wp:effectExtent l="0" t="0" r="0" b="0"/>
            <wp:docPr id="1455120502" name="Picture 2" descr="Framework flowchart aligning ISO 20121 management system with GRI Event Organizers Sector disclosures across environmental, social, and economic progr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amework flowchart aligning ISO 20121 management system with GRI Event Organizers Sector disclosures across environmental, social, and economic program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15050" cy="4076700"/>
                    </a:xfrm>
                    <a:prstGeom prst="rect">
                      <a:avLst/>
                    </a:prstGeom>
                    <a:noFill/>
                    <a:ln>
                      <a:noFill/>
                    </a:ln>
                  </pic:spPr>
                </pic:pic>
              </a:graphicData>
            </a:graphic>
          </wp:inline>
        </w:drawing>
      </w:r>
    </w:p>
    <w:p w14:paraId="760E6FDA" w14:textId="77777777" w:rsidR="0025483B" w:rsidRPr="00B6504B" w:rsidRDefault="0025483B"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br w:type="page"/>
      </w:r>
    </w:p>
    <w:p w14:paraId="1D6D0D2A" w14:textId="107A0170" w:rsidR="00B875AA" w:rsidRPr="00CA530F" w:rsidRDefault="00B875AA" w:rsidP="00B6504B">
      <w:pPr>
        <w:pStyle w:val="Heading1"/>
        <w:spacing w:line="480" w:lineRule="auto"/>
        <w:rPr>
          <w:rFonts w:ascii="Times New Roman" w:hAnsi="Times New Roman" w:cs="Times New Roman"/>
          <w:b/>
          <w:bCs/>
          <w:sz w:val="24"/>
          <w:szCs w:val="24"/>
        </w:rPr>
      </w:pPr>
      <w:bookmarkStart w:id="4" w:name="_Toc212020735"/>
      <w:r w:rsidRPr="00CA530F">
        <w:rPr>
          <w:rFonts w:ascii="Times New Roman" w:hAnsi="Times New Roman" w:cs="Times New Roman"/>
          <w:b/>
          <w:bCs/>
          <w:sz w:val="24"/>
          <w:szCs w:val="24"/>
        </w:rPr>
        <w:lastRenderedPageBreak/>
        <w:t>Findings</w:t>
      </w:r>
      <w:bookmarkEnd w:id="4"/>
      <w:r w:rsidRPr="00CA530F">
        <w:rPr>
          <w:rFonts w:ascii="Times New Roman" w:hAnsi="Times New Roman" w:cs="Times New Roman"/>
          <w:b/>
          <w:bCs/>
          <w:sz w:val="24"/>
          <w:szCs w:val="24"/>
        </w:rPr>
        <w:t xml:space="preserve">  </w:t>
      </w:r>
    </w:p>
    <w:p w14:paraId="5C370EEB" w14:textId="2AFECE85"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The ISO 20121:2024 is an undisputed governance standard of mega-event sustainability, and the updated version of this standard requires a management system that translates the policy guidelines into clearly defined roles, procedures, monitoring systems, audit procedures, and continuous quality improvement processes, with particular emphasis made on social legacies and rights</w:t>
      </w:r>
      <w:r w:rsidR="00096170">
        <w:rPr>
          <w:rFonts w:ascii="Times New Roman" w:hAnsi="Times New Roman" w:cs="Times New Roman"/>
          <w:sz w:val="24"/>
          <w:szCs w:val="24"/>
        </w:rPr>
        <w:t xml:space="preserve"> </w:t>
      </w:r>
      <w:r w:rsidR="00EF481C">
        <w:rPr>
          <w:rFonts w:ascii="Times New Roman" w:hAnsi="Times New Roman" w:cs="Times New Roman"/>
          <w:sz w:val="24"/>
          <w:szCs w:val="24"/>
        </w:rPr>
        <w:t>(SGS, 2024)</w:t>
      </w:r>
      <w:r w:rsidRPr="00B6504B">
        <w:rPr>
          <w:rFonts w:ascii="Times New Roman" w:hAnsi="Times New Roman" w:cs="Times New Roman"/>
          <w:sz w:val="24"/>
          <w:szCs w:val="24"/>
        </w:rPr>
        <w:t xml:space="preserve"> </w:t>
      </w:r>
    </w:p>
    <w:p w14:paraId="1F7293D5" w14:textId="77777777"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The framework has system focus and allows </w:t>
      </w:r>
      <w:proofErr w:type="spellStart"/>
      <w:r w:rsidRPr="00B6504B">
        <w:rPr>
          <w:rFonts w:ascii="Times New Roman" w:hAnsi="Times New Roman" w:cs="Times New Roman"/>
          <w:sz w:val="24"/>
          <w:szCs w:val="24"/>
        </w:rPr>
        <w:t>organisers</w:t>
      </w:r>
      <w:proofErr w:type="spellEnd"/>
      <w:r w:rsidRPr="00B6504B">
        <w:rPr>
          <w:rFonts w:ascii="Times New Roman" w:hAnsi="Times New Roman" w:cs="Times New Roman"/>
          <w:sz w:val="24"/>
          <w:szCs w:val="24"/>
        </w:rPr>
        <w:t xml:space="preserve"> and their delivery partners to be held accountable with the performance-review cycles identifying non-conformities and implementing corrective measures within a set timeframe to reduce recurrence.  </w:t>
      </w:r>
    </w:p>
    <w:p w14:paraId="0E78D28D" w14:textId="77777777"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Synergistic implementation of ISO 20121 with ISO 9001 and ISO 14001 allows synergy between quality assurance, environmental management and sustainability areas; the synergy helps in sharing of documentation, audit work and corrective-actions processes and as a result, reduced duplication and increased accountability between the supply chain.  </w:t>
      </w:r>
    </w:p>
    <w:p w14:paraId="3D378384" w14:textId="315E7E51"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This type of integration is especially outcome-based when it comes to multi-venue, multi-contractor event ecosystems, in which fragmentation would otherwise ruin implementation discipline and data quality.  </w:t>
      </w:r>
    </w:p>
    <w:p w14:paraId="3801055F" w14:textId="77777777"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The focus of EOSS on lifecycle disclosure, both during the bidding and throughout the lifecycle, encourages the pre-commitment disclosure and post-event learning, thus limiting the deferral or watering down of the commitments once the procurement and construction lock-in take place.  </w:t>
      </w:r>
    </w:p>
    <w:p w14:paraId="6D939ACA" w14:textId="77777777"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An example of the effect of early infrastructure planning in order to achieve massive impact reductions without impacting on event quality is the 2024 Paris Games, achieved by </w:t>
      </w:r>
      <w:proofErr w:type="spellStart"/>
      <w:r w:rsidRPr="00B6504B">
        <w:rPr>
          <w:rFonts w:ascii="Times New Roman" w:hAnsi="Times New Roman" w:cs="Times New Roman"/>
          <w:sz w:val="24"/>
          <w:szCs w:val="24"/>
        </w:rPr>
        <w:t>maximising</w:t>
      </w:r>
      <w:proofErr w:type="spellEnd"/>
      <w:r w:rsidRPr="00B6504B">
        <w:rPr>
          <w:rFonts w:ascii="Times New Roman" w:hAnsi="Times New Roman" w:cs="Times New Roman"/>
          <w:sz w:val="24"/>
          <w:szCs w:val="24"/>
        </w:rPr>
        <w:t xml:space="preserve"> </w:t>
      </w:r>
      <w:r w:rsidRPr="00B6504B">
        <w:rPr>
          <w:rFonts w:ascii="Times New Roman" w:hAnsi="Times New Roman" w:cs="Times New Roman"/>
          <w:sz w:val="24"/>
          <w:szCs w:val="24"/>
        </w:rPr>
        <w:lastRenderedPageBreak/>
        <w:t xml:space="preserve">current or temporary venues, and including spectator travel in the accounting boundary to fit into plausible climate stories.  </w:t>
      </w:r>
    </w:p>
    <w:p w14:paraId="48E99E47" w14:textId="5EC9505E"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It illustrates that </w:t>
      </w:r>
      <w:r w:rsidR="0025483B" w:rsidRPr="00B6504B">
        <w:rPr>
          <w:rFonts w:ascii="Times New Roman" w:hAnsi="Times New Roman" w:cs="Times New Roman"/>
          <w:sz w:val="24"/>
          <w:szCs w:val="24"/>
        </w:rPr>
        <w:t>decarbonization</w:t>
      </w:r>
      <w:r w:rsidRPr="00B6504B">
        <w:rPr>
          <w:rFonts w:ascii="Times New Roman" w:hAnsi="Times New Roman" w:cs="Times New Roman"/>
          <w:sz w:val="24"/>
          <w:szCs w:val="24"/>
        </w:rPr>
        <w:t xml:space="preserve"> and circularity are mainly design and procurement issues that have to be solved early in order to prevent embodied carbon and later stranded assets, and at the same time increase the proximity of people, transit integration, and accessibility to audiences.  </w:t>
      </w:r>
    </w:p>
    <w:p w14:paraId="0A572F24" w14:textId="4B8CBB89"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The published architectural exemplar of FIFA Qatar 2022 final sustainability report highlights the normalization of sectoral reporting in structure, including governance, environmental, social, economic, GRI Content Index, and assurance aspects; however, the methodologies and limits are still debated and can be improved in mega-event carbon accounting</w:t>
      </w:r>
      <w:r w:rsidR="00D7670D" w:rsidRPr="00D7670D">
        <w:rPr>
          <w:rFonts w:ascii="Times New Roman" w:hAnsi="Times New Roman" w:cs="Times New Roman"/>
          <w:sz w:val="24"/>
          <w:szCs w:val="24"/>
        </w:rPr>
        <w:t>(Inside FIFA, 2022)</w:t>
      </w:r>
      <w:r w:rsidR="00D7670D">
        <w:rPr>
          <w:rFonts w:ascii="Times New Roman" w:hAnsi="Times New Roman" w:cs="Times New Roman"/>
          <w:sz w:val="24"/>
          <w:szCs w:val="24"/>
        </w:rPr>
        <w:t xml:space="preserve"> </w:t>
      </w:r>
      <w:r w:rsidRPr="00B6504B">
        <w:rPr>
          <w:rFonts w:ascii="Times New Roman" w:hAnsi="Times New Roman" w:cs="Times New Roman"/>
          <w:sz w:val="24"/>
          <w:szCs w:val="24"/>
        </w:rPr>
        <w:t xml:space="preserve">.  </w:t>
      </w:r>
    </w:p>
    <w:p w14:paraId="2B802E60" w14:textId="77777777"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A supporting communication attests that the overall report was composed according to GRI Standards and listed 79 initiatives, which indicates a maturing mindset towards disclosure in world football events.  </w:t>
      </w:r>
    </w:p>
    <w:p w14:paraId="16DD72B4" w14:textId="4F89DBA5"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Geographically dispersed mega events, with transport emissions dominating, show the importance of the siting and mobility strategy; external analyses of transport as the greatest source of emissions in Qatar 2022 and warn of the risk that the increase in events across continents without well-developed demand-management and proximity strategies will further increase the value of this risk</w:t>
      </w:r>
      <w:r w:rsidR="00EF0D4F">
        <w:rPr>
          <w:rFonts w:ascii="Times New Roman" w:hAnsi="Times New Roman" w:cs="Times New Roman"/>
          <w:sz w:val="24"/>
          <w:szCs w:val="24"/>
        </w:rPr>
        <w:t xml:space="preserve"> </w:t>
      </w:r>
      <w:r w:rsidR="00EF0D4F" w:rsidRPr="00EF0D4F">
        <w:rPr>
          <w:rFonts w:ascii="Times New Roman" w:hAnsi="Times New Roman" w:cs="Times New Roman"/>
          <w:sz w:val="24"/>
          <w:szCs w:val="24"/>
        </w:rPr>
        <w:t>(Global Strategic Communications Council, 2022)</w:t>
      </w:r>
      <w:r w:rsidRPr="00B6504B">
        <w:rPr>
          <w:rFonts w:ascii="Times New Roman" w:hAnsi="Times New Roman" w:cs="Times New Roman"/>
          <w:sz w:val="24"/>
          <w:szCs w:val="24"/>
        </w:rPr>
        <w:t xml:space="preserve">.  </w:t>
      </w:r>
    </w:p>
    <w:p w14:paraId="5D10BE55" w14:textId="77777777"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This fact spells out the need to have full-scope accounting to capture spectator travel and ensure the match of ticketing, scheduling and venue selection with the capacity of the public transit and the active-mobility infrastructure to limit emissions and impacts on the locals.  </w:t>
      </w:r>
    </w:p>
    <w:p w14:paraId="74506067" w14:textId="77777777"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The consistent venue-level implementation can be supported by specific toolkits, including those of the United Nations Development </w:t>
      </w:r>
      <w:proofErr w:type="spellStart"/>
      <w:r w:rsidRPr="00B6504B">
        <w:rPr>
          <w:rFonts w:ascii="Times New Roman" w:hAnsi="Times New Roman" w:cs="Times New Roman"/>
          <w:sz w:val="24"/>
          <w:szCs w:val="24"/>
        </w:rPr>
        <w:t>Programme</w:t>
      </w:r>
      <w:proofErr w:type="spellEnd"/>
      <w:r w:rsidRPr="00B6504B">
        <w:rPr>
          <w:rFonts w:ascii="Times New Roman" w:hAnsi="Times New Roman" w:cs="Times New Roman"/>
          <w:sz w:val="24"/>
          <w:szCs w:val="24"/>
        </w:rPr>
        <w:t xml:space="preserve">, which can be used to provide checklists on </w:t>
      </w:r>
      <w:r w:rsidRPr="00B6504B">
        <w:rPr>
          <w:rFonts w:ascii="Times New Roman" w:hAnsi="Times New Roman" w:cs="Times New Roman"/>
          <w:sz w:val="24"/>
          <w:szCs w:val="24"/>
        </w:rPr>
        <w:lastRenderedPageBreak/>
        <w:t xml:space="preserve">mobility, catering, energy, water, and waste, etc., which are important to ensure the data integrity and the portfolio-wide results as per EOSS indicators and ISO audit requirements.  </w:t>
      </w:r>
    </w:p>
    <w:p w14:paraId="771696B2" w14:textId="77777777"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Onboarding Contractors and volunteers with the help of these checklists also facilitates the operational </w:t>
      </w:r>
      <w:proofErr w:type="spellStart"/>
      <w:r w:rsidRPr="00B6504B">
        <w:rPr>
          <w:rFonts w:ascii="Times New Roman" w:hAnsi="Times New Roman" w:cs="Times New Roman"/>
          <w:sz w:val="24"/>
          <w:szCs w:val="24"/>
        </w:rPr>
        <w:t>harmonisation</w:t>
      </w:r>
      <w:proofErr w:type="spellEnd"/>
      <w:r w:rsidRPr="00B6504B">
        <w:rPr>
          <w:rFonts w:ascii="Times New Roman" w:hAnsi="Times New Roman" w:cs="Times New Roman"/>
          <w:sz w:val="24"/>
          <w:szCs w:val="24"/>
        </w:rPr>
        <w:t xml:space="preserve"> so that the implementation variance is also </w:t>
      </w:r>
      <w:proofErr w:type="spellStart"/>
      <w:r w:rsidRPr="00B6504B">
        <w:rPr>
          <w:rFonts w:ascii="Times New Roman" w:hAnsi="Times New Roman" w:cs="Times New Roman"/>
          <w:sz w:val="24"/>
          <w:szCs w:val="24"/>
        </w:rPr>
        <w:t>minimised</w:t>
      </w:r>
      <w:proofErr w:type="spellEnd"/>
      <w:r w:rsidRPr="00B6504B">
        <w:rPr>
          <w:rFonts w:ascii="Times New Roman" w:hAnsi="Times New Roman" w:cs="Times New Roman"/>
          <w:sz w:val="24"/>
          <w:szCs w:val="24"/>
        </w:rPr>
        <w:t xml:space="preserve"> and also the corrective-action cycles when the monitoring reveals underperformance.  </w:t>
      </w:r>
    </w:p>
    <w:p w14:paraId="71ADCE6F" w14:textId="77777777"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The literature suggests that </w:t>
      </w:r>
      <w:proofErr w:type="spellStart"/>
      <w:r w:rsidRPr="00B6504B">
        <w:rPr>
          <w:rFonts w:ascii="Times New Roman" w:hAnsi="Times New Roman" w:cs="Times New Roman"/>
          <w:sz w:val="24"/>
          <w:szCs w:val="24"/>
        </w:rPr>
        <w:t>organisational</w:t>
      </w:r>
      <w:proofErr w:type="spellEnd"/>
      <w:r w:rsidRPr="00B6504B">
        <w:rPr>
          <w:rFonts w:ascii="Times New Roman" w:hAnsi="Times New Roman" w:cs="Times New Roman"/>
          <w:sz w:val="24"/>
          <w:szCs w:val="24"/>
        </w:rPr>
        <w:t xml:space="preserve"> credibility is pegged on system rigor and transparency, thus the </w:t>
      </w:r>
      <w:proofErr w:type="spellStart"/>
      <w:r w:rsidRPr="00B6504B">
        <w:rPr>
          <w:rFonts w:ascii="Times New Roman" w:hAnsi="Times New Roman" w:cs="Times New Roman"/>
          <w:sz w:val="24"/>
          <w:szCs w:val="24"/>
        </w:rPr>
        <w:t>organisers</w:t>
      </w:r>
      <w:proofErr w:type="spellEnd"/>
      <w:r w:rsidRPr="00B6504B">
        <w:rPr>
          <w:rFonts w:ascii="Times New Roman" w:hAnsi="Times New Roman" w:cs="Times New Roman"/>
          <w:sz w:val="24"/>
          <w:szCs w:val="24"/>
        </w:rPr>
        <w:t xml:space="preserve"> should explicitly reveal targets, means and limits, use sector-related indicators and subject key measures to assurance to maintain stakeholder confidence in the face of high levels of public scrutiny.  </w:t>
      </w:r>
    </w:p>
    <w:p w14:paraId="1BCBEF6A" w14:textId="77777777"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Credibility is also an asset that forms the basis of social license and sponsor confidence, risk reduction of reputation, and the increase of innovation adoption in future editions, due to strengthened legitimacy and mutual learning.  </w:t>
      </w:r>
    </w:p>
    <w:p w14:paraId="6A40CF4E" w14:textId="77777777"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The combination of sustainability and quality assurance not only makes organizational administration efficient, but also performance-enhancing; integrating sustainability controls into the same operational beats that enable quality of service delivery harmonize incentives and streamline conformity to the delivery partners.  </w:t>
      </w:r>
    </w:p>
    <w:p w14:paraId="531A4060" w14:textId="77777777"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This kind of correlation is particularly useful to small-and-medium-sized businesses in the event supply chain, who will reap proportional conformity pathways whilst functioning in a single audit and corrective-action framework that enables predictable performance.  </w:t>
      </w:r>
    </w:p>
    <w:p w14:paraId="5F754E4A" w14:textId="77777777"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Sustainable mega events are therefore the result of consistent systems based on ISO 20121, and reported using GRI EOSS, translated into early, high-impact design decisions and supported by </w:t>
      </w:r>
      <w:r w:rsidRPr="00B6504B">
        <w:rPr>
          <w:rFonts w:ascii="Times New Roman" w:hAnsi="Times New Roman" w:cs="Times New Roman"/>
          <w:sz w:val="24"/>
          <w:szCs w:val="24"/>
        </w:rPr>
        <w:lastRenderedPageBreak/>
        <w:t xml:space="preserve">practical toolkits which ensure consistency of the venue-level and quality of the data over the complex environment.  </w:t>
      </w:r>
    </w:p>
    <w:p w14:paraId="3F58C6C2" w14:textId="37252B11" w:rsid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As shown in the empirical reports of the 2024 Paris Games and FIFA Qatar 2022, the operationalization of these systems is feasible, and boundaries, approaches, and strategies of mobility need to be refined to fulfill climate alignment, social inclusion, and legacy requirements in a credible and comparable way across host and cycles</w:t>
      </w:r>
      <w:r w:rsidR="00D7670D">
        <w:rPr>
          <w:rFonts w:ascii="Times New Roman" w:hAnsi="Times New Roman" w:cs="Times New Roman"/>
          <w:sz w:val="24"/>
          <w:szCs w:val="24"/>
        </w:rPr>
        <w:t xml:space="preserve"> </w:t>
      </w:r>
      <w:r w:rsidR="00D7670D" w:rsidRPr="00D7670D">
        <w:rPr>
          <w:rFonts w:ascii="Times New Roman" w:hAnsi="Times New Roman" w:cs="Times New Roman"/>
          <w:sz w:val="24"/>
          <w:szCs w:val="24"/>
        </w:rPr>
        <w:t>(Inside FIFA, 2022)</w:t>
      </w:r>
      <w:r w:rsidRPr="00B6504B">
        <w:rPr>
          <w:rFonts w:ascii="Times New Roman" w:hAnsi="Times New Roman" w:cs="Times New Roman"/>
          <w:sz w:val="24"/>
          <w:szCs w:val="24"/>
        </w:rPr>
        <w:t>.</w:t>
      </w:r>
    </w:p>
    <w:p w14:paraId="7FAECFB9" w14:textId="77777777" w:rsidR="00B6504B" w:rsidRDefault="00B6504B">
      <w:pPr>
        <w:rPr>
          <w:rFonts w:ascii="Times New Roman" w:hAnsi="Times New Roman" w:cs="Times New Roman"/>
          <w:sz w:val="24"/>
          <w:szCs w:val="24"/>
        </w:rPr>
      </w:pPr>
      <w:r>
        <w:rPr>
          <w:rFonts w:ascii="Times New Roman" w:hAnsi="Times New Roman" w:cs="Times New Roman"/>
          <w:sz w:val="24"/>
          <w:szCs w:val="24"/>
        </w:rPr>
        <w:br w:type="page"/>
      </w:r>
    </w:p>
    <w:p w14:paraId="4D9655F0" w14:textId="09AD8FEC" w:rsidR="00B875AA" w:rsidRPr="00CA530F" w:rsidRDefault="00B875AA" w:rsidP="00B6504B">
      <w:pPr>
        <w:pStyle w:val="Heading1"/>
        <w:spacing w:line="480" w:lineRule="auto"/>
        <w:rPr>
          <w:rFonts w:ascii="Times New Roman" w:hAnsi="Times New Roman" w:cs="Times New Roman"/>
          <w:b/>
          <w:bCs/>
          <w:sz w:val="24"/>
          <w:szCs w:val="24"/>
        </w:rPr>
      </w:pPr>
      <w:bookmarkStart w:id="5" w:name="_Toc212020736"/>
      <w:r w:rsidRPr="00CA530F">
        <w:rPr>
          <w:rFonts w:ascii="Times New Roman" w:hAnsi="Times New Roman" w:cs="Times New Roman"/>
          <w:b/>
          <w:bCs/>
          <w:sz w:val="24"/>
          <w:szCs w:val="24"/>
        </w:rPr>
        <w:lastRenderedPageBreak/>
        <w:t>Discussion</w:t>
      </w:r>
      <w:bookmarkEnd w:id="5"/>
      <w:r w:rsidRPr="00CA530F">
        <w:rPr>
          <w:rFonts w:ascii="Times New Roman" w:hAnsi="Times New Roman" w:cs="Times New Roman"/>
          <w:b/>
          <w:bCs/>
          <w:sz w:val="24"/>
          <w:szCs w:val="24"/>
        </w:rPr>
        <w:t xml:space="preserve">  </w:t>
      </w:r>
    </w:p>
    <w:p w14:paraId="1B6BAD4F" w14:textId="5AD632B6" w:rsidR="00B875AA" w:rsidRPr="00B6504B" w:rsidRDefault="00B875AA"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It can be inferred that sustainable mega events can be viewed as a management challenge of primarily a coordination of complex actors on tight timelines that can be solved by having a disciplined ESMS that will melt policy into procedures and measures and allow constant enhancement and proportional assurance. The strength of ISO 20121 is flexibility, as it allows the </w:t>
      </w:r>
      <w:proofErr w:type="spellStart"/>
      <w:r w:rsidRPr="00B6504B">
        <w:rPr>
          <w:rFonts w:ascii="Times New Roman" w:hAnsi="Times New Roman" w:cs="Times New Roman"/>
          <w:sz w:val="24"/>
          <w:szCs w:val="24"/>
        </w:rPr>
        <w:t>organisation</w:t>
      </w:r>
      <w:proofErr w:type="spellEnd"/>
      <w:r w:rsidRPr="00B6504B">
        <w:rPr>
          <w:rFonts w:ascii="Times New Roman" w:hAnsi="Times New Roman" w:cs="Times New Roman"/>
          <w:sz w:val="24"/>
          <w:szCs w:val="24"/>
        </w:rPr>
        <w:t xml:space="preserve"> to size documentation, controls and conformity approaches to the risk and scope, whilst requiring the leadership and stakeholder involvement, risk management, operational planning, monitoring and corrective action cycles to be evident. Enhancing these demands with contracts and governance charters will make sure that delivery partners and suppliers move to the same set of controls, which will counter the fragmentation that can easily ruin performance in large, multi-venue events</w:t>
      </w:r>
      <w:r w:rsidR="00397B91">
        <w:rPr>
          <w:rFonts w:ascii="Times New Roman" w:hAnsi="Times New Roman" w:cs="Times New Roman"/>
          <w:sz w:val="24"/>
          <w:szCs w:val="24"/>
        </w:rPr>
        <w:t xml:space="preserve"> </w:t>
      </w:r>
      <w:r w:rsidR="00EF481C">
        <w:rPr>
          <w:rFonts w:ascii="Times New Roman" w:hAnsi="Times New Roman" w:cs="Times New Roman"/>
          <w:sz w:val="24"/>
          <w:szCs w:val="24"/>
        </w:rPr>
        <w:t>(SGS, 2024)</w:t>
      </w:r>
    </w:p>
    <w:p w14:paraId="32B77042" w14:textId="39D166FF" w:rsidR="00B875AA" w:rsidRPr="00B6504B" w:rsidRDefault="00B875AA"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EOSS places its own stakeholder-facing equivalent, whereby it requires the publication of event-specific material topics, which in this case are mobility impacts on attendees and participants, accessibility, inclusive initiatives, sourcing performance, and transfer of knowledge to the broader community; therefore, transparency is not limited to what eventually became the internal audit systems. The standardized indicator set assists comparability across events and editions and enables benchmarking and learning, which are required to ensure continuous improvement and to justify the expenditure of the public to the mega events that is under intense scrutiny. This connection between internal confidence and external disclosure completes the circle between governance and accountability and makes sustainability managed and apparent</w:t>
      </w:r>
      <w:r w:rsidR="00397B91">
        <w:rPr>
          <w:rFonts w:ascii="Times New Roman" w:hAnsi="Times New Roman" w:cs="Times New Roman"/>
          <w:sz w:val="24"/>
          <w:szCs w:val="24"/>
        </w:rPr>
        <w:t xml:space="preserve"> </w:t>
      </w:r>
      <w:r w:rsidR="00397B91" w:rsidRPr="00601892">
        <w:rPr>
          <w:rFonts w:ascii="Times New Roman" w:hAnsi="Times New Roman" w:cs="Times New Roman"/>
          <w:sz w:val="24"/>
          <w:szCs w:val="24"/>
        </w:rPr>
        <w:t>(GRI, 2012)</w:t>
      </w:r>
      <w:r w:rsidR="00397B91" w:rsidRPr="00B6504B">
        <w:rPr>
          <w:rFonts w:ascii="Times New Roman" w:hAnsi="Times New Roman" w:cs="Times New Roman"/>
          <w:sz w:val="24"/>
          <w:szCs w:val="24"/>
        </w:rPr>
        <w:t>.</w:t>
      </w:r>
    </w:p>
    <w:p w14:paraId="22AC772B" w14:textId="77777777" w:rsidR="00B875AA" w:rsidRPr="00B6504B" w:rsidRDefault="00B875AA"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The strategy of Paris 2024 illustrates the practical priority of early-stage infrastructure and logistics decisions in the achievement of halved carbon footprints without compromising the quality and accessibility of events, 95 percent of venues of which will be existing or temporary </w:t>
      </w:r>
      <w:r w:rsidRPr="00B6504B">
        <w:rPr>
          <w:rFonts w:ascii="Times New Roman" w:hAnsi="Times New Roman" w:cs="Times New Roman"/>
          <w:sz w:val="24"/>
          <w:szCs w:val="24"/>
        </w:rPr>
        <w:lastRenderedPageBreak/>
        <w:t>and full scope emissions supporting the validity of the reduction narrative. This model explains that sustainable results do not require the experience to be traded when the design decisions focus on intimacy, reuse, and temporary buildings that can be disassembled and used again later in accordance with the transit and city planning, which reduce the community impacts. These strategies, also enhance life cycle cost-efficiency through minimizing embodied carbon as well as prevent stranded assets and this necessitates complex procurement and governance to support modularity and reverse logistics after event, yet.</w:t>
      </w:r>
    </w:p>
    <w:p w14:paraId="6BE72976" w14:textId="3D302A8A" w:rsidR="0074529D" w:rsidRPr="00B6504B" w:rsidRDefault="00B875AA"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The example of London 2012 as the launchpad to </w:t>
      </w:r>
      <w:proofErr w:type="spellStart"/>
      <w:r w:rsidRPr="00B6504B">
        <w:rPr>
          <w:rFonts w:ascii="Times New Roman" w:hAnsi="Times New Roman" w:cs="Times New Roman"/>
          <w:sz w:val="24"/>
          <w:szCs w:val="24"/>
        </w:rPr>
        <w:t>standardised</w:t>
      </w:r>
      <w:proofErr w:type="spellEnd"/>
      <w:r w:rsidRPr="00B6504B">
        <w:rPr>
          <w:rFonts w:ascii="Times New Roman" w:hAnsi="Times New Roman" w:cs="Times New Roman"/>
          <w:sz w:val="24"/>
          <w:szCs w:val="24"/>
        </w:rPr>
        <w:t xml:space="preserve"> sustainable event management demonstrates how codification can enable the sector to become more widespread; it is a process of turning one-off innovations into a long-lasting practice, sustained through the introduction of ISO and industry disclosures that remain do not just cease once one </w:t>
      </w:r>
      <w:proofErr w:type="spellStart"/>
      <w:r w:rsidRPr="00B6504B">
        <w:rPr>
          <w:rFonts w:ascii="Times New Roman" w:hAnsi="Times New Roman" w:cs="Times New Roman"/>
          <w:sz w:val="24"/>
          <w:szCs w:val="24"/>
        </w:rPr>
        <w:t>organising</w:t>
      </w:r>
      <w:proofErr w:type="spellEnd"/>
      <w:r w:rsidRPr="00B6504B">
        <w:rPr>
          <w:rFonts w:ascii="Times New Roman" w:hAnsi="Times New Roman" w:cs="Times New Roman"/>
          <w:sz w:val="24"/>
          <w:szCs w:val="24"/>
        </w:rPr>
        <w:t xml:space="preserve"> committee is finished. The description of the origin of the standard by the ISO committee justifies the fact that continual improvement of mega events relies on formal systems which can be transferred and audited as opposed to sporadic initiatives, which can hardly be replicated or assessed. To the hosts in the future the secret is to integrate the E</w:t>
      </w:r>
      <w:r w:rsidR="00B217EB">
        <w:rPr>
          <w:rFonts w:ascii="Times New Roman" w:hAnsi="Times New Roman" w:cs="Times New Roman"/>
          <w:sz w:val="24"/>
          <w:szCs w:val="24"/>
        </w:rPr>
        <w:t>-</w:t>
      </w:r>
      <w:proofErr w:type="spellStart"/>
      <w:r w:rsidRPr="00B6504B">
        <w:rPr>
          <w:rFonts w:ascii="Times New Roman" w:hAnsi="Times New Roman" w:cs="Times New Roman"/>
          <w:sz w:val="24"/>
          <w:szCs w:val="24"/>
        </w:rPr>
        <w:t>sms</w:t>
      </w:r>
      <w:proofErr w:type="spellEnd"/>
      <w:r w:rsidRPr="00B6504B">
        <w:rPr>
          <w:rFonts w:ascii="Times New Roman" w:hAnsi="Times New Roman" w:cs="Times New Roman"/>
          <w:sz w:val="24"/>
          <w:szCs w:val="24"/>
        </w:rPr>
        <w:t xml:space="preserve"> discipline of ISO with the public transparency of EOSS so as to achieve the stakeholder legitimacy whilst operating under operational constraints and changing demands of climate consistency and social inclusion</w:t>
      </w:r>
      <w:r w:rsidR="002959E1">
        <w:rPr>
          <w:rFonts w:ascii="Times New Roman" w:hAnsi="Times New Roman" w:cs="Times New Roman"/>
          <w:sz w:val="24"/>
          <w:szCs w:val="24"/>
        </w:rPr>
        <w:t xml:space="preserve"> </w:t>
      </w:r>
      <w:r w:rsidR="002959E1" w:rsidRPr="002959E1">
        <w:rPr>
          <w:rFonts w:ascii="Times New Roman" w:hAnsi="Times New Roman" w:cs="Times New Roman"/>
          <w:sz w:val="24"/>
          <w:szCs w:val="24"/>
        </w:rPr>
        <w:t>(Olympics.Com, 2024)</w:t>
      </w:r>
      <w:r w:rsidRPr="00B6504B">
        <w:rPr>
          <w:rFonts w:ascii="Times New Roman" w:hAnsi="Times New Roman" w:cs="Times New Roman"/>
          <w:sz w:val="24"/>
          <w:szCs w:val="24"/>
        </w:rPr>
        <w:t>.</w:t>
      </w:r>
    </w:p>
    <w:p w14:paraId="6CC92ED6" w14:textId="34EE1A34" w:rsid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In essence, a realistic and audit-compliant solution to hosting mega tourism events that ensure the mitigation of environmental additions, promotion of social rights and inclusion, and </w:t>
      </w:r>
      <w:proofErr w:type="spellStart"/>
      <w:r w:rsidRPr="00B6504B">
        <w:rPr>
          <w:rFonts w:ascii="Times New Roman" w:hAnsi="Times New Roman" w:cs="Times New Roman"/>
          <w:sz w:val="24"/>
          <w:szCs w:val="24"/>
        </w:rPr>
        <w:t>optimisation</w:t>
      </w:r>
      <w:proofErr w:type="spellEnd"/>
      <w:r w:rsidRPr="00B6504B">
        <w:rPr>
          <w:rFonts w:ascii="Times New Roman" w:hAnsi="Times New Roman" w:cs="Times New Roman"/>
          <w:sz w:val="24"/>
          <w:szCs w:val="24"/>
        </w:rPr>
        <w:t xml:space="preserve"> of economic value and legacy without compromising the quality of services or the satisfaction of the spectators are possible through the integration of the ISO 20121 governance with GRI EOSS disclosure and Paris-style operational choices. This style </w:t>
      </w:r>
      <w:proofErr w:type="spellStart"/>
      <w:r w:rsidRPr="00B6504B">
        <w:rPr>
          <w:rFonts w:ascii="Times New Roman" w:hAnsi="Times New Roman" w:cs="Times New Roman"/>
          <w:sz w:val="24"/>
          <w:szCs w:val="24"/>
        </w:rPr>
        <w:t>procycles</w:t>
      </w:r>
      <w:proofErr w:type="spellEnd"/>
      <w:r w:rsidRPr="00B6504B">
        <w:rPr>
          <w:rFonts w:ascii="Times New Roman" w:hAnsi="Times New Roman" w:cs="Times New Roman"/>
          <w:sz w:val="24"/>
          <w:szCs w:val="24"/>
        </w:rPr>
        <w:t xml:space="preserve"> the most </w:t>
      </w:r>
      <w:r w:rsidRPr="00B6504B">
        <w:rPr>
          <w:rFonts w:ascii="Times New Roman" w:hAnsi="Times New Roman" w:cs="Times New Roman"/>
          <w:sz w:val="24"/>
          <w:szCs w:val="24"/>
        </w:rPr>
        <w:lastRenderedPageBreak/>
        <w:t>leverage decisions, makes them a part of the contract, and the process, and makes them visible and comparable across events, which allows organizers and cities to learn, become better and preserve the social trust that audiences have in them over consecutive events</w:t>
      </w:r>
      <w:r w:rsidR="00397B91">
        <w:rPr>
          <w:rFonts w:ascii="Times New Roman" w:hAnsi="Times New Roman" w:cs="Times New Roman"/>
          <w:sz w:val="24"/>
          <w:szCs w:val="24"/>
        </w:rPr>
        <w:t xml:space="preserve"> </w:t>
      </w:r>
      <w:r w:rsidR="00EF481C">
        <w:rPr>
          <w:rFonts w:ascii="Times New Roman" w:hAnsi="Times New Roman" w:cs="Times New Roman"/>
          <w:sz w:val="24"/>
          <w:szCs w:val="24"/>
        </w:rPr>
        <w:t>(SGS, 2024)</w:t>
      </w:r>
      <w:r w:rsidR="00397B91" w:rsidRPr="00B6504B">
        <w:rPr>
          <w:rFonts w:ascii="Times New Roman" w:hAnsi="Times New Roman" w:cs="Times New Roman"/>
          <w:sz w:val="24"/>
          <w:szCs w:val="24"/>
        </w:rPr>
        <w:t xml:space="preserve"> </w:t>
      </w:r>
      <w:r w:rsidRPr="00B6504B">
        <w:rPr>
          <w:rFonts w:ascii="Times New Roman" w:hAnsi="Times New Roman" w:cs="Times New Roman"/>
          <w:sz w:val="24"/>
          <w:szCs w:val="24"/>
        </w:rPr>
        <w:t xml:space="preserve">.  </w:t>
      </w:r>
    </w:p>
    <w:p w14:paraId="61ABA67E" w14:textId="77777777" w:rsidR="00B6504B" w:rsidRDefault="00B6504B">
      <w:pPr>
        <w:rPr>
          <w:rFonts w:ascii="Times New Roman" w:hAnsi="Times New Roman" w:cs="Times New Roman"/>
          <w:sz w:val="24"/>
          <w:szCs w:val="24"/>
        </w:rPr>
      </w:pPr>
      <w:r>
        <w:rPr>
          <w:rFonts w:ascii="Times New Roman" w:hAnsi="Times New Roman" w:cs="Times New Roman"/>
          <w:sz w:val="24"/>
          <w:szCs w:val="24"/>
        </w:rPr>
        <w:br w:type="page"/>
      </w:r>
    </w:p>
    <w:p w14:paraId="6C779273" w14:textId="136C6E06" w:rsidR="00080A20" w:rsidRPr="007D7C92" w:rsidRDefault="00080A20" w:rsidP="00B6504B">
      <w:pPr>
        <w:pStyle w:val="Heading1"/>
        <w:spacing w:line="480" w:lineRule="auto"/>
        <w:rPr>
          <w:rFonts w:ascii="Times New Roman" w:hAnsi="Times New Roman" w:cs="Times New Roman"/>
          <w:b/>
          <w:bCs/>
          <w:sz w:val="24"/>
          <w:szCs w:val="24"/>
        </w:rPr>
      </w:pPr>
      <w:bookmarkStart w:id="6" w:name="_Toc212020737"/>
      <w:r w:rsidRPr="007D7C92">
        <w:rPr>
          <w:rFonts w:ascii="Times New Roman" w:hAnsi="Times New Roman" w:cs="Times New Roman"/>
          <w:b/>
          <w:bCs/>
          <w:sz w:val="24"/>
          <w:szCs w:val="24"/>
        </w:rPr>
        <w:lastRenderedPageBreak/>
        <w:t>Conclusion</w:t>
      </w:r>
      <w:bookmarkEnd w:id="6"/>
    </w:p>
    <w:p w14:paraId="423A48AD" w14:textId="77777777" w:rsidR="00080A20" w:rsidRP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An ESMS based on ISO 20121 should be the basis of a sustainable event management framework of mega tourism events exposed through the GRI Event Organizers Sector Supplement, and which aligns governance, events operational programs and public responsibility throughout the entire event lifecycle, including from bid to legacy. Paris2024 case evidence indicates that the best levers to reduce impact and ensure experience quality and accessibility are made by the initial infrastructure and logistics choices, particularly by maximizing existing/temporary venues, full carbon accounting, and mobility </w:t>
      </w:r>
      <w:proofErr w:type="spellStart"/>
      <w:r w:rsidRPr="00B6504B">
        <w:rPr>
          <w:rFonts w:ascii="Times New Roman" w:hAnsi="Times New Roman" w:cs="Times New Roman"/>
          <w:sz w:val="24"/>
          <w:szCs w:val="24"/>
        </w:rPr>
        <w:t>centred</w:t>
      </w:r>
      <w:proofErr w:type="spellEnd"/>
      <w:r w:rsidRPr="00B6504B">
        <w:rPr>
          <w:rFonts w:ascii="Times New Roman" w:hAnsi="Times New Roman" w:cs="Times New Roman"/>
          <w:sz w:val="24"/>
          <w:szCs w:val="24"/>
        </w:rPr>
        <w:t xml:space="preserve"> around transit. The catalytic nature of London 2012 with regard to the inception of the standard underscores how codified systems and sector-specific disclosure generate prolonged learning pathways and comparability which will endure across hosts and cycles and enhance legitimacy and effectiveness over time. By combining governance, measurement, and transparency, organizers can provide large-scale delivery of complex events and achieve climate, social, and economic expectations and positive legacy in line with city strategies and community needs.  </w:t>
      </w:r>
    </w:p>
    <w:p w14:paraId="7A6E91E1" w14:textId="193467D6" w:rsidR="00080A20" w:rsidRPr="007D7C92" w:rsidRDefault="00080A20" w:rsidP="00B6504B">
      <w:pPr>
        <w:pStyle w:val="Heading1"/>
        <w:spacing w:line="480" w:lineRule="auto"/>
        <w:rPr>
          <w:rFonts w:ascii="Times New Roman" w:hAnsi="Times New Roman" w:cs="Times New Roman"/>
          <w:b/>
          <w:bCs/>
          <w:sz w:val="24"/>
          <w:szCs w:val="24"/>
        </w:rPr>
      </w:pPr>
      <w:bookmarkStart w:id="7" w:name="_Toc212020738"/>
      <w:r w:rsidRPr="007D7C92">
        <w:rPr>
          <w:rFonts w:ascii="Times New Roman" w:hAnsi="Times New Roman" w:cs="Times New Roman"/>
          <w:b/>
          <w:bCs/>
          <w:sz w:val="24"/>
          <w:szCs w:val="24"/>
        </w:rPr>
        <w:t>Recommendation</w:t>
      </w:r>
      <w:bookmarkEnd w:id="7"/>
    </w:p>
    <w:p w14:paraId="7EDF62B0" w14:textId="77777777" w:rsidR="00080A20" w:rsidRPr="00B6504B" w:rsidRDefault="00080A20" w:rsidP="00B6504B">
      <w:pPr>
        <w:pStyle w:val="ListParagraph"/>
        <w:numPr>
          <w:ilvl w:val="0"/>
          <w:numId w:val="1"/>
        </w:num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Implement an ISO 20121 -conforming ESMS up to the bid, establishing the scope, policy, material issues, risks and opportunities, roles, procedures, KPIs, internal audits and management review, by establishing proportional conformity paths based on the risk profile of the event and supplier capacity.  </w:t>
      </w:r>
    </w:p>
    <w:p w14:paraId="79523252" w14:textId="77777777" w:rsidR="00080A20" w:rsidRPr="00B6504B" w:rsidRDefault="00080A20" w:rsidP="00B6504B">
      <w:pPr>
        <w:pStyle w:val="ListParagraph"/>
        <w:numPr>
          <w:ilvl w:val="0"/>
          <w:numId w:val="1"/>
        </w:num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GRI EOSS should be used to format stakeholder engagement, materiality, KPIs, and lifecycle disclosures on site selection, transport impacts, accessibility, inclusive initiatives, sourcing, health and safety, and knowledge transfer at the end of learning, pre-event forecasts and post-event outcomes to be comparative and educative.  </w:t>
      </w:r>
    </w:p>
    <w:p w14:paraId="71754992" w14:textId="77777777" w:rsidR="00080A20" w:rsidRPr="00B6504B" w:rsidRDefault="00080A20" w:rsidP="00B6504B">
      <w:pPr>
        <w:pStyle w:val="ListParagraph"/>
        <w:numPr>
          <w:ilvl w:val="0"/>
          <w:numId w:val="1"/>
        </w:numPr>
        <w:spacing w:line="480" w:lineRule="auto"/>
        <w:rPr>
          <w:rFonts w:ascii="Times New Roman" w:hAnsi="Times New Roman" w:cs="Times New Roman"/>
          <w:sz w:val="24"/>
          <w:szCs w:val="24"/>
        </w:rPr>
      </w:pPr>
      <w:r w:rsidRPr="00B6504B">
        <w:rPr>
          <w:rFonts w:ascii="Times New Roman" w:hAnsi="Times New Roman" w:cs="Times New Roman"/>
          <w:sz w:val="24"/>
          <w:szCs w:val="24"/>
        </w:rPr>
        <w:lastRenderedPageBreak/>
        <w:t xml:space="preserve">Integrate the siting and timing of venues into the capacity and location of the public transport and prioritize active mobility and demand management to lessen transport emissions and impact on the community and improve accessibility as well as the visitor experience.  </w:t>
      </w:r>
    </w:p>
    <w:p w14:paraId="444BEB11" w14:textId="77777777" w:rsidR="00080A20" w:rsidRPr="00B6504B" w:rsidRDefault="00080A20" w:rsidP="00B6504B">
      <w:pPr>
        <w:pStyle w:val="ListParagraph"/>
        <w:numPr>
          <w:ilvl w:val="0"/>
          <w:numId w:val="1"/>
        </w:num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Include a sustainable sourcing code in all contracts which have clear environmental and social standards, verification procedures and remedies and monitor local procurement shares and compliance with suppliers via periodic performance reports documented by sector indicators.  </w:t>
      </w:r>
    </w:p>
    <w:p w14:paraId="372F3B4B" w14:textId="77777777" w:rsidR="00080A20" w:rsidRPr="00B6504B" w:rsidRDefault="00080A20" w:rsidP="00B6504B">
      <w:pPr>
        <w:pStyle w:val="ListParagraph"/>
        <w:numPr>
          <w:ilvl w:val="0"/>
          <w:numId w:val="1"/>
        </w:num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Streamline company-wide energy sobriety, local sourcing of renewable energy, submetering, water efficiency, waste reduction, standard reusables and high diversion requirements, and indirectly monitor these operational changes to ensure that they are reflected in the ESMS.  </w:t>
      </w:r>
    </w:p>
    <w:p w14:paraId="3D29B3D0" w14:textId="77777777" w:rsidR="00080A20" w:rsidRPr="00B6504B" w:rsidRDefault="00080A20" w:rsidP="00B6504B">
      <w:pPr>
        <w:pStyle w:val="ListParagraph"/>
        <w:numPr>
          <w:ilvl w:val="0"/>
          <w:numId w:val="1"/>
        </w:num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Enhance social protection through human rights due diligence of contractors and volunteers, ethical recruitment, child protection, inclusive access, and community involvement and effective grievance procedures and commitments to responsibilities.  </w:t>
      </w:r>
    </w:p>
    <w:p w14:paraId="5D554D41" w14:textId="77777777" w:rsidR="00080A20" w:rsidRPr="00B6504B" w:rsidRDefault="00080A20" w:rsidP="00B6504B">
      <w:pPr>
        <w:pStyle w:val="ListParagraph"/>
        <w:numPr>
          <w:ilvl w:val="0"/>
          <w:numId w:val="1"/>
        </w:num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Periodically publish aligned with EOSS reports that report governance, material topics, targets, methodologies, KPIs, incidents, lessons, and legacy plans and may also independently assure key indicators to increase the credibility and trust to the stakeholders.  </w:t>
      </w:r>
    </w:p>
    <w:p w14:paraId="3E12A999" w14:textId="03F3C845" w:rsidR="00080A20" w:rsidRPr="00B6504B" w:rsidRDefault="00080A20" w:rsidP="00B6504B">
      <w:pPr>
        <w:pStyle w:val="ListParagraph"/>
        <w:numPr>
          <w:ilvl w:val="0"/>
          <w:numId w:val="1"/>
        </w:numPr>
        <w:spacing w:line="480" w:lineRule="auto"/>
        <w:rPr>
          <w:rFonts w:ascii="Times New Roman" w:hAnsi="Times New Roman" w:cs="Times New Roman"/>
          <w:sz w:val="24"/>
          <w:szCs w:val="24"/>
        </w:rPr>
      </w:pPr>
      <w:r w:rsidRPr="00B6504B">
        <w:rPr>
          <w:rFonts w:ascii="Times New Roman" w:hAnsi="Times New Roman" w:cs="Times New Roman"/>
          <w:sz w:val="24"/>
          <w:szCs w:val="24"/>
        </w:rPr>
        <w:t>Plan the city climate and city development plans in such a way that temporary and permanent investments complement long-term aims and make legacy handovers and data transfer to venue operators and municipal agencies formal in order to maintain benefits after the event.</w:t>
      </w:r>
    </w:p>
    <w:p w14:paraId="230FC178" w14:textId="0C109747" w:rsidR="0074529D" w:rsidRPr="00B6504B" w:rsidRDefault="0074529D" w:rsidP="00B6504B">
      <w:pPr>
        <w:spacing w:line="480" w:lineRule="auto"/>
        <w:rPr>
          <w:rFonts w:ascii="Times New Roman" w:hAnsi="Times New Roman" w:cs="Times New Roman"/>
          <w:b/>
          <w:bCs/>
          <w:sz w:val="24"/>
          <w:szCs w:val="24"/>
        </w:rPr>
      </w:pPr>
      <w:r w:rsidRPr="00B6504B">
        <w:rPr>
          <w:rFonts w:ascii="Times New Roman" w:hAnsi="Times New Roman" w:cs="Times New Roman"/>
          <w:b/>
          <w:bCs/>
          <w:sz w:val="24"/>
          <w:szCs w:val="24"/>
        </w:rPr>
        <w:lastRenderedPageBreak/>
        <w:t>Comparative case snapshot</w:t>
      </w:r>
      <w:r w:rsidRPr="00B6504B">
        <w:rPr>
          <w:rFonts w:ascii="Times New Roman" w:hAnsi="Times New Roman" w:cs="Times New Roman"/>
          <w:b/>
          <w:bCs/>
          <w:sz w:val="24"/>
          <w:szCs w:val="24"/>
        </w:rPr>
        <w:fldChar w:fldCharType="begin"/>
      </w:r>
      <w:r w:rsidRPr="00B6504B">
        <w:rPr>
          <w:rFonts w:ascii="Times New Roman" w:hAnsi="Times New Roman" w:cs="Times New Roman"/>
          <w:b/>
          <w:bCs/>
          <w:sz w:val="24"/>
          <w:szCs w:val="24"/>
        </w:rPr>
        <w:instrText xml:space="preserve"> LINK Excel.Sheet.12 "Book1" "Sheet1!R1C1:R3C3" \a \f 4 \h  \* MERGEFORMAT </w:instrText>
      </w:r>
      <w:r w:rsidRPr="00B6504B">
        <w:rPr>
          <w:rFonts w:ascii="Times New Roman" w:hAnsi="Times New Roman" w:cs="Times New Roman"/>
          <w:b/>
          <w:bCs/>
          <w:sz w:val="24"/>
          <w:szCs w:val="24"/>
        </w:rPr>
        <w:fldChar w:fldCharType="separate"/>
      </w:r>
    </w:p>
    <w:tbl>
      <w:tblPr>
        <w:tblW w:w="8722" w:type="dxa"/>
        <w:tblLook w:val="04A0" w:firstRow="1" w:lastRow="0" w:firstColumn="1" w:lastColumn="0" w:noHBand="0" w:noVBand="1"/>
      </w:tblPr>
      <w:tblGrid>
        <w:gridCol w:w="1554"/>
        <w:gridCol w:w="2780"/>
        <w:gridCol w:w="4388"/>
      </w:tblGrid>
      <w:tr w:rsidR="0074529D" w:rsidRPr="0074529D" w14:paraId="26D46976" w14:textId="77777777" w:rsidTr="0074529D">
        <w:trPr>
          <w:trHeight w:val="295"/>
        </w:trPr>
        <w:tc>
          <w:tcPr>
            <w:tcW w:w="1554" w:type="dxa"/>
            <w:tcBorders>
              <w:top w:val="single" w:sz="8" w:space="0" w:color="000000"/>
              <w:left w:val="single" w:sz="8" w:space="0" w:color="000000"/>
              <w:bottom w:val="single" w:sz="8" w:space="0" w:color="000000"/>
              <w:right w:val="single" w:sz="8" w:space="0" w:color="000000"/>
            </w:tcBorders>
            <w:shd w:val="clear" w:color="4472C4" w:fill="4472C4"/>
            <w:hideMark/>
          </w:tcPr>
          <w:p w14:paraId="2A780D45" w14:textId="1A35F549" w:rsidR="0074529D" w:rsidRPr="0074529D" w:rsidRDefault="0074529D" w:rsidP="00B6504B">
            <w:pPr>
              <w:spacing w:after="0" w:line="480" w:lineRule="auto"/>
              <w:rPr>
                <w:rFonts w:ascii="Times New Roman" w:eastAsia="Times New Roman" w:hAnsi="Times New Roman" w:cs="Times New Roman"/>
                <w:b/>
                <w:bCs/>
                <w:color w:val="FFFFFF"/>
                <w:sz w:val="24"/>
                <w:szCs w:val="24"/>
              </w:rPr>
            </w:pPr>
            <w:r w:rsidRPr="0074529D">
              <w:rPr>
                <w:rFonts w:ascii="Times New Roman" w:eastAsia="Times New Roman" w:hAnsi="Times New Roman" w:cs="Times New Roman"/>
                <w:b/>
                <w:bCs/>
                <w:color w:val="FFFFFF"/>
                <w:sz w:val="24"/>
                <w:szCs w:val="24"/>
              </w:rPr>
              <w:t>Event</w:t>
            </w:r>
          </w:p>
        </w:tc>
        <w:tc>
          <w:tcPr>
            <w:tcW w:w="2780" w:type="dxa"/>
            <w:tcBorders>
              <w:top w:val="single" w:sz="8" w:space="0" w:color="000000"/>
              <w:left w:val="nil"/>
              <w:bottom w:val="single" w:sz="8" w:space="0" w:color="000000"/>
              <w:right w:val="single" w:sz="8" w:space="0" w:color="000000"/>
            </w:tcBorders>
            <w:shd w:val="clear" w:color="4472C4" w:fill="4472C4"/>
            <w:hideMark/>
          </w:tcPr>
          <w:p w14:paraId="5AA1DB38" w14:textId="77777777" w:rsidR="0074529D" w:rsidRPr="0074529D" w:rsidRDefault="0074529D" w:rsidP="00B6504B">
            <w:pPr>
              <w:spacing w:after="0" w:line="480" w:lineRule="auto"/>
              <w:rPr>
                <w:rFonts w:ascii="Times New Roman" w:eastAsia="Times New Roman" w:hAnsi="Times New Roman" w:cs="Times New Roman"/>
                <w:b/>
                <w:bCs/>
                <w:color w:val="FFFFFF"/>
                <w:sz w:val="24"/>
                <w:szCs w:val="24"/>
              </w:rPr>
            </w:pPr>
            <w:r w:rsidRPr="0074529D">
              <w:rPr>
                <w:rFonts w:ascii="Times New Roman" w:eastAsia="Times New Roman" w:hAnsi="Times New Roman" w:cs="Times New Roman"/>
                <w:b/>
                <w:bCs/>
                <w:color w:val="FFFFFF"/>
                <w:sz w:val="24"/>
                <w:szCs w:val="24"/>
              </w:rPr>
              <w:t>Core strategy</w:t>
            </w:r>
          </w:p>
        </w:tc>
        <w:tc>
          <w:tcPr>
            <w:tcW w:w="4388" w:type="dxa"/>
            <w:tcBorders>
              <w:top w:val="single" w:sz="8" w:space="0" w:color="000000"/>
              <w:left w:val="nil"/>
              <w:bottom w:val="single" w:sz="8" w:space="0" w:color="000000"/>
              <w:right w:val="single" w:sz="4" w:space="0" w:color="4472C4"/>
            </w:tcBorders>
            <w:shd w:val="clear" w:color="4472C4" w:fill="4472C4"/>
            <w:hideMark/>
          </w:tcPr>
          <w:p w14:paraId="0E63D44E" w14:textId="77777777" w:rsidR="0074529D" w:rsidRPr="0074529D" w:rsidRDefault="0074529D" w:rsidP="00B6504B">
            <w:pPr>
              <w:spacing w:after="0" w:line="480" w:lineRule="auto"/>
              <w:rPr>
                <w:rFonts w:ascii="Times New Roman" w:eastAsia="Times New Roman" w:hAnsi="Times New Roman" w:cs="Times New Roman"/>
                <w:b/>
                <w:bCs/>
                <w:color w:val="FFFFFF"/>
                <w:sz w:val="24"/>
                <w:szCs w:val="24"/>
              </w:rPr>
            </w:pPr>
            <w:r w:rsidRPr="0074529D">
              <w:rPr>
                <w:rFonts w:ascii="Times New Roman" w:eastAsia="Times New Roman" w:hAnsi="Times New Roman" w:cs="Times New Roman"/>
                <w:b/>
                <w:bCs/>
                <w:color w:val="FFFFFF"/>
                <w:sz w:val="24"/>
                <w:szCs w:val="24"/>
              </w:rPr>
              <w:t>Notable sustainability features</w:t>
            </w:r>
          </w:p>
        </w:tc>
      </w:tr>
      <w:tr w:rsidR="0074529D" w:rsidRPr="0074529D" w14:paraId="3D5441A1" w14:textId="77777777" w:rsidTr="0074529D">
        <w:trPr>
          <w:trHeight w:val="1428"/>
        </w:trPr>
        <w:tc>
          <w:tcPr>
            <w:tcW w:w="1554" w:type="dxa"/>
            <w:tcBorders>
              <w:top w:val="single" w:sz="4" w:space="0" w:color="4472C4"/>
              <w:left w:val="single" w:sz="8" w:space="0" w:color="000000"/>
              <w:bottom w:val="single" w:sz="8" w:space="0" w:color="000000"/>
              <w:right w:val="single" w:sz="8" w:space="0" w:color="000000"/>
            </w:tcBorders>
            <w:vAlign w:val="center"/>
            <w:hideMark/>
          </w:tcPr>
          <w:p w14:paraId="3DDEA564" w14:textId="77777777" w:rsidR="0074529D" w:rsidRPr="0074529D" w:rsidRDefault="0074529D" w:rsidP="00B6504B">
            <w:pPr>
              <w:spacing w:after="0" w:line="480" w:lineRule="auto"/>
              <w:rPr>
                <w:rFonts w:ascii="Times New Roman" w:eastAsia="Times New Roman" w:hAnsi="Times New Roman" w:cs="Times New Roman"/>
                <w:b/>
                <w:bCs/>
                <w:color w:val="000000"/>
                <w:sz w:val="24"/>
                <w:szCs w:val="24"/>
              </w:rPr>
            </w:pPr>
            <w:r w:rsidRPr="0074529D">
              <w:rPr>
                <w:rFonts w:ascii="Times New Roman" w:eastAsia="Times New Roman" w:hAnsi="Times New Roman" w:cs="Times New Roman"/>
                <w:b/>
                <w:bCs/>
                <w:color w:val="000000"/>
                <w:sz w:val="24"/>
                <w:szCs w:val="24"/>
              </w:rPr>
              <w:t>London 2012</w:t>
            </w:r>
          </w:p>
        </w:tc>
        <w:tc>
          <w:tcPr>
            <w:tcW w:w="2780" w:type="dxa"/>
            <w:tcBorders>
              <w:top w:val="single" w:sz="4" w:space="0" w:color="4472C4"/>
              <w:left w:val="nil"/>
              <w:bottom w:val="single" w:sz="8" w:space="0" w:color="000000"/>
              <w:right w:val="single" w:sz="8" w:space="0" w:color="000000"/>
            </w:tcBorders>
            <w:vAlign w:val="center"/>
            <w:hideMark/>
          </w:tcPr>
          <w:p w14:paraId="217BB8C8" w14:textId="77777777" w:rsidR="0074529D" w:rsidRPr="0074529D" w:rsidRDefault="0074529D" w:rsidP="00B6504B">
            <w:pPr>
              <w:spacing w:after="0" w:line="480" w:lineRule="auto"/>
              <w:rPr>
                <w:rFonts w:ascii="Times New Roman" w:eastAsia="Times New Roman" w:hAnsi="Times New Roman" w:cs="Times New Roman"/>
                <w:b/>
                <w:bCs/>
                <w:color w:val="000000"/>
                <w:sz w:val="24"/>
                <w:szCs w:val="24"/>
              </w:rPr>
            </w:pPr>
            <w:r w:rsidRPr="0074529D">
              <w:rPr>
                <w:rFonts w:ascii="Times New Roman" w:eastAsia="Times New Roman" w:hAnsi="Times New Roman" w:cs="Times New Roman"/>
                <w:b/>
                <w:bCs/>
                <w:color w:val="000000"/>
                <w:sz w:val="24"/>
                <w:szCs w:val="24"/>
              </w:rPr>
              <w:t>Catalyst for ISO 20121 standardization</w:t>
            </w:r>
          </w:p>
        </w:tc>
        <w:tc>
          <w:tcPr>
            <w:tcW w:w="4388" w:type="dxa"/>
            <w:tcBorders>
              <w:top w:val="single" w:sz="4" w:space="0" w:color="4472C4"/>
              <w:left w:val="nil"/>
              <w:bottom w:val="single" w:sz="8" w:space="0" w:color="000000"/>
              <w:right w:val="single" w:sz="4" w:space="0" w:color="4472C4"/>
            </w:tcBorders>
            <w:vAlign w:val="center"/>
            <w:hideMark/>
          </w:tcPr>
          <w:p w14:paraId="226CA720" w14:textId="2E7DEB2B" w:rsidR="0074529D" w:rsidRPr="0074529D" w:rsidRDefault="0074529D" w:rsidP="00B6504B">
            <w:pPr>
              <w:spacing w:after="0" w:line="480" w:lineRule="auto"/>
              <w:rPr>
                <w:rFonts w:ascii="Times New Roman" w:eastAsia="Times New Roman" w:hAnsi="Times New Roman" w:cs="Times New Roman"/>
                <w:b/>
                <w:bCs/>
                <w:color w:val="0563C1"/>
                <w:sz w:val="24"/>
                <w:szCs w:val="24"/>
                <w:u w:val="single"/>
              </w:rPr>
            </w:pPr>
            <w:hyperlink r:id="rId8" w:tgtFrame="_blank" w:history="1">
              <w:r w:rsidRPr="0074529D">
                <w:rPr>
                  <w:rFonts w:ascii="Times New Roman" w:eastAsia="Times New Roman" w:hAnsi="Times New Roman" w:cs="Times New Roman"/>
                  <w:b/>
                  <w:bCs/>
                  <w:color w:val="0563C1"/>
                  <w:sz w:val="24"/>
                  <w:szCs w:val="24"/>
                  <w:u w:val="single"/>
                </w:rPr>
                <w:t>First ISO 20121 edition timed for the Games, seeding a management-system approach adopted by later events ​.</w:t>
              </w:r>
            </w:hyperlink>
          </w:p>
        </w:tc>
      </w:tr>
      <w:tr w:rsidR="0074529D" w:rsidRPr="0074529D" w14:paraId="70834DC9" w14:textId="77777777" w:rsidTr="0074529D">
        <w:trPr>
          <w:trHeight w:val="1676"/>
        </w:trPr>
        <w:tc>
          <w:tcPr>
            <w:tcW w:w="1554" w:type="dxa"/>
            <w:tcBorders>
              <w:top w:val="single" w:sz="4" w:space="0" w:color="4472C4"/>
              <w:left w:val="single" w:sz="8" w:space="0" w:color="000000"/>
              <w:bottom w:val="single" w:sz="4" w:space="0" w:color="4472C4"/>
              <w:right w:val="single" w:sz="8" w:space="0" w:color="000000"/>
            </w:tcBorders>
            <w:vAlign w:val="center"/>
            <w:hideMark/>
          </w:tcPr>
          <w:p w14:paraId="64669082" w14:textId="77777777" w:rsidR="0074529D" w:rsidRPr="0074529D" w:rsidRDefault="0074529D" w:rsidP="00B6504B">
            <w:pPr>
              <w:spacing w:after="0" w:line="480" w:lineRule="auto"/>
              <w:rPr>
                <w:rFonts w:ascii="Times New Roman" w:eastAsia="Times New Roman" w:hAnsi="Times New Roman" w:cs="Times New Roman"/>
                <w:b/>
                <w:bCs/>
                <w:color w:val="000000"/>
                <w:sz w:val="24"/>
                <w:szCs w:val="24"/>
              </w:rPr>
            </w:pPr>
            <w:r w:rsidRPr="0074529D">
              <w:rPr>
                <w:rFonts w:ascii="Times New Roman" w:eastAsia="Times New Roman" w:hAnsi="Times New Roman" w:cs="Times New Roman"/>
                <w:b/>
                <w:bCs/>
                <w:color w:val="000000"/>
                <w:sz w:val="24"/>
                <w:szCs w:val="24"/>
              </w:rPr>
              <w:t>Paris 2024</w:t>
            </w:r>
          </w:p>
        </w:tc>
        <w:tc>
          <w:tcPr>
            <w:tcW w:w="2780" w:type="dxa"/>
            <w:tcBorders>
              <w:top w:val="single" w:sz="4" w:space="0" w:color="4472C4"/>
              <w:left w:val="nil"/>
              <w:bottom w:val="single" w:sz="4" w:space="0" w:color="4472C4"/>
              <w:right w:val="single" w:sz="8" w:space="0" w:color="000000"/>
            </w:tcBorders>
            <w:vAlign w:val="center"/>
            <w:hideMark/>
          </w:tcPr>
          <w:p w14:paraId="4DC2AEF5" w14:textId="77777777" w:rsidR="0074529D" w:rsidRPr="0074529D" w:rsidRDefault="0074529D" w:rsidP="00B6504B">
            <w:pPr>
              <w:spacing w:after="0" w:line="480" w:lineRule="auto"/>
              <w:rPr>
                <w:rFonts w:ascii="Times New Roman" w:eastAsia="Times New Roman" w:hAnsi="Times New Roman" w:cs="Times New Roman"/>
                <w:b/>
                <w:bCs/>
                <w:color w:val="000000"/>
                <w:sz w:val="24"/>
                <w:szCs w:val="24"/>
              </w:rPr>
            </w:pPr>
            <w:r w:rsidRPr="0074529D">
              <w:rPr>
                <w:rFonts w:ascii="Times New Roman" w:eastAsia="Times New Roman" w:hAnsi="Times New Roman" w:cs="Times New Roman"/>
                <w:b/>
                <w:bCs/>
                <w:color w:val="000000"/>
                <w:sz w:val="24"/>
                <w:szCs w:val="24"/>
              </w:rPr>
              <w:t>Decarbonization-first infrastructure logic</w:t>
            </w:r>
          </w:p>
        </w:tc>
        <w:tc>
          <w:tcPr>
            <w:tcW w:w="4388" w:type="dxa"/>
            <w:tcBorders>
              <w:top w:val="single" w:sz="4" w:space="0" w:color="4472C4"/>
              <w:left w:val="nil"/>
              <w:bottom w:val="single" w:sz="4" w:space="0" w:color="4472C4"/>
              <w:right w:val="single" w:sz="4" w:space="0" w:color="4472C4"/>
            </w:tcBorders>
            <w:vAlign w:val="center"/>
            <w:hideMark/>
          </w:tcPr>
          <w:p w14:paraId="40BEBDC7" w14:textId="2FB38A8B" w:rsidR="0074529D" w:rsidRPr="0074529D" w:rsidRDefault="0074529D" w:rsidP="00B6504B">
            <w:pPr>
              <w:spacing w:after="0" w:line="480" w:lineRule="auto"/>
              <w:rPr>
                <w:rFonts w:ascii="Times New Roman" w:eastAsia="Times New Roman" w:hAnsi="Times New Roman" w:cs="Times New Roman"/>
                <w:b/>
                <w:bCs/>
                <w:color w:val="0563C1"/>
                <w:sz w:val="24"/>
                <w:szCs w:val="24"/>
                <w:u w:val="single"/>
              </w:rPr>
            </w:pPr>
            <w:hyperlink r:id="rId9" w:tgtFrame="_blank" w:history="1">
              <w:r w:rsidRPr="0074529D">
                <w:rPr>
                  <w:rFonts w:ascii="Times New Roman" w:eastAsia="Times New Roman" w:hAnsi="Times New Roman" w:cs="Times New Roman"/>
                  <w:b/>
                  <w:bCs/>
                  <w:color w:val="0563C1"/>
                  <w:sz w:val="24"/>
                  <w:szCs w:val="24"/>
                  <w:u w:val="single"/>
                </w:rPr>
                <w:t>95% existing/temporary venues and 50% footprint reduction target with scopes 1–3 coverage including spectator travel ​.</w:t>
              </w:r>
            </w:hyperlink>
          </w:p>
        </w:tc>
      </w:tr>
    </w:tbl>
    <w:p w14:paraId="5F97B12B" w14:textId="3DCD619B" w:rsidR="002A3472" w:rsidRDefault="0074529D" w:rsidP="00B6504B">
      <w:pPr>
        <w:spacing w:line="480" w:lineRule="auto"/>
        <w:rPr>
          <w:rFonts w:ascii="Times New Roman" w:hAnsi="Times New Roman" w:cs="Times New Roman"/>
          <w:b/>
          <w:bCs/>
          <w:sz w:val="24"/>
          <w:szCs w:val="24"/>
        </w:rPr>
      </w:pPr>
      <w:r w:rsidRPr="00B6504B">
        <w:rPr>
          <w:rFonts w:ascii="Times New Roman" w:hAnsi="Times New Roman" w:cs="Times New Roman"/>
          <w:b/>
          <w:bCs/>
          <w:sz w:val="24"/>
          <w:szCs w:val="24"/>
        </w:rPr>
        <w:fldChar w:fldCharType="end"/>
      </w:r>
    </w:p>
    <w:p w14:paraId="0B263C19" w14:textId="77777777" w:rsidR="002A3472" w:rsidRDefault="002A3472">
      <w:pPr>
        <w:rPr>
          <w:rFonts w:ascii="Times New Roman" w:hAnsi="Times New Roman" w:cs="Times New Roman"/>
          <w:b/>
          <w:bCs/>
          <w:sz w:val="24"/>
          <w:szCs w:val="24"/>
        </w:rPr>
      </w:pPr>
      <w:r>
        <w:rPr>
          <w:rFonts w:ascii="Times New Roman" w:hAnsi="Times New Roman" w:cs="Times New Roman"/>
          <w:b/>
          <w:bCs/>
          <w:sz w:val="24"/>
          <w:szCs w:val="24"/>
        </w:rPr>
        <w:br w:type="page"/>
      </w:r>
    </w:p>
    <w:p w14:paraId="368C4204" w14:textId="76CAEBEA" w:rsidR="0074529D" w:rsidRDefault="002A3472" w:rsidP="002A3472">
      <w:pPr>
        <w:pStyle w:val="Heading1"/>
        <w:rPr>
          <w:rFonts w:ascii="Times New Roman" w:hAnsi="Times New Roman" w:cs="Times New Roman"/>
          <w:b/>
          <w:bCs/>
          <w:sz w:val="24"/>
          <w:szCs w:val="24"/>
        </w:rPr>
      </w:pPr>
      <w:bookmarkStart w:id="8" w:name="_Toc212020739"/>
      <w:r w:rsidRPr="002A3472">
        <w:rPr>
          <w:rFonts w:ascii="Times New Roman" w:hAnsi="Times New Roman" w:cs="Times New Roman"/>
          <w:b/>
          <w:bCs/>
          <w:sz w:val="24"/>
          <w:szCs w:val="24"/>
        </w:rPr>
        <w:lastRenderedPageBreak/>
        <w:t>References</w:t>
      </w:r>
      <w:bookmarkEnd w:id="8"/>
    </w:p>
    <w:p w14:paraId="61C959CE" w14:textId="04871FF6" w:rsidR="002A3472" w:rsidRDefault="002A3472" w:rsidP="002A3472"/>
    <w:p w14:paraId="4926F007" w14:textId="77777777" w:rsidR="002A3472" w:rsidRDefault="002A3472" w:rsidP="002A3472"/>
    <w:p w14:paraId="75D31973" w14:textId="77777777" w:rsidR="002A3472" w:rsidRDefault="002A3472" w:rsidP="002A3472">
      <w:pPr>
        <w:pStyle w:val="NormalWeb"/>
        <w:spacing w:before="0" w:beforeAutospacing="0" w:after="0" w:afterAutospacing="0" w:line="480" w:lineRule="auto"/>
        <w:ind w:left="720" w:hanging="720"/>
      </w:pPr>
      <w:r>
        <w:t xml:space="preserve">Global Strategic Communications Council (2022) </w:t>
      </w:r>
      <w:r>
        <w:rPr>
          <w:i/>
          <w:iCs/>
        </w:rPr>
        <w:t xml:space="preserve">Poor tackling: Yellow card for 2022 FIFA World </w:t>
      </w:r>
      <w:proofErr w:type="spellStart"/>
      <w:r>
        <w:rPr>
          <w:i/>
          <w:iCs/>
        </w:rPr>
        <w:t>Cupʼs</w:t>
      </w:r>
      <w:proofErr w:type="spellEnd"/>
      <w:r>
        <w:rPr>
          <w:i/>
          <w:iCs/>
        </w:rPr>
        <w:t xml:space="preserve"> carbon neutrality claim</w:t>
      </w:r>
      <w:r>
        <w:t xml:space="preserve">. </w:t>
      </w:r>
      <w:r>
        <w:rPr>
          <w:rStyle w:val="url"/>
          <w:rFonts w:eastAsiaTheme="majorEastAsia"/>
        </w:rPr>
        <w:t>https://carbonmarketwatch.org/wp-content/uploads/2022/05/Poor-tackling_-Yellow-card-for-2022-FIFA.pdf</w:t>
      </w:r>
      <w:r>
        <w:t>.</w:t>
      </w:r>
    </w:p>
    <w:p w14:paraId="3E8459F9" w14:textId="77777777" w:rsidR="002A3472" w:rsidRDefault="002A3472" w:rsidP="002A3472">
      <w:pPr>
        <w:pStyle w:val="NormalWeb"/>
        <w:spacing w:before="0" w:beforeAutospacing="0" w:after="0" w:afterAutospacing="0" w:line="480" w:lineRule="auto"/>
        <w:ind w:left="720" w:hanging="720"/>
      </w:pPr>
      <w:r>
        <w:t xml:space="preserve">GRI (2012) </w:t>
      </w:r>
      <w:r>
        <w:rPr>
          <w:i/>
          <w:iCs/>
        </w:rPr>
        <w:t>Sustainability Reporting Guidelines &amp; Event Organizers Sector supplement</w:t>
      </w:r>
      <w:r>
        <w:t xml:space="preserve">. </w:t>
      </w:r>
      <w:r>
        <w:rPr>
          <w:rStyle w:val="url"/>
          <w:rFonts w:eastAsiaTheme="majorEastAsia"/>
        </w:rPr>
        <w:t>https://www.comunicarseweb.com/sites/default/files/biblioteca/pdf/1327939318_GRI-Organizacion-Eventos.pdf</w:t>
      </w:r>
      <w:r>
        <w:t>.</w:t>
      </w:r>
    </w:p>
    <w:p w14:paraId="767C6F69" w14:textId="77777777" w:rsidR="002A3472" w:rsidRDefault="002A3472" w:rsidP="002A3472">
      <w:pPr>
        <w:pStyle w:val="NormalWeb"/>
        <w:spacing w:before="0" w:beforeAutospacing="0" w:after="0" w:afterAutospacing="0" w:line="480" w:lineRule="auto"/>
        <w:ind w:left="720" w:hanging="720"/>
      </w:pPr>
      <w:r>
        <w:t xml:space="preserve">GRI Event Organizers (2012) </w:t>
      </w:r>
      <w:r>
        <w:rPr>
          <w:i/>
          <w:iCs/>
        </w:rPr>
        <w:t>GRI Event Organizers Sector Supplement Summary Guide</w:t>
      </w:r>
      <w:r>
        <w:t xml:space="preserve">, </w:t>
      </w:r>
      <w:r>
        <w:rPr>
          <w:i/>
          <w:iCs/>
        </w:rPr>
        <w:t>GRI Event Organizers Sector Supplement Summary Guide</w:t>
      </w:r>
      <w:r>
        <w:t xml:space="preserve">. </w:t>
      </w:r>
      <w:r>
        <w:rPr>
          <w:rStyle w:val="url"/>
          <w:rFonts w:eastAsiaTheme="majorEastAsia"/>
        </w:rPr>
        <w:t>https://stephenking2012.wordpress.com/wp-content/uploads/2012/04/eoss-g3-1-summaryguide-qrs.pdf</w:t>
      </w:r>
      <w:r>
        <w:t>.</w:t>
      </w:r>
    </w:p>
    <w:p w14:paraId="1ECAF3B3" w14:textId="77777777" w:rsidR="002A3472" w:rsidRDefault="002A3472" w:rsidP="002A3472">
      <w:pPr>
        <w:pStyle w:val="NormalWeb"/>
        <w:spacing w:before="0" w:beforeAutospacing="0" w:after="0" w:afterAutospacing="0" w:line="480" w:lineRule="auto"/>
        <w:ind w:left="720" w:hanging="720"/>
      </w:pPr>
      <w:r>
        <w:rPr>
          <w:i/>
          <w:iCs/>
        </w:rPr>
        <w:t>Inside FIFA</w:t>
      </w:r>
      <w:r>
        <w:t xml:space="preserve"> (2022). </w:t>
      </w:r>
      <w:r>
        <w:rPr>
          <w:rStyle w:val="url"/>
          <w:rFonts w:eastAsiaTheme="majorEastAsia"/>
        </w:rPr>
        <w:t>https://inside.fifa.com/tournament-organisation/world-cup-2022-sustainability-report/sustainability-at-the-fifa-world-cup-2022</w:t>
      </w:r>
      <w:r>
        <w:t>.</w:t>
      </w:r>
    </w:p>
    <w:p w14:paraId="6AF3EADF" w14:textId="77777777" w:rsidR="002A3472" w:rsidRDefault="002A3472" w:rsidP="002A3472">
      <w:pPr>
        <w:pStyle w:val="NormalWeb"/>
        <w:spacing w:before="0" w:beforeAutospacing="0" w:after="0" w:afterAutospacing="0" w:line="480" w:lineRule="auto"/>
        <w:ind w:left="720" w:hanging="720"/>
      </w:pPr>
      <w:r>
        <w:rPr>
          <w:i/>
          <w:iCs/>
        </w:rPr>
        <w:t>ISO 20121 - Event Sustainability Management Systems</w:t>
      </w:r>
      <w:r>
        <w:t xml:space="preserve"> (2012). </w:t>
      </w:r>
      <w:r>
        <w:rPr>
          <w:rStyle w:val="url"/>
          <w:rFonts w:eastAsiaTheme="majorEastAsia"/>
        </w:rPr>
        <w:t>https://www.bsigroup.com/en-GB/products-and-services/standards/iso-20121-event-sustainability-management-systems/</w:t>
      </w:r>
      <w:r>
        <w:t>.</w:t>
      </w:r>
    </w:p>
    <w:p w14:paraId="2A866CD7" w14:textId="77777777" w:rsidR="002A3472" w:rsidRDefault="002A3472" w:rsidP="002A3472">
      <w:pPr>
        <w:pStyle w:val="NormalWeb"/>
        <w:spacing w:before="0" w:beforeAutospacing="0" w:after="0" w:afterAutospacing="0" w:line="480" w:lineRule="auto"/>
        <w:ind w:left="720" w:hanging="720"/>
      </w:pPr>
      <w:r>
        <w:rPr>
          <w:i/>
          <w:iCs/>
        </w:rPr>
        <w:t>ISO 20121:2024</w:t>
      </w:r>
      <w:r>
        <w:t xml:space="preserve"> (2024). </w:t>
      </w:r>
      <w:r>
        <w:rPr>
          <w:rStyle w:val="url"/>
          <w:rFonts w:eastAsiaTheme="majorEastAsia"/>
        </w:rPr>
        <w:t>https://www.iso.org/standard/86389.html</w:t>
      </w:r>
      <w:r>
        <w:t>.</w:t>
      </w:r>
    </w:p>
    <w:p w14:paraId="020A4974" w14:textId="77777777" w:rsidR="002A3472" w:rsidRDefault="002A3472" w:rsidP="002A3472">
      <w:pPr>
        <w:pStyle w:val="NormalWeb"/>
        <w:spacing w:before="0" w:beforeAutospacing="0" w:after="0" w:afterAutospacing="0" w:line="480" w:lineRule="auto"/>
        <w:ind w:left="720" w:hanging="720"/>
      </w:pPr>
      <w:r>
        <w:t xml:space="preserve">SGS (2024) </w:t>
      </w:r>
      <w:r>
        <w:rPr>
          <w:i/>
          <w:iCs/>
        </w:rPr>
        <w:t>Create Sensational, Sustainable Events with ISO 20121:2024</w:t>
      </w:r>
      <w:r>
        <w:t xml:space="preserve">. </w:t>
      </w:r>
      <w:r>
        <w:rPr>
          <w:rStyle w:val="url"/>
          <w:rFonts w:eastAsiaTheme="majorEastAsia"/>
        </w:rPr>
        <w:t>https://www.sgs.com/en-in/news/2024/10/create-sensational-sustainable-events-with-iso-20121-2024</w:t>
      </w:r>
      <w:r>
        <w:t>.</w:t>
      </w:r>
    </w:p>
    <w:p w14:paraId="5FB09658" w14:textId="77777777" w:rsidR="002A3472" w:rsidRDefault="002A3472" w:rsidP="002A3472">
      <w:pPr>
        <w:pStyle w:val="NormalWeb"/>
        <w:spacing w:before="0" w:beforeAutospacing="0" w:after="0" w:afterAutospacing="0" w:line="480" w:lineRule="auto"/>
        <w:ind w:left="720" w:hanging="720"/>
      </w:pPr>
      <w:r>
        <w:t xml:space="preserve">UNDP Serbia (2023) </w:t>
      </w:r>
      <w:r>
        <w:rPr>
          <w:i/>
          <w:iCs/>
        </w:rPr>
        <w:t>Guideline for sustainable events</w:t>
      </w:r>
      <w:r>
        <w:t xml:space="preserve">. </w:t>
      </w:r>
      <w:r>
        <w:rPr>
          <w:rStyle w:val="url"/>
          <w:rFonts w:eastAsiaTheme="majorEastAsia"/>
        </w:rPr>
        <w:t>https://www.undp.org/serbia/publications/guideline-sustainable-events</w:t>
      </w:r>
      <w:r>
        <w:t>.</w:t>
      </w:r>
    </w:p>
    <w:p w14:paraId="4EE1D7F7" w14:textId="77777777" w:rsidR="002A3472" w:rsidRPr="002A3472" w:rsidRDefault="002A3472" w:rsidP="002A3472"/>
    <w:sectPr w:rsidR="002A3472" w:rsidRPr="002A3472" w:rsidSect="001223F9">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8C1751"/>
    <w:multiLevelType w:val="hybridMultilevel"/>
    <w:tmpl w:val="5CBE7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8725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BAA"/>
    <w:rsid w:val="00001127"/>
    <w:rsid w:val="00080A20"/>
    <w:rsid w:val="00096170"/>
    <w:rsid w:val="000C40DF"/>
    <w:rsid w:val="001223F9"/>
    <w:rsid w:val="00187D09"/>
    <w:rsid w:val="001C3ABD"/>
    <w:rsid w:val="001F19DC"/>
    <w:rsid w:val="0025483B"/>
    <w:rsid w:val="00285CAB"/>
    <w:rsid w:val="002959E1"/>
    <w:rsid w:val="002A3472"/>
    <w:rsid w:val="00365884"/>
    <w:rsid w:val="00397B91"/>
    <w:rsid w:val="004E1EE5"/>
    <w:rsid w:val="00557AA4"/>
    <w:rsid w:val="00601347"/>
    <w:rsid w:val="00601892"/>
    <w:rsid w:val="006B2FE5"/>
    <w:rsid w:val="006D0BAA"/>
    <w:rsid w:val="0074529D"/>
    <w:rsid w:val="007D7C92"/>
    <w:rsid w:val="008633B6"/>
    <w:rsid w:val="008E145B"/>
    <w:rsid w:val="00952333"/>
    <w:rsid w:val="00AF2FE6"/>
    <w:rsid w:val="00B217EB"/>
    <w:rsid w:val="00B54EA2"/>
    <w:rsid w:val="00B6504B"/>
    <w:rsid w:val="00B875AA"/>
    <w:rsid w:val="00C06FB4"/>
    <w:rsid w:val="00C27ABE"/>
    <w:rsid w:val="00C61672"/>
    <w:rsid w:val="00CA530F"/>
    <w:rsid w:val="00D17996"/>
    <w:rsid w:val="00D617AC"/>
    <w:rsid w:val="00D7670D"/>
    <w:rsid w:val="00D90620"/>
    <w:rsid w:val="00EA6149"/>
    <w:rsid w:val="00EF0D4F"/>
    <w:rsid w:val="00EF481C"/>
    <w:rsid w:val="00EF508F"/>
    <w:rsid w:val="00FB1768"/>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35DDB"/>
  <w15:chartTrackingRefBased/>
  <w15:docId w15:val="{6FAA3BAF-8F52-403F-9F19-8C956D9EA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48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0A20"/>
    <w:pPr>
      <w:ind w:left="720"/>
      <w:contextualSpacing/>
    </w:pPr>
  </w:style>
  <w:style w:type="character" w:styleId="Strong">
    <w:name w:val="Strong"/>
    <w:basedOn w:val="DefaultParagraphFont"/>
    <w:uiPriority w:val="22"/>
    <w:qFormat/>
    <w:rsid w:val="0025483B"/>
    <w:rPr>
      <w:b/>
      <w:bCs/>
    </w:rPr>
  </w:style>
  <w:style w:type="character" w:customStyle="1" w:styleId="Heading1Char">
    <w:name w:val="Heading 1 Char"/>
    <w:basedOn w:val="DefaultParagraphFont"/>
    <w:link w:val="Heading1"/>
    <w:uiPriority w:val="9"/>
    <w:rsid w:val="0025483B"/>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2A34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rl">
    <w:name w:val="url"/>
    <w:basedOn w:val="DefaultParagraphFont"/>
    <w:rsid w:val="002A3472"/>
  </w:style>
  <w:style w:type="paragraph" w:styleId="TOCHeading">
    <w:name w:val="TOC Heading"/>
    <w:basedOn w:val="Heading1"/>
    <w:next w:val="Normal"/>
    <w:uiPriority w:val="39"/>
    <w:unhideWhenUsed/>
    <w:qFormat/>
    <w:rsid w:val="007D7C92"/>
    <w:pPr>
      <w:outlineLvl w:val="9"/>
    </w:pPr>
    <w:rPr>
      <w:lang w:eastAsia="en-US"/>
    </w:rPr>
  </w:style>
  <w:style w:type="paragraph" w:styleId="TOC1">
    <w:name w:val="toc 1"/>
    <w:basedOn w:val="Normal"/>
    <w:next w:val="Normal"/>
    <w:autoRedefine/>
    <w:uiPriority w:val="39"/>
    <w:unhideWhenUsed/>
    <w:rsid w:val="007D7C92"/>
    <w:pPr>
      <w:spacing w:after="100"/>
    </w:pPr>
  </w:style>
  <w:style w:type="character" w:styleId="Hyperlink">
    <w:name w:val="Hyperlink"/>
    <w:basedOn w:val="DefaultParagraphFont"/>
    <w:uiPriority w:val="99"/>
    <w:unhideWhenUsed/>
    <w:rsid w:val="007D7C92"/>
    <w:rPr>
      <w:color w:val="0563C1" w:themeColor="hyperlink"/>
      <w:u w:val="single"/>
    </w:rPr>
  </w:style>
  <w:style w:type="paragraph" w:styleId="NoSpacing">
    <w:name w:val="No Spacing"/>
    <w:link w:val="NoSpacingChar"/>
    <w:uiPriority w:val="1"/>
    <w:qFormat/>
    <w:rsid w:val="001223F9"/>
    <w:pPr>
      <w:spacing w:after="0" w:line="240" w:lineRule="auto"/>
    </w:pPr>
    <w:rPr>
      <w:lang w:eastAsia="en-US"/>
    </w:rPr>
  </w:style>
  <w:style w:type="character" w:customStyle="1" w:styleId="NoSpacingChar">
    <w:name w:val="No Spacing Char"/>
    <w:basedOn w:val="DefaultParagraphFont"/>
    <w:link w:val="NoSpacing"/>
    <w:uiPriority w:val="1"/>
    <w:rsid w:val="001223F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284439">
      <w:bodyDiv w:val="1"/>
      <w:marLeft w:val="0"/>
      <w:marRight w:val="0"/>
      <w:marTop w:val="0"/>
      <w:marBottom w:val="0"/>
      <w:divBdr>
        <w:top w:val="none" w:sz="0" w:space="0" w:color="auto"/>
        <w:left w:val="none" w:sz="0" w:space="0" w:color="auto"/>
        <w:bottom w:val="none" w:sz="0" w:space="0" w:color="auto"/>
        <w:right w:val="none" w:sz="0" w:space="0" w:color="auto"/>
      </w:divBdr>
    </w:div>
    <w:div w:id="1322392519">
      <w:bodyDiv w:val="1"/>
      <w:marLeft w:val="0"/>
      <w:marRight w:val="0"/>
      <w:marTop w:val="0"/>
      <w:marBottom w:val="0"/>
      <w:divBdr>
        <w:top w:val="none" w:sz="0" w:space="0" w:color="auto"/>
        <w:left w:val="none" w:sz="0" w:space="0" w:color="auto"/>
        <w:bottom w:val="none" w:sz="0" w:space="0" w:color="auto"/>
        <w:right w:val="none" w:sz="0" w:space="0" w:color="auto"/>
      </w:divBdr>
    </w:div>
    <w:div w:id="20882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ittee.iso.org/sites/tc250/home/projects/ongoing/ongoing-1.html"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olympics.com/ioc/news/all-you-need-to-know-about-paris-2024-sustain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CA8E18D-EBFC-4E23-9C30-14642AF31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4844</Words>
  <Characters>27617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 Prajapat</dc:creator>
  <cp:keywords/>
  <dc:description/>
  <cp:lastModifiedBy>Preeti (24131962)</cp:lastModifiedBy>
  <cp:revision>2</cp:revision>
  <dcterms:created xsi:type="dcterms:W3CDTF">2025-12-25T02:26:00Z</dcterms:created>
  <dcterms:modified xsi:type="dcterms:W3CDTF">2025-12-25T02:26:00Z</dcterms:modified>
</cp:coreProperties>
</file>