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3F969" w14:textId="77777777" w:rsidR="00EB1A76" w:rsidRDefault="00EB1A76" w:rsidP="00EB1A76">
      <w:pPr>
        <w:pStyle w:val="Title"/>
        <w:jc w:val="center"/>
        <w:rPr>
          <w:rFonts w:ascii="Times New Roman" w:hAnsi="Times New Roman" w:cs="Times New Roman"/>
        </w:rPr>
      </w:pPr>
      <w:r w:rsidRPr="001F4957">
        <w:rPr>
          <w:b/>
          <w:noProof/>
        </w:rPr>
        <w:drawing>
          <wp:inline distT="0" distB="0" distL="0" distR="0" wp14:anchorId="1E9DF7BB" wp14:editId="2D35760F">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8"/>
                    <a:stretch>
                      <a:fillRect/>
                    </a:stretch>
                  </pic:blipFill>
                  <pic:spPr>
                    <a:xfrm>
                      <a:off x="0" y="0"/>
                      <a:ext cx="2343477" cy="1924319"/>
                    </a:xfrm>
                    <a:prstGeom prst="rect">
                      <a:avLst/>
                    </a:prstGeom>
                  </pic:spPr>
                </pic:pic>
              </a:graphicData>
            </a:graphic>
          </wp:inline>
        </w:drawing>
      </w:r>
      <w:r w:rsidR="00A6082B" w:rsidRPr="00332A23">
        <w:rPr>
          <w:rFonts w:ascii="Times New Roman" w:hAnsi="Times New Roman" w:cs="Times New Roman"/>
        </w:rPr>
        <w:br/>
      </w:r>
    </w:p>
    <w:p w14:paraId="42428A1A" w14:textId="77777777" w:rsidR="00EB1A76" w:rsidRDefault="00EB1A76" w:rsidP="00EB1A76">
      <w:pPr>
        <w:pStyle w:val="Title"/>
        <w:jc w:val="center"/>
        <w:rPr>
          <w:rFonts w:ascii="Times New Roman" w:hAnsi="Times New Roman" w:cs="Times New Roman"/>
        </w:rPr>
      </w:pPr>
    </w:p>
    <w:p w14:paraId="3BDA93C8" w14:textId="68C4000B" w:rsidR="00A6082B" w:rsidRPr="00332A23" w:rsidRDefault="00A6082B" w:rsidP="00EB1A76">
      <w:pPr>
        <w:pStyle w:val="Title"/>
        <w:jc w:val="center"/>
        <w:rPr>
          <w:rFonts w:ascii="Times New Roman" w:hAnsi="Times New Roman" w:cs="Times New Roman"/>
        </w:rPr>
      </w:pPr>
      <w:r w:rsidRPr="00332A23">
        <w:rPr>
          <w:rFonts w:ascii="Times New Roman" w:hAnsi="Times New Roman" w:cs="Times New Roman"/>
        </w:rPr>
        <w:t>Eco-Tourism and Conservation: Planning Sustainable Tourism in Protected Areas and Natural Reserves</w:t>
      </w:r>
    </w:p>
    <w:p w14:paraId="18264013" w14:textId="77777777" w:rsidR="00332A23" w:rsidRDefault="00332A23" w:rsidP="00A6082B">
      <w:pPr>
        <w:rPr>
          <w:rFonts w:ascii="Times New Roman" w:hAnsi="Times New Roman" w:cs="Times New Roman"/>
          <w:b/>
          <w:bCs/>
          <w:sz w:val="44"/>
          <w:szCs w:val="44"/>
        </w:rPr>
      </w:pPr>
    </w:p>
    <w:p w14:paraId="644EF5F1" w14:textId="77777777" w:rsidR="00332A23" w:rsidRDefault="00332A23" w:rsidP="00A6082B">
      <w:pPr>
        <w:rPr>
          <w:rFonts w:ascii="Times New Roman" w:hAnsi="Times New Roman" w:cs="Times New Roman"/>
          <w:b/>
          <w:bCs/>
          <w:sz w:val="44"/>
          <w:szCs w:val="44"/>
        </w:rPr>
      </w:pPr>
    </w:p>
    <w:p w14:paraId="1DFAE61E" w14:textId="77777777" w:rsidR="00332A23" w:rsidRDefault="00332A23" w:rsidP="00A6082B">
      <w:pPr>
        <w:rPr>
          <w:rFonts w:ascii="Times New Roman" w:hAnsi="Times New Roman" w:cs="Times New Roman"/>
          <w:b/>
          <w:bCs/>
          <w:sz w:val="44"/>
          <w:szCs w:val="44"/>
        </w:rPr>
      </w:pPr>
    </w:p>
    <w:p w14:paraId="5D1FF9B8" w14:textId="77777777" w:rsidR="00332A23" w:rsidRDefault="00332A23" w:rsidP="00A6082B">
      <w:pPr>
        <w:rPr>
          <w:rFonts w:ascii="Times New Roman" w:hAnsi="Times New Roman" w:cs="Times New Roman"/>
          <w:b/>
          <w:bCs/>
          <w:sz w:val="44"/>
          <w:szCs w:val="44"/>
        </w:rPr>
      </w:pPr>
    </w:p>
    <w:p w14:paraId="7A71755C" w14:textId="77777777" w:rsidR="00332A23" w:rsidRDefault="00332A23" w:rsidP="00A6082B">
      <w:pPr>
        <w:rPr>
          <w:rFonts w:ascii="Times New Roman" w:hAnsi="Times New Roman" w:cs="Times New Roman"/>
          <w:b/>
          <w:bCs/>
          <w:sz w:val="44"/>
          <w:szCs w:val="44"/>
        </w:rPr>
      </w:pPr>
    </w:p>
    <w:p w14:paraId="20EC19B3" w14:textId="77777777" w:rsidR="00332A23" w:rsidRDefault="00332A23" w:rsidP="00A6082B">
      <w:pPr>
        <w:rPr>
          <w:rFonts w:ascii="Times New Roman" w:hAnsi="Times New Roman" w:cs="Times New Roman"/>
          <w:b/>
          <w:bCs/>
          <w:sz w:val="44"/>
          <w:szCs w:val="44"/>
        </w:rPr>
      </w:pPr>
    </w:p>
    <w:p w14:paraId="2795DA1F" w14:textId="77777777" w:rsidR="00332A23" w:rsidRDefault="00332A23" w:rsidP="00A6082B">
      <w:pPr>
        <w:rPr>
          <w:rFonts w:ascii="Times New Roman" w:hAnsi="Times New Roman" w:cs="Times New Roman"/>
          <w:b/>
          <w:bCs/>
          <w:sz w:val="44"/>
          <w:szCs w:val="44"/>
        </w:rPr>
      </w:pPr>
    </w:p>
    <w:p w14:paraId="615C781B" w14:textId="77777777" w:rsidR="00332A23" w:rsidRDefault="00332A23" w:rsidP="00A6082B">
      <w:pPr>
        <w:rPr>
          <w:rFonts w:ascii="Times New Roman" w:hAnsi="Times New Roman" w:cs="Times New Roman"/>
          <w:b/>
          <w:bCs/>
          <w:sz w:val="44"/>
          <w:szCs w:val="44"/>
        </w:rPr>
      </w:pPr>
    </w:p>
    <w:p w14:paraId="31760F99" w14:textId="77777777" w:rsidR="00332A23" w:rsidRDefault="00332A23" w:rsidP="00A6082B">
      <w:pPr>
        <w:rPr>
          <w:rFonts w:ascii="Times New Roman" w:hAnsi="Times New Roman" w:cs="Times New Roman"/>
          <w:b/>
          <w:bCs/>
          <w:sz w:val="44"/>
          <w:szCs w:val="44"/>
        </w:rPr>
      </w:pPr>
    </w:p>
    <w:p w14:paraId="73BEF1AF" w14:textId="77777777" w:rsidR="00332A23" w:rsidRDefault="00332A23" w:rsidP="00A6082B">
      <w:pPr>
        <w:rPr>
          <w:rFonts w:ascii="Times New Roman" w:hAnsi="Times New Roman" w:cs="Times New Roman"/>
          <w:b/>
          <w:bCs/>
          <w:sz w:val="44"/>
          <w:szCs w:val="44"/>
        </w:rPr>
      </w:pPr>
    </w:p>
    <w:p w14:paraId="70292F86" w14:textId="77777777" w:rsidR="00332A23" w:rsidRDefault="00332A23" w:rsidP="00A6082B">
      <w:pPr>
        <w:rPr>
          <w:rFonts w:ascii="Times New Roman" w:hAnsi="Times New Roman" w:cs="Times New Roman"/>
          <w:b/>
          <w:bCs/>
          <w:sz w:val="44"/>
          <w:szCs w:val="44"/>
        </w:rPr>
      </w:pPr>
    </w:p>
    <w:p w14:paraId="66457117" w14:textId="77777777" w:rsidR="00332A23" w:rsidRDefault="00332A23" w:rsidP="00A6082B">
      <w:pPr>
        <w:rPr>
          <w:rFonts w:ascii="Times New Roman" w:hAnsi="Times New Roman" w:cs="Times New Roman"/>
          <w:b/>
          <w:bCs/>
          <w:sz w:val="44"/>
          <w:szCs w:val="44"/>
        </w:rPr>
      </w:pPr>
    </w:p>
    <w:p w14:paraId="3EF4F9E6" w14:textId="77777777" w:rsidR="00332A23" w:rsidRDefault="00332A23" w:rsidP="00A6082B">
      <w:pPr>
        <w:rPr>
          <w:rFonts w:ascii="Times New Roman" w:hAnsi="Times New Roman" w:cs="Times New Roman"/>
          <w:b/>
          <w:bCs/>
          <w:sz w:val="44"/>
          <w:szCs w:val="44"/>
        </w:rPr>
      </w:pPr>
    </w:p>
    <w:p w14:paraId="145C0CE6" w14:textId="77777777" w:rsidR="00332A23" w:rsidRDefault="00332A23" w:rsidP="00A6082B">
      <w:pPr>
        <w:rPr>
          <w:rFonts w:ascii="Times New Roman" w:hAnsi="Times New Roman" w:cs="Times New Roman"/>
          <w:b/>
          <w:bCs/>
          <w:sz w:val="44"/>
          <w:szCs w:val="44"/>
        </w:rPr>
      </w:pPr>
    </w:p>
    <w:p w14:paraId="619A053B" w14:textId="77777777" w:rsidR="00332A23" w:rsidRDefault="00332A23" w:rsidP="00A6082B">
      <w:pPr>
        <w:rPr>
          <w:rFonts w:ascii="Times New Roman" w:hAnsi="Times New Roman" w:cs="Times New Roman"/>
          <w:b/>
          <w:bCs/>
          <w:sz w:val="44"/>
          <w:szCs w:val="44"/>
        </w:rPr>
      </w:pPr>
    </w:p>
    <w:p w14:paraId="3F222EFA" w14:textId="77777777" w:rsidR="00332A23" w:rsidRDefault="00332A23" w:rsidP="00A6082B">
      <w:pPr>
        <w:rPr>
          <w:rFonts w:ascii="Times New Roman" w:hAnsi="Times New Roman" w:cs="Times New Roman"/>
          <w:b/>
          <w:bCs/>
          <w:sz w:val="44"/>
          <w:szCs w:val="44"/>
        </w:rPr>
      </w:pPr>
    </w:p>
    <w:sdt>
      <w:sdtPr>
        <w:rPr>
          <w:rFonts w:asciiTheme="minorHAnsi" w:eastAsiaTheme="minorHAnsi" w:hAnsiTheme="minorHAnsi" w:cstheme="minorBidi"/>
          <w:color w:val="auto"/>
          <w:kern w:val="2"/>
          <w:sz w:val="22"/>
          <w:szCs w:val="22"/>
          <w:lang w:val="en-IN"/>
          <w14:ligatures w14:val="standardContextual"/>
        </w:rPr>
        <w:id w:val="1749995429"/>
        <w:docPartObj>
          <w:docPartGallery w:val="Table of Contents"/>
          <w:docPartUnique/>
        </w:docPartObj>
      </w:sdtPr>
      <w:sdtEndPr>
        <w:rPr>
          <w:b/>
          <w:bCs/>
          <w:noProof/>
        </w:rPr>
      </w:sdtEndPr>
      <w:sdtContent>
        <w:p w14:paraId="2567E848" w14:textId="4E76870A" w:rsidR="00332A23" w:rsidRDefault="00332A23">
          <w:pPr>
            <w:pStyle w:val="TOCHeading"/>
          </w:pPr>
          <w:r>
            <w:t>Contents</w:t>
          </w:r>
        </w:p>
        <w:p w14:paraId="3A502801" w14:textId="08A40BFE" w:rsidR="006137F2" w:rsidRDefault="00332A23">
          <w:pPr>
            <w:pStyle w:val="TOC1"/>
            <w:tabs>
              <w:tab w:val="right" w:leader="dot" w:pos="9016"/>
            </w:tabs>
            <w:rPr>
              <w:rFonts w:eastAsiaTheme="minorEastAsia"/>
              <w:noProof/>
              <w:sz w:val="24"/>
              <w:szCs w:val="21"/>
              <w:lang w:eastAsia="en-IN" w:bidi="hi-IN"/>
            </w:rPr>
          </w:pPr>
          <w:r>
            <w:fldChar w:fldCharType="begin"/>
          </w:r>
          <w:r>
            <w:instrText xml:space="preserve"> TOC \o "1-3" \h \z \u </w:instrText>
          </w:r>
          <w:r>
            <w:fldChar w:fldCharType="separate"/>
          </w:r>
          <w:hyperlink w:anchor="_Toc215360447" w:history="1">
            <w:r w:rsidR="006137F2" w:rsidRPr="00F72AE2">
              <w:rPr>
                <w:rStyle w:val="Hyperlink"/>
                <w:noProof/>
              </w:rPr>
              <w:t>Abstract</w:t>
            </w:r>
            <w:r w:rsidR="006137F2">
              <w:rPr>
                <w:noProof/>
                <w:webHidden/>
              </w:rPr>
              <w:tab/>
            </w:r>
            <w:r w:rsidR="006137F2">
              <w:rPr>
                <w:noProof/>
                <w:webHidden/>
              </w:rPr>
              <w:fldChar w:fldCharType="begin"/>
            </w:r>
            <w:r w:rsidR="006137F2">
              <w:rPr>
                <w:noProof/>
                <w:webHidden/>
              </w:rPr>
              <w:instrText xml:space="preserve"> PAGEREF _Toc215360447 \h </w:instrText>
            </w:r>
            <w:r w:rsidR="006137F2">
              <w:rPr>
                <w:noProof/>
                <w:webHidden/>
              </w:rPr>
            </w:r>
            <w:r w:rsidR="006137F2">
              <w:rPr>
                <w:noProof/>
                <w:webHidden/>
              </w:rPr>
              <w:fldChar w:fldCharType="separate"/>
            </w:r>
            <w:r w:rsidR="006137F2">
              <w:rPr>
                <w:noProof/>
                <w:webHidden/>
              </w:rPr>
              <w:t>2</w:t>
            </w:r>
            <w:r w:rsidR="006137F2">
              <w:rPr>
                <w:noProof/>
                <w:webHidden/>
              </w:rPr>
              <w:fldChar w:fldCharType="end"/>
            </w:r>
          </w:hyperlink>
        </w:p>
        <w:p w14:paraId="301B7F23" w14:textId="1FB46EB5" w:rsidR="006137F2" w:rsidRDefault="00FB7C77">
          <w:pPr>
            <w:pStyle w:val="TOC1"/>
            <w:tabs>
              <w:tab w:val="right" w:leader="dot" w:pos="9016"/>
            </w:tabs>
            <w:rPr>
              <w:rFonts w:eastAsiaTheme="minorEastAsia"/>
              <w:noProof/>
              <w:sz w:val="24"/>
              <w:szCs w:val="21"/>
              <w:lang w:eastAsia="en-IN" w:bidi="hi-IN"/>
            </w:rPr>
          </w:pPr>
          <w:hyperlink w:anchor="_Toc215360448" w:history="1">
            <w:r w:rsidR="006137F2" w:rsidRPr="00F72AE2">
              <w:rPr>
                <w:rStyle w:val="Hyperlink"/>
                <w:noProof/>
              </w:rPr>
              <w:t>Introduction</w:t>
            </w:r>
            <w:r w:rsidR="006137F2">
              <w:rPr>
                <w:noProof/>
                <w:webHidden/>
              </w:rPr>
              <w:tab/>
            </w:r>
            <w:r w:rsidR="006137F2">
              <w:rPr>
                <w:noProof/>
                <w:webHidden/>
              </w:rPr>
              <w:fldChar w:fldCharType="begin"/>
            </w:r>
            <w:r w:rsidR="006137F2">
              <w:rPr>
                <w:noProof/>
                <w:webHidden/>
              </w:rPr>
              <w:instrText xml:space="preserve"> PAGEREF _Toc215360448 \h </w:instrText>
            </w:r>
            <w:r w:rsidR="006137F2">
              <w:rPr>
                <w:noProof/>
                <w:webHidden/>
              </w:rPr>
            </w:r>
            <w:r w:rsidR="006137F2">
              <w:rPr>
                <w:noProof/>
                <w:webHidden/>
              </w:rPr>
              <w:fldChar w:fldCharType="separate"/>
            </w:r>
            <w:r w:rsidR="006137F2">
              <w:rPr>
                <w:noProof/>
                <w:webHidden/>
              </w:rPr>
              <w:t>3</w:t>
            </w:r>
            <w:r w:rsidR="006137F2">
              <w:rPr>
                <w:noProof/>
                <w:webHidden/>
              </w:rPr>
              <w:fldChar w:fldCharType="end"/>
            </w:r>
          </w:hyperlink>
        </w:p>
        <w:p w14:paraId="29E93436" w14:textId="11F59D9D" w:rsidR="006137F2" w:rsidRDefault="00FB7C77">
          <w:pPr>
            <w:pStyle w:val="TOC1"/>
            <w:tabs>
              <w:tab w:val="right" w:leader="dot" w:pos="9016"/>
            </w:tabs>
            <w:rPr>
              <w:rFonts w:eastAsiaTheme="minorEastAsia"/>
              <w:noProof/>
              <w:sz w:val="24"/>
              <w:szCs w:val="21"/>
              <w:lang w:eastAsia="en-IN" w:bidi="hi-IN"/>
            </w:rPr>
          </w:pPr>
          <w:hyperlink w:anchor="_Toc215360449" w:history="1">
            <w:r w:rsidR="006137F2" w:rsidRPr="00F72AE2">
              <w:rPr>
                <w:rStyle w:val="Hyperlink"/>
                <w:noProof/>
              </w:rPr>
              <w:t>Literature Review</w:t>
            </w:r>
            <w:r w:rsidR="006137F2">
              <w:rPr>
                <w:noProof/>
                <w:webHidden/>
              </w:rPr>
              <w:tab/>
            </w:r>
            <w:r w:rsidR="006137F2">
              <w:rPr>
                <w:noProof/>
                <w:webHidden/>
              </w:rPr>
              <w:fldChar w:fldCharType="begin"/>
            </w:r>
            <w:r w:rsidR="006137F2">
              <w:rPr>
                <w:noProof/>
                <w:webHidden/>
              </w:rPr>
              <w:instrText xml:space="preserve"> PAGEREF _Toc215360449 \h </w:instrText>
            </w:r>
            <w:r w:rsidR="006137F2">
              <w:rPr>
                <w:noProof/>
                <w:webHidden/>
              </w:rPr>
            </w:r>
            <w:r w:rsidR="006137F2">
              <w:rPr>
                <w:noProof/>
                <w:webHidden/>
              </w:rPr>
              <w:fldChar w:fldCharType="separate"/>
            </w:r>
            <w:r w:rsidR="006137F2">
              <w:rPr>
                <w:noProof/>
                <w:webHidden/>
              </w:rPr>
              <w:t>4</w:t>
            </w:r>
            <w:r w:rsidR="006137F2">
              <w:rPr>
                <w:noProof/>
                <w:webHidden/>
              </w:rPr>
              <w:fldChar w:fldCharType="end"/>
            </w:r>
          </w:hyperlink>
        </w:p>
        <w:p w14:paraId="7284D4EE" w14:textId="67F4BDCA" w:rsidR="006137F2" w:rsidRDefault="00FB7C77">
          <w:pPr>
            <w:pStyle w:val="TOC1"/>
            <w:tabs>
              <w:tab w:val="right" w:leader="dot" w:pos="9016"/>
            </w:tabs>
            <w:rPr>
              <w:rFonts w:eastAsiaTheme="minorEastAsia"/>
              <w:noProof/>
              <w:sz w:val="24"/>
              <w:szCs w:val="21"/>
              <w:lang w:eastAsia="en-IN" w:bidi="hi-IN"/>
            </w:rPr>
          </w:pPr>
          <w:hyperlink w:anchor="_Toc215360450" w:history="1">
            <w:r w:rsidR="006137F2" w:rsidRPr="00F72AE2">
              <w:rPr>
                <w:rStyle w:val="Hyperlink"/>
                <w:noProof/>
              </w:rPr>
              <w:t>Methodology</w:t>
            </w:r>
            <w:r w:rsidR="006137F2">
              <w:rPr>
                <w:noProof/>
                <w:webHidden/>
              </w:rPr>
              <w:tab/>
            </w:r>
            <w:r w:rsidR="006137F2">
              <w:rPr>
                <w:noProof/>
                <w:webHidden/>
              </w:rPr>
              <w:fldChar w:fldCharType="begin"/>
            </w:r>
            <w:r w:rsidR="006137F2">
              <w:rPr>
                <w:noProof/>
                <w:webHidden/>
              </w:rPr>
              <w:instrText xml:space="preserve"> PAGEREF _Toc215360450 \h </w:instrText>
            </w:r>
            <w:r w:rsidR="006137F2">
              <w:rPr>
                <w:noProof/>
                <w:webHidden/>
              </w:rPr>
            </w:r>
            <w:r w:rsidR="006137F2">
              <w:rPr>
                <w:noProof/>
                <w:webHidden/>
              </w:rPr>
              <w:fldChar w:fldCharType="separate"/>
            </w:r>
            <w:r w:rsidR="006137F2">
              <w:rPr>
                <w:noProof/>
                <w:webHidden/>
              </w:rPr>
              <w:t>5</w:t>
            </w:r>
            <w:r w:rsidR="006137F2">
              <w:rPr>
                <w:noProof/>
                <w:webHidden/>
              </w:rPr>
              <w:fldChar w:fldCharType="end"/>
            </w:r>
          </w:hyperlink>
        </w:p>
        <w:p w14:paraId="6CE99C14" w14:textId="333E968B" w:rsidR="006137F2" w:rsidRDefault="00FB7C77">
          <w:pPr>
            <w:pStyle w:val="TOC1"/>
            <w:tabs>
              <w:tab w:val="right" w:leader="dot" w:pos="9016"/>
            </w:tabs>
            <w:rPr>
              <w:rFonts w:eastAsiaTheme="minorEastAsia"/>
              <w:noProof/>
              <w:sz w:val="24"/>
              <w:szCs w:val="21"/>
              <w:lang w:eastAsia="en-IN" w:bidi="hi-IN"/>
            </w:rPr>
          </w:pPr>
          <w:hyperlink w:anchor="_Toc215360451" w:history="1">
            <w:r w:rsidR="006137F2" w:rsidRPr="00F72AE2">
              <w:rPr>
                <w:rStyle w:val="Hyperlink"/>
                <w:noProof/>
              </w:rPr>
              <w:t>Findings</w:t>
            </w:r>
            <w:r w:rsidR="006137F2">
              <w:rPr>
                <w:noProof/>
                <w:webHidden/>
              </w:rPr>
              <w:tab/>
            </w:r>
            <w:r w:rsidR="006137F2">
              <w:rPr>
                <w:noProof/>
                <w:webHidden/>
              </w:rPr>
              <w:fldChar w:fldCharType="begin"/>
            </w:r>
            <w:r w:rsidR="006137F2">
              <w:rPr>
                <w:noProof/>
                <w:webHidden/>
              </w:rPr>
              <w:instrText xml:space="preserve"> PAGEREF _Toc215360451 \h </w:instrText>
            </w:r>
            <w:r w:rsidR="006137F2">
              <w:rPr>
                <w:noProof/>
                <w:webHidden/>
              </w:rPr>
            </w:r>
            <w:r w:rsidR="006137F2">
              <w:rPr>
                <w:noProof/>
                <w:webHidden/>
              </w:rPr>
              <w:fldChar w:fldCharType="separate"/>
            </w:r>
            <w:r w:rsidR="006137F2">
              <w:rPr>
                <w:noProof/>
                <w:webHidden/>
              </w:rPr>
              <w:t>7</w:t>
            </w:r>
            <w:r w:rsidR="006137F2">
              <w:rPr>
                <w:noProof/>
                <w:webHidden/>
              </w:rPr>
              <w:fldChar w:fldCharType="end"/>
            </w:r>
          </w:hyperlink>
        </w:p>
        <w:p w14:paraId="5915A194" w14:textId="4E233269" w:rsidR="006137F2" w:rsidRDefault="00FB7C77">
          <w:pPr>
            <w:pStyle w:val="TOC1"/>
            <w:tabs>
              <w:tab w:val="right" w:leader="dot" w:pos="9016"/>
            </w:tabs>
            <w:rPr>
              <w:rFonts w:eastAsiaTheme="minorEastAsia"/>
              <w:noProof/>
              <w:sz w:val="24"/>
              <w:szCs w:val="21"/>
              <w:lang w:eastAsia="en-IN" w:bidi="hi-IN"/>
            </w:rPr>
          </w:pPr>
          <w:hyperlink w:anchor="_Toc215360452" w:history="1">
            <w:r w:rsidR="006137F2" w:rsidRPr="00F72AE2">
              <w:rPr>
                <w:rStyle w:val="Hyperlink"/>
                <w:noProof/>
              </w:rPr>
              <w:t>Discussion</w:t>
            </w:r>
            <w:r w:rsidR="006137F2">
              <w:rPr>
                <w:noProof/>
                <w:webHidden/>
              </w:rPr>
              <w:tab/>
            </w:r>
            <w:r w:rsidR="006137F2">
              <w:rPr>
                <w:noProof/>
                <w:webHidden/>
              </w:rPr>
              <w:fldChar w:fldCharType="begin"/>
            </w:r>
            <w:r w:rsidR="006137F2">
              <w:rPr>
                <w:noProof/>
                <w:webHidden/>
              </w:rPr>
              <w:instrText xml:space="preserve"> PAGEREF _Toc215360452 \h </w:instrText>
            </w:r>
            <w:r w:rsidR="006137F2">
              <w:rPr>
                <w:noProof/>
                <w:webHidden/>
              </w:rPr>
            </w:r>
            <w:r w:rsidR="006137F2">
              <w:rPr>
                <w:noProof/>
                <w:webHidden/>
              </w:rPr>
              <w:fldChar w:fldCharType="separate"/>
            </w:r>
            <w:r w:rsidR="006137F2">
              <w:rPr>
                <w:noProof/>
                <w:webHidden/>
              </w:rPr>
              <w:t>8</w:t>
            </w:r>
            <w:r w:rsidR="006137F2">
              <w:rPr>
                <w:noProof/>
                <w:webHidden/>
              </w:rPr>
              <w:fldChar w:fldCharType="end"/>
            </w:r>
          </w:hyperlink>
        </w:p>
        <w:p w14:paraId="2DE47D6A" w14:textId="55283BC4" w:rsidR="006137F2" w:rsidRDefault="00FB7C77">
          <w:pPr>
            <w:pStyle w:val="TOC1"/>
            <w:tabs>
              <w:tab w:val="right" w:leader="dot" w:pos="9016"/>
            </w:tabs>
            <w:rPr>
              <w:rFonts w:eastAsiaTheme="minorEastAsia"/>
              <w:noProof/>
              <w:sz w:val="24"/>
              <w:szCs w:val="21"/>
              <w:lang w:eastAsia="en-IN" w:bidi="hi-IN"/>
            </w:rPr>
          </w:pPr>
          <w:hyperlink w:anchor="_Toc215360453" w:history="1">
            <w:r w:rsidR="006137F2" w:rsidRPr="00F72AE2">
              <w:rPr>
                <w:rStyle w:val="Hyperlink"/>
                <w:noProof/>
              </w:rPr>
              <w:t>Conclusion</w:t>
            </w:r>
            <w:r w:rsidR="006137F2">
              <w:rPr>
                <w:noProof/>
                <w:webHidden/>
              </w:rPr>
              <w:tab/>
            </w:r>
            <w:r w:rsidR="006137F2">
              <w:rPr>
                <w:noProof/>
                <w:webHidden/>
              </w:rPr>
              <w:fldChar w:fldCharType="begin"/>
            </w:r>
            <w:r w:rsidR="006137F2">
              <w:rPr>
                <w:noProof/>
                <w:webHidden/>
              </w:rPr>
              <w:instrText xml:space="preserve"> PAGEREF _Toc215360453 \h </w:instrText>
            </w:r>
            <w:r w:rsidR="006137F2">
              <w:rPr>
                <w:noProof/>
                <w:webHidden/>
              </w:rPr>
            </w:r>
            <w:r w:rsidR="006137F2">
              <w:rPr>
                <w:noProof/>
                <w:webHidden/>
              </w:rPr>
              <w:fldChar w:fldCharType="separate"/>
            </w:r>
            <w:r w:rsidR="006137F2">
              <w:rPr>
                <w:noProof/>
                <w:webHidden/>
              </w:rPr>
              <w:t>9</w:t>
            </w:r>
            <w:r w:rsidR="006137F2">
              <w:rPr>
                <w:noProof/>
                <w:webHidden/>
              </w:rPr>
              <w:fldChar w:fldCharType="end"/>
            </w:r>
          </w:hyperlink>
        </w:p>
        <w:p w14:paraId="31AC0C66" w14:textId="53FD7449" w:rsidR="006137F2" w:rsidRDefault="00FB7C77">
          <w:pPr>
            <w:pStyle w:val="TOC1"/>
            <w:tabs>
              <w:tab w:val="right" w:leader="dot" w:pos="9016"/>
            </w:tabs>
            <w:rPr>
              <w:rFonts w:eastAsiaTheme="minorEastAsia"/>
              <w:noProof/>
              <w:sz w:val="24"/>
              <w:szCs w:val="21"/>
              <w:lang w:eastAsia="en-IN" w:bidi="hi-IN"/>
            </w:rPr>
          </w:pPr>
          <w:hyperlink w:anchor="_Toc215360454" w:history="1">
            <w:r w:rsidR="006137F2" w:rsidRPr="00F72AE2">
              <w:rPr>
                <w:rStyle w:val="Hyperlink"/>
                <w:noProof/>
              </w:rPr>
              <w:t>References</w:t>
            </w:r>
            <w:r w:rsidR="006137F2">
              <w:rPr>
                <w:noProof/>
                <w:webHidden/>
              </w:rPr>
              <w:tab/>
            </w:r>
            <w:r w:rsidR="006137F2">
              <w:rPr>
                <w:noProof/>
                <w:webHidden/>
              </w:rPr>
              <w:fldChar w:fldCharType="begin"/>
            </w:r>
            <w:r w:rsidR="006137F2">
              <w:rPr>
                <w:noProof/>
                <w:webHidden/>
              </w:rPr>
              <w:instrText xml:space="preserve"> PAGEREF _Toc215360454 \h </w:instrText>
            </w:r>
            <w:r w:rsidR="006137F2">
              <w:rPr>
                <w:noProof/>
                <w:webHidden/>
              </w:rPr>
            </w:r>
            <w:r w:rsidR="006137F2">
              <w:rPr>
                <w:noProof/>
                <w:webHidden/>
              </w:rPr>
              <w:fldChar w:fldCharType="separate"/>
            </w:r>
            <w:r w:rsidR="006137F2">
              <w:rPr>
                <w:noProof/>
                <w:webHidden/>
              </w:rPr>
              <w:t>10</w:t>
            </w:r>
            <w:r w:rsidR="006137F2">
              <w:rPr>
                <w:noProof/>
                <w:webHidden/>
              </w:rPr>
              <w:fldChar w:fldCharType="end"/>
            </w:r>
          </w:hyperlink>
        </w:p>
        <w:p w14:paraId="30646412" w14:textId="1A72ADA9" w:rsidR="006137F2" w:rsidRDefault="00FB7C77">
          <w:pPr>
            <w:pStyle w:val="TOC1"/>
            <w:tabs>
              <w:tab w:val="right" w:leader="dot" w:pos="9016"/>
            </w:tabs>
            <w:rPr>
              <w:rFonts w:eastAsiaTheme="minorEastAsia"/>
              <w:noProof/>
              <w:sz w:val="24"/>
              <w:szCs w:val="21"/>
              <w:lang w:eastAsia="en-IN" w:bidi="hi-IN"/>
            </w:rPr>
          </w:pPr>
          <w:hyperlink w:anchor="_Toc215360455" w:history="1">
            <w:r w:rsidR="006137F2" w:rsidRPr="00F72AE2">
              <w:rPr>
                <w:rStyle w:val="Hyperlink"/>
                <w:noProof/>
              </w:rPr>
              <w:t>Appendices</w:t>
            </w:r>
            <w:r w:rsidR="006137F2">
              <w:rPr>
                <w:noProof/>
                <w:webHidden/>
              </w:rPr>
              <w:tab/>
            </w:r>
            <w:r w:rsidR="006137F2">
              <w:rPr>
                <w:noProof/>
                <w:webHidden/>
              </w:rPr>
              <w:fldChar w:fldCharType="begin"/>
            </w:r>
            <w:r w:rsidR="006137F2">
              <w:rPr>
                <w:noProof/>
                <w:webHidden/>
              </w:rPr>
              <w:instrText xml:space="preserve"> PAGEREF _Toc215360455 \h </w:instrText>
            </w:r>
            <w:r w:rsidR="006137F2">
              <w:rPr>
                <w:noProof/>
                <w:webHidden/>
              </w:rPr>
            </w:r>
            <w:r w:rsidR="006137F2">
              <w:rPr>
                <w:noProof/>
                <w:webHidden/>
              </w:rPr>
              <w:fldChar w:fldCharType="separate"/>
            </w:r>
            <w:r w:rsidR="006137F2">
              <w:rPr>
                <w:noProof/>
                <w:webHidden/>
              </w:rPr>
              <w:t>11</w:t>
            </w:r>
            <w:r w:rsidR="006137F2">
              <w:rPr>
                <w:noProof/>
                <w:webHidden/>
              </w:rPr>
              <w:fldChar w:fldCharType="end"/>
            </w:r>
          </w:hyperlink>
        </w:p>
        <w:p w14:paraId="1E46CEB3" w14:textId="165FD72A" w:rsidR="00332A23" w:rsidRDefault="00332A23">
          <w:r>
            <w:rPr>
              <w:b/>
              <w:bCs/>
              <w:noProof/>
            </w:rPr>
            <w:fldChar w:fldCharType="end"/>
          </w:r>
        </w:p>
      </w:sdtContent>
    </w:sdt>
    <w:p w14:paraId="35410F56" w14:textId="77777777" w:rsidR="00332A23" w:rsidRDefault="00332A23" w:rsidP="00A6082B">
      <w:pPr>
        <w:rPr>
          <w:rFonts w:ascii="Times New Roman" w:hAnsi="Times New Roman" w:cs="Times New Roman"/>
          <w:b/>
          <w:bCs/>
          <w:sz w:val="44"/>
          <w:szCs w:val="44"/>
        </w:rPr>
      </w:pPr>
    </w:p>
    <w:p w14:paraId="4F4BDF8A" w14:textId="77777777" w:rsidR="00332A23" w:rsidRDefault="00332A23" w:rsidP="00A6082B">
      <w:pPr>
        <w:rPr>
          <w:rFonts w:ascii="Times New Roman" w:hAnsi="Times New Roman" w:cs="Times New Roman"/>
          <w:b/>
          <w:bCs/>
          <w:sz w:val="44"/>
          <w:szCs w:val="44"/>
        </w:rPr>
      </w:pPr>
    </w:p>
    <w:p w14:paraId="737D1E53" w14:textId="77777777" w:rsidR="00332A23" w:rsidRDefault="00332A23" w:rsidP="00A6082B">
      <w:pPr>
        <w:rPr>
          <w:rFonts w:ascii="Times New Roman" w:hAnsi="Times New Roman" w:cs="Times New Roman"/>
          <w:b/>
          <w:bCs/>
          <w:sz w:val="44"/>
          <w:szCs w:val="44"/>
        </w:rPr>
      </w:pPr>
    </w:p>
    <w:p w14:paraId="15C2BFEE" w14:textId="77777777" w:rsidR="00332A23" w:rsidRDefault="00332A23" w:rsidP="00A6082B">
      <w:pPr>
        <w:rPr>
          <w:rFonts w:ascii="Times New Roman" w:hAnsi="Times New Roman" w:cs="Times New Roman"/>
          <w:b/>
          <w:bCs/>
          <w:sz w:val="44"/>
          <w:szCs w:val="44"/>
        </w:rPr>
      </w:pPr>
    </w:p>
    <w:p w14:paraId="07FFC2EA" w14:textId="77777777" w:rsidR="00332A23" w:rsidRDefault="00332A23" w:rsidP="00A6082B">
      <w:pPr>
        <w:rPr>
          <w:rFonts w:ascii="Times New Roman" w:hAnsi="Times New Roman" w:cs="Times New Roman"/>
          <w:b/>
          <w:bCs/>
          <w:sz w:val="44"/>
          <w:szCs w:val="44"/>
        </w:rPr>
      </w:pPr>
    </w:p>
    <w:p w14:paraId="2F78F8B2" w14:textId="77777777" w:rsidR="00332A23" w:rsidRDefault="00332A23" w:rsidP="00A6082B">
      <w:pPr>
        <w:rPr>
          <w:rFonts w:ascii="Times New Roman" w:hAnsi="Times New Roman" w:cs="Times New Roman"/>
          <w:b/>
          <w:bCs/>
          <w:sz w:val="44"/>
          <w:szCs w:val="44"/>
        </w:rPr>
      </w:pPr>
    </w:p>
    <w:p w14:paraId="318B7A2D" w14:textId="77777777" w:rsidR="006137F2" w:rsidRDefault="006137F2" w:rsidP="00A6082B">
      <w:pPr>
        <w:rPr>
          <w:rFonts w:ascii="Times New Roman" w:hAnsi="Times New Roman" w:cs="Times New Roman"/>
          <w:b/>
          <w:bCs/>
          <w:sz w:val="44"/>
          <w:szCs w:val="44"/>
        </w:rPr>
      </w:pPr>
    </w:p>
    <w:p w14:paraId="3B43C4A4" w14:textId="77777777" w:rsidR="006137F2" w:rsidRDefault="006137F2" w:rsidP="00A6082B">
      <w:pPr>
        <w:rPr>
          <w:rFonts w:ascii="Times New Roman" w:hAnsi="Times New Roman" w:cs="Times New Roman"/>
          <w:b/>
          <w:bCs/>
          <w:sz w:val="44"/>
          <w:szCs w:val="44"/>
        </w:rPr>
      </w:pPr>
    </w:p>
    <w:p w14:paraId="537004A9" w14:textId="77777777" w:rsidR="006137F2" w:rsidRDefault="006137F2" w:rsidP="00A6082B">
      <w:pPr>
        <w:rPr>
          <w:rFonts w:ascii="Times New Roman" w:hAnsi="Times New Roman" w:cs="Times New Roman"/>
          <w:b/>
          <w:bCs/>
          <w:sz w:val="44"/>
          <w:szCs w:val="44"/>
        </w:rPr>
      </w:pPr>
    </w:p>
    <w:p w14:paraId="08A4CFFB" w14:textId="77777777" w:rsidR="00332A23" w:rsidRDefault="00332A23" w:rsidP="00A6082B">
      <w:pPr>
        <w:rPr>
          <w:rFonts w:ascii="Times New Roman" w:hAnsi="Times New Roman" w:cs="Times New Roman"/>
          <w:b/>
          <w:bCs/>
          <w:sz w:val="44"/>
          <w:szCs w:val="44"/>
        </w:rPr>
      </w:pPr>
    </w:p>
    <w:p w14:paraId="5CA415AF" w14:textId="77777777" w:rsidR="006137F2" w:rsidRDefault="006137F2" w:rsidP="00A6082B">
      <w:pPr>
        <w:rPr>
          <w:rFonts w:ascii="Times New Roman" w:hAnsi="Times New Roman" w:cs="Times New Roman"/>
          <w:b/>
          <w:bCs/>
          <w:sz w:val="44"/>
          <w:szCs w:val="44"/>
        </w:rPr>
      </w:pPr>
    </w:p>
    <w:p w14:paraId="3E9E5A91" w14:textId="77777777" w:rsidR="006137F2" w:rsidRDefault="006137F2" w:rsidP="00A6082B">
      <w:pPr>
        <w:rPr>
          <w:rFonts w:ascii="Times New Roman" w:hAnsi="Times New Roman" w:cs="Times New Roman"/>
          <w:b/>
          <w:bCs/>
          <w:sz w:val="44"/>
          <w:szCs w:val="44"/>
        </w:rPr>
      </w:pPr>
    </w:p>
    <w:p w14:paraId="5FF003F2" w14:textId="669EC1C9" w:rsidR="00A6082B" w:rsidRPr="00A6082B" w:rsidRDefault="00A6082B" w:rsidP="006137F2">
      <w:pPr>
        <w:pStyle w:val="Heading1"/>
        <w:spacing w:line="480" w:lineRule="auto"/>
      </w:pPr>
      <w:bookmarkStart w:id="0" w:name="_Toc215360447"/>
      <w:r w:rsidRPr="00A6082B">
        <w:t>Abstract</w:t>
      </w:r>
      <w:bookmarkEnd w:id="0"/>
      <w:r w:rsidRPr="00A6082B">
        <w:t xml:space="preserve"> </w:t>
      </w:r>
    </w:p>
    <w:p w14:paraId="6A333141" w14:textId="658C25B9" w:rsidR="00885A6C" w:rsidRPr="00332A23" w:rsidRDefault="00885A6C"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This research project investigates the intricate interactions of tourism development with conservation in protected areas and natural reserves. It uses consumer behaviour theory (Theory of Planned Behaviour and Value-Belief-Norm framework) to explore current behaviours of eco-tourists, identify obstacles to adopting sustainable behaviours, and quantify these behaviours on a national level. The groundwork for this project includes multiple case studies (Galapagos Islands), Costa Rica; Serengeti-Mara Ecosystem; Komodo National Park) and extensive secondary research, highlighting long-standing challenges facing eco-tourism: overtourism, revenue loss, wildlife disturbance, and weak governance. In addition, many ecosystems of eco-tourism models provide high levels of funding for conservation (80-90% of entry fees to Galapagos Islands are allocated to conservation) and that a community-based approach to tourism has led to a significant reduction in deforestation in Costa Rica. To promote more sustainable practices, recommendations such as developing dynamic pricing, the use of blockchain for tracking conservation fees, low-impact infrastructure created through parametric design and using Augmented Reality/Virtual Reality for immersive pre-visit education are also discussed in this paper. The ultimate conclusion of this work is that tourism has the potential to become a net positive influence for conservation when visitor behaviour is intentionally influenced, the local community benefits financially, and the carrying capacity of ecosystems is enforced with current data.</w:t>
      </w:r>
    </w:p>
    <w:p w14:paraId="1D9738A9" w14:textId="765E6A63" w:rsidR="00885A6C" w:rsidRPr="00332A23" w:rsidRDefault="00885A6C" w:rsidP="006137F2">
      <w:pPr>
        <w:spacing w:line="480" w:lineRule="auto"/>
        <w:rPr>
          <w:rFonts w:ascii="Times New Roman" w:hAnsi="Times New Roman" w:cs="Times New Roman"/>
          <w:sz w:val="24"/>
          <w:szCs w:val="24"/>
        </w:rPr>
      </w:pPr>
      <w:r w:rsidRPr="00332A23">
        <w:rPr>
          <w:rFonts w:ascii="Times New Roman" w:hAnsi="Times New Roman" w:cs="Times New Roman"/>
          <w:b/>
          <w:bCs/>
          <w:sz w:val="24"/>
          <w:szCs w:val="24"/>
        </w:rPr>
        <w:lastRenderedPageBreak/>
        <w:t>Keywords:</w:t>
      </w:r>
      <w:r w:rsidRPr="00332A23">
        <w:rPr>
          <w:rFonts w:ascii="Times New Roman" w:hAnsi="Times New Roman" w:cs="Times New Roman"/>
          <w:sz w:val="24"/>
          <w:szCs w:val="24"/>
        </w:rPr>
        <w:t xml:space="preserve"> eco-tourism, protected areas, conservation financing, visitor behaviour, carrying capacity, community-based tourism</w:t>
      </w:r>
      <w:r w:rsidR="006137F2">
        <w:rPr>
          <w:rFonts w:ascii="Times New Roman" w:hAnsi="Times New Roman" w:cs="Times New Roman"/>
          <w:sz w:val="24"/>
          <w:szCs w:val="24"/>
        </w:rPr>
        <w:t>.</w:t>
      </w:r>
    </w:p>
    <w:p w14:paraId="04700362" w14:textId="09B44DB8" w:rsidR="00A6082B" w:rsidRPr="00A6082B" w:rsidRDefault="00A6082B" w:rsidP="006137F2">
      <w:pPr>
        <w:pStyle w:val="Heading1"/>
        <w:spacing w:line="480" w:lineRule="auto"/>
      </w:pPr>
      <w:bookmarkStart w:id="1" w:name="_Toc215360448"/>
      <w:r w:rsidRPr="00A6082B">
        <w:t>Introduction</w:t>
      </w:r>
      <w:bookmarkEnd w:id="1"/>
    </w:p>
    <w:p w14:paraId="2D3A959F" w14:textId="513FB18A" w:rsidR="00885A6C" w:rsidRPr="00332A23" w:rsidRDefault="00885A6C"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Protected Areas (PAs) such as national parks and nature reserves for all of humanity's resources. The role of these PAs is to protect biodiversity, store carbon, provide ecosystem services. As of 2024, 17.2% of the earth's land/inland water and 8.4% of the global ocean are designated as PAs (UNEP-WCMC and IUCN). Tourism pressure on these relatively fragile areas have ballooned to unprecedented sizes since the global pandemic. In 2024 alone, international tourist arrivals exceeded 1.5 billion people; a significant increase from pre-COVID numbers, and the segment of this market composed of nature-based/wildlife tourism has seen an annual increase of 7-10%, far greater than other segments of the tourism industry (UNWTO). As tourism continues to grow at such a dramatic rate, this creates the paradox where the same activity which will generate revenue for conservation efforts and promote global awareness of threatened ecosystems threatens to degrade the same natural resources it relies on for success.</w:t>
      </w:r>
    </w:p>
    <w:p w14:paraId="103BBBA9" w14:textId="77777777" w:rsidR="00885A6C" w:rsidRPr="00332A23" w:rsidRDefault="00885A6C"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 xml:space="preserve">With that said, the economic rewards associated with tourism in these PAs is enormous. In many well-known PAs, the management budgets are funded largely (30-100%) by tourism revenue (Spenceley et al. 2021) and the industry has become accepted as one of the few remaining sustainable funding sources as support for conservation dwindles from government and non-profit organizations. Even though PAs offer the opportunity to manage visitation patterns through the development of different levels of experience for guests, poor management practices have contributed to the continued decline of many PAs and caused serious ecological degradation such as compaction of soils, changes in wildlife behaviour, </w:t>
      </w:r>
      <w:r w:rsidRPr="00332A23">
        <w:rPr>
          <w:rFonts w:ascii="Times New Roman" w:hAnsi="Times New Roman" w:cs="Times New Roman"/>
          <w:sz w:val="24"/>
          <w:szCs w:val="24"/>
        </w:rPr>
        <w:lastRenderedPageBreak/>
        <w:t>introduction and establishment of invasive species, trampling of corals, and accumulation of waste (Hausmann et al. 2024).</w:t>
      </w:r>
    </w:p>
    <w:p w14:paraId="71F9941C" w14:textId="77777777" w:rsidR="00885A6C" w:rsidRPr="00332A23" w:rsidRDefault="00885A6C"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The purpose of this project is to investigate how protected areas and natural wildlife reserves can be utilized by tourism to support and assist in the conservation of these areas rather than becoming a threat to them. The main research question is: How do you create a properly managed and developed tourism strategy for protected areas and natural wildlife reserves that will not only support the long-term conservation of land and resources but that also incorporates sustainable environmental, economic, and social practices?</w:t>
      </w:r>
    </w:p>
    <w:p w14:paraId="0EB3E8D1" w14:textId="77777777" w:rsidR="00885A6C" w:rsidRPr="00332A23" w:rsidRDefault="00885A6C" w:rsidP="006137F2">
      <w:pPr>
        <w:spacing w:line="480" w:lineRule="auto"/>
        <w:rPr>
          <w:rFonts w:ascii="Times New Roman" w:hAnsi="Times New Roman" w:cs="Times New Roman"/>
          <w:b/>
          <w:bCs/>
          <w:sz w:val="24"/>
          <w:szCs w:val="24"/>
        </w:rPr>
      </w:pPr>
      <w:r w:rsidRPr="00332A23">
        <w:rPr>
          <w:rFonts w:ascii="Times New Roman" w:hAnsi="Times New Roman" w:cs="Times New Roman"/>
          <w:b/>
          <w:bCs/>
          <w:sz w:val="24"/>
          <w:szCs w:val="24"/>
        </w:rPr>
        <w:t>The specific objectives include:</w:t>
      </w:r>
    </w:p>
    <w:p w14:paraId="26F74A1B" w14:textId="136AE2B5" w:rsidR="00885A6C" w:rsidRPr="00332A23" w:rsidRDefault="00885A6C" w:rsidP="006137F2">
      <w:pPr>
        <w:pStyle w:val="ListParagraph"/>
        <w:numPr>
          <w:ilvl w:val="0"/>
          <w:numId w:val="9"/>
        </w:numPr>
        <w:spacing w:line="480" w:lineRule="auto"/>
        <w:rPr>
          <w:rFonts w:ascii="Times New Roman" w:hAnsi="Times New Roman" w:cs="Times New Roman"/>
          <w:sz w:val="24"/>
          <w:szCs w:val="24"/>
        </w:rPr>
      </w:pPr>
      <w:r w:rsidRPr="00332A23">
        <w:rPr>
          <w:rFonts w:ascii="Times New Roman" w:hAnsi="Times New Roman" w:cs="Times New Roman"/>
          <w:sz w:val="24"/>
          <w:szCs w:val="24"/>
        </w:rPr>
        <w:t>Using established consumer behaviour theories to better understand and influence how visitors make decisions about visiting and behave while on-site (Theory of Planned Behaviour and Value-Belief-Norm).</w:t>
      </w:r>
    </w:p>
    <w:p w14:paraId="77E2BFC7" w14:textId="6D2DBFA1" w:rsidR="00885A6C" w:rsidRPr="00332A23" w:rsidRDefault="00885A6C" w:rsidP="006137F2">
      <w:pPr>
        <w:pStyle w:val="ListParagraph"/>
        <w:numPr>
          <w:ilvl w:val="0"/>
          <w:numId w:val="9"/>
        </w:numPr>
        <w:spacing w:line="480" w:lineRule="auto"/>
        <w:rPr>
          <w:rFonts w:ascii="Times New Roman" w:hAnsi="Times New Roman" w:cs="Times New Roman"/>
          <w:sz w:val="24"/>
          <w:szCs w:val="24"/>
        </w:rPr>
      </w:pPr>
      <w:r w:rsidRPr="00332A23">
        <w:rPr>
          <w:rFonts w:ascii="Times New Roman" w:hAnsi="Times New Roman" w:cs="Times New Roman"/>
          <w:sz w:val="24"/>
          <w:szCs w:val="24"/>
        </w:rPr>
        <w:t>Researching current visitor behaviour patterns, including the growing consumer trend toward "performative eco-tourism" with respect to social media and the consumer behaviour attitude–behaviour gap.</w:t>
      </w:r>
    </w:p>
    <w:p w14:paraId="50E42A8E" w14:textId="2595F625" w:rsidR="00885A6C" w:rsidRPr="00332A23" w:rsidRDefault="00885A6C" w:rsidP="006137F2">
      <w:pPr>
        <w:pStyle w:val="ListParagraph"/>
        <w:numPr>
          <w:ilvl w:val="0"/>
          <w:numId w:val="9"/>
        </w:numPr>
        <w:spacing w:line="480" w:lineRule="auto"/>
        <w:rPr>
          <w:rFonts w:ascii="Times New Roman" w:hAnsi="Times New Roman" w:cs="Times New Roman"/>
          <w:sz w:val="24"/>
          <w:szCs w:val="24"/>
        </w:rPr>
      </w:pPr>
      <w:r w:rsidRPr="00332A23">
        <w:rPr>
          <w:rFonts w:ascii="Times New Roman" w:hAnsi="Times New Roman" w:cs="Times New Roman"/>
          <w:sz w:val="24"/>
          <w:szCs w:val="24"/>
        </w:rPr>
        <w:t>Examining the realities of four unique case studies (the highly-structured regulatory framework of the Galápagos Islands, the sustainable community-centred conservation model of Costa Rica, the heavily-utilized safari tourism operation of the Serengeti–Mara region of Africa, and the innovative price-experimentation model being utilized in Komodo National Park) to identify the similarities and differences in what has been successful, what has not been successful, and how those lessons can be applied to the tourism management processes of protected areas and natural wildlife reserves.</w:t>
      </w:r>
    </w:p>
    <w:p w14:paraId="418F02C1" w14:textId="0AA94505" w:rsidR="00885A6C" w:rsidRPr="00332A23" w:rsidRDefault="00885A6C" w:rsidP="006137F2">
      <w:pPr>
        <w:pStyle w:val="ListParagraph"/>
        <w:numPr>
          <w:ilvl w:val="0"/>
          <w:numId w:val="9"/>
        </w:numPr>
        <w:spacing w:line="480" w:lineRule="auto"/>
        <w:rPr>
          <w:rFonts w:ascii="Times New Roman" w:hAnsi="Times New Roman" w:cs="Times New Roman"/>
          <w:sz w:val="24"/>
          <w:szCs w:val="24"/>
        </w:rPr>
      </w:pPr>
      <w:r w:rsidRPr="00332A23">
        <w:rPr>
          <w:rFonts w:ascii="Times New Roman" w:hAnsi="Times New Roman" w:cs="Times New Roman"/>
          <w:sz w:val="24"/>
          <w:szCs w:val="24"/>
        </w:rPr>
        <w:t xml:space="preserve">Providing innovative, evidence-based management strategies for tourism in protected areas and natural wildlife reserves utilizing behavioural science, digital technologies, </w:t>
      </w:r>
      <w:r w:rsidRPr="00332A23">
        <w:rPr>
          <w:rFonts w:ascii="Times New Roman" w:hAnsi="Times New Roman" w:cs="Times New Roman"/>
          <w:sz w:val="24"/>
          <w:szCs w:val="24"/>
        </w:rPr>
        <w:lastRenderedPageBreak/>
        <w:t>and inclusive governance systems, taking into account the social and environmental sustainability of tourism.</w:t>
      </w:r>
    </w:p>
    <w:p w14:paraId="5658631E" w14:textId="32A1EB38" w:rsidR="00885A6C" w:rsidRPr="00A6082B" w:rsidRDefault="00A6082B" w:rsidP="006137F2">
      <w:pPr>
        <w:pStyle w:val="Heading1"/>
        <w:spacing w:line="480" w:lineRule="auto"/>
      </w:pPr>
      <w:bookmarkStart w:id="2" w:name="_Toc215360449"/>
      <w:r w:rsidRPr="00A6082B">
        <w:t>Literature Review</w:t>
      </w:r>
      <w:bookmarkEnd w:id="2"/>
      <w:r w:rsidRPr="00A6082B">
        <w:t xml:space="preserve"> </w:t>
      </w:r>
    </w:p>
    <w:p w14:paraId="1366FB9A" w14:textId="44965910" w:rsidR="00706DE1" w:rsidRPr="006137F2" w:rsidRDefault="00706DE1" w:rsidP="006137F2">
      <w:pPr>
        <w:spacing w:line="480" w:lineRule="auto"/>
        <w:rPr>
          <w:rFonts w:ascii="Times New Roman" w:hAnsi="Times New Roman" w:cs="Times New Roman"/>
          <w:b/>
          <w:bCs/>
          <w:sz w:val="24"/>
          <w:szCs w:val="24"/>
        </w:rPr>
      </w:pPr>
      <w:r w:rsidRPr="006137F2">
        <w:rPr>
          <w:rFonts w:ascii="Times New Roman" w:hAnsi="Times New Roman" w:cs="Times New Roman"/>
          <w:b/>
          <w:bCs/>
          <w:sz w:val="24"/>
          <w:szCs w:val="24"/>
        </w:rPr>
        <w:t>Conceptualized Theoretical Framework for Eco-Tourism User Behaviours</w:t>
      </w:r>
    </w:p>
    <w:p w14:paraId="70CEED94" w14:textId="593F605F" w:rsidR="00706DE1" w:rsidRPr="00332A23" w:rsidRDefault="00706DE1"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 xml:space="preserve">The most accepted and utilized theory, The Theory of Planned Behaviour (TPB) (Ajzen, 1991), has been the most common model used in eco-tourism research. Meta-analyses indicated that 39-52% of the variance in protected area visitors' intentions was explained by their attitudes towards sustainable behaviours, subjective norms, and perceived behavioural control (Brown et al, 2022). Most recent extensions of the TPB model include the addition of moral norms via the Value Belief Norm Theory (VBN) (Stern et al, 1999), which has been shown to be exceptionally powerful in determining individuals’ willingness to accept restrictions or pay a conservation fee (López-Mosquera and Sánchez, 2023). </w:t>
      </w:r>
    </w:p>
    <w:p w14:paraId="4D7D2E2B" w14:textId="445B43D0" w:rsidR="00706DE1" w:rsidRPr="006137F2" w:rsidRDefault="00706DE1" w:rsidP="006137F2">
      <w:pPr>
        <w:spacing w:line="480" w:lineRule="auto"/>
        <w:rPr>
          <w:rFonts w:ascii="Times New Roman" w:hAnsi="Times New Roman" w:cs="Times New Roman"/>
          <w:sz w:val="24"/>
          <w:szCs w:val="24"/>
        </w:rPr>
      </w:pPr>
      <w:r w:rsidRPr="006137F2">
        <w:rPr>
          <w:rFonts w:ascii="Times New Roman" w:hAnsi="Times New Roman" w:cs="Times New Roman"/>
          <w:sz w:val="24"/>
          <w:szCs w:val="24"/>
        </w:rPr>
        <w:t>Human Behaviour Patterns and Cognitive Dissonance in Ecotourism</w:t>
      </w:r>
    </w:p>
    <w:p w14:paraId="5660F492" w14:textId="4DFAF2C2" w:rsidR="00706DE1" w:rsidRPr="00332A23" w:rsidRDefault="00706DE1" w:rsidP="006137F2">
      <w:pPr>
        <w:spacing w:line="480" w:lineRule="auto"/>
        <w:rPr>
          <w:rFonts w:ascii="Times New Roman" w:hAnsi="Times New Roman" w:cs="Times New Roman"/>
          <w:b/>
          <w:bCs/>
          <w:sz w:val="24"/>
          <w:szCs w:val="24"/>
        </w:rPr>
      </w:pPr>
      <w:r w:rsidRPr="00332A23">
        <w:rPr>
          <w:rFonts w:ascii="Times New Roman" w:hAnsi="Times New Roman" w:cs="Times New Roman"/>
          <w:sz w:val="24"/>
          <w:szCs w:val="24"/>
        </w:rPr>
        <w:t>Recent studies have documented a consistent "attitude-behaviour gap" within ecotourism. Surveys indicate more than 85% of visitors to national parks self-identify as "environmentally conscious" yet exhibit behaviours such as walking off the trail, feeding wildlife, or using single-use plastics that are inconsistent with their stated environmental values (Miller et al, 2023). Instagram able destinations, fuelled by social media, have contributed to increased levels of unsustainability; hotspots have experienced a 200% to 300% increase</w:t>
      </w:r>
      <w:r w:rsidRPr="00332A23">
        <w:rPr>
          <w:rFonts w:ascii="Times New Roman" w:hAnsi="Times New Roman" w:cs="Times New Roman"/>
          <w:b/>
          <w:bCs/>
          <w:sz w:val="24"/>
          <w:szCs w:val="24"/>
        </w:rPr>
        <w:t xml:space="preserve"> </w:t>
      </w:r>
      <w:r w:rsidRPr="00332A23">
        <w:rPr>
          <w:rFonts w:ascii="Times New Roman" w:hAnsi="Times New Roman" w:cs="Times New Roman"/>
          <w:sz w:val="24"/>
          <w:szCs w:val="24"/>
        </w:rPr>
        <w:t>in visitation rates in the weeks immediately following viral posts (Hausmann et al., 2024).</w:t>
      </w:r>
    </w:p>
    <w:p w14:paraId="609373C8" w14:textId="77777777" w:rsidR="00706DE1" w:rsidRPr="006137F2" w:rsidRDefault="00706DE1" w:rsidP="006137F2">
      <w:pPr>
        <w:spacing w:line="480" w:lineRule="auto"/>
        <w:rPr>
          <w:rFonts w:ascii="Times New Roman" w:hAnsi="Times New Roman" w:cs="Times New Roman"/>
          <w:b/>
          <w:bCs/>
          <w:sz w:val="24"/>
          <w:szCs w:val="24"/>
        </w:rPr>
      </w:pPr>
      <w:r w:rsidRPr="006137F2">
        <w:rPr>
          <w:rFonts w:ascii="Times New Roman" w:hAnsi="Times New Roman" w:cs="Times New Roman"/>
          <w:b/>
          <w:bCs/>
          <w:sz w:val="24"/>
          <w:szCs w:val="24"/>
        </w:rPr>
        <w:t>Capacity Limits and Changes of Acceptable Limits (LAC)</w:t>
      </w:r>
    </w:p>
    <w:p w14:paraId="32CC4691" w14:textId="77777777" w:rsidR="00706DE1" w:rsidRPr="00332A23" w:rsidRDefault="00706DE1"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lastRenderedPageBreak/>
        <w:t>LAC Frameworks (Stankey et al, 1985) and its successor VERP have been the two major methods employed for park planning in the United States and Australia. More current advancements have integrated the use of IoT Real-Time Data of Sensor Networks and Machine Learning Predictive Models to create and utilize dynamic carrying capacities (Eagles et al, 2022).</w:t>
      </w:r>
    </w:p>
    <w:p w14:paraId="72B8890C" w14:textId="77777777" w:rsidR="00706DE1" w:rsidRPr="006137F2" w:rsidRDefault="00706DE1" w:rsidP="006137F2">
      <w:pPr>
        <w:spacing w:line="480" w:lineRule="auto"/>
        <w:rPr>
          <w:rFonts w:ascii="Times New Roman" w:hAnsi="Times New Roman" w:cs="Times New Roman"/>
          <w:b/>
          <w:bCs/>
          <w:sz w:val="24"/>
          <w:szCs w:val="24"/>
        </w:rPr>
      </w:pPr>
      <w:r w:rsidRPr="006137F2">
        <w:rPr>
          <w:rFonts w:ascii="Times New Roman" w:hAnsi="Times New Roman" w:cs="Times New Roman"/>
          <w:b/>
          <w:bCs/>
          <w:sz w:val="24"/>
          <w:szCs w:val="24"/>
        </w:rPr>
        <w:t>Tourism's Contribution to Conservation/Conserving Nature Through Travel &amp; Tourism</w:t>
      </w:r>
    </w:p>
    <w:p w14:paraId="3D6FEAFB" w14:textId="77777777" w:rsidR="00706DE1" w:rsidRPr="00332A23" w:rsidRDefault="00706DE1"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Charging appropriate amounts for entry fees, concession fees, and voluntary donations can provide (in many cases, 50–100 %) for the management of protected areas in moderately developed and developed nations (Spenceley et al., 2021). Contrarily, that same practice in developing nations usually results in almost no revenue retained by the destination as revenue leakage (taking money away from the protected area) exceeds 70 % in many cases (UNEP, 2023).</w:t>
      </w:r>
    </w:p>
    <w:p w14:paraId="355340AD" w14:textId="09966B64" w:rsidR="00A6082B" w:rsidRPr="00A6082B" w:rsidRDefault="00A6082B" w:rsidP="006137F2">
      <w:pPr>
        <w:pStyle w:val="Heading1"/>
        <w:spacing w:line="480" w:lineRule="auto"/>
      </w:pPr>
      <w:bookmarkStart w:id="3" w:name="_Toc215360450"/>
      <w:r w:rsidRPr="00A6082B">
        <w:t>Methodology</w:t>
      </w:r>
      <w:bookmarkEnd w:id="3"/>
      <w:r w:rsidRPr="00A6082B">
        <w:t xml:space="preserve"> </w:t>
      </w:r>
    </w:p>
    <w:p w14:paraId="68F5445A" w14:textId="6308FF86" w:rsidR="00706DE1" w:rsidRPr="00332A23" w:rsidRDefault="00706DE1"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This research utilized a mix of methods and secondary data, but very heavily relied on qualitative approaches. The research design utilised the secondary data available due to the importance of the topic, making it logistically difficult for students to conduct primary data collection globally and financially prohibitive for students to collect primary data from multiple international conservation areas.</w:t>
      </w:r>
    </w:p>
    <w:p w14:paraId="17E0518B" w14:textId="6B3F91AB" w:rsidR="00706DE1" w:rsidRPr="006137F2" w:rsidRDefault="00706DE1" w:rsidP="006137F2">
      <w:pPr>
        <w:spacing w:line="480" w:lineRule="auto"/>
        <w:rPr>
          <w:rFonts w:ascii="Times New Roman" w:hAnsi="Times New Roman" w:cs="Times New Roman"/>
          <w:b/>
          <w:bCs/>
          <w:sz w:val="24"/>
          <w:szCs w:val="24"/>
        </w:rPr>
      </w:pPr>
      <w:r w:rsidRPr="006137F2">
        <w:rPr>
          <w:rFonts w:ascii="Times New Roman" w:hAnsi="Times New Roman" w:cs="Times New Roman"/>
          <w:b/>
          <w:bCs/>
          <w:sz w:val="24"/>
          <w:szCs w:val="24"/>
        </w:rPr>
        <w:t>Research method and philosophical base of research</w:t>
      </w:r>
    </w:p>
    <w:p w14:paraId="2F6924F3" w14:textId="09B29717" w:rsidR="006137F2" w:rsidRPr="00332A23" w:rsidRDefault="00706DE1"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 xml:space="preserve">The research is founded on the assumption that there is an objective reality in nature and the economy (e.g. carrying capacity, revenue stream, stress hormone levels in animals), but these will be impacted by the human institutions, cultural beliefs and governance structure that affect them. </w:t>
      </w:r>
      <w:r w:rsidR="00332A23" w:rsidRPr="00332A23">
        <w:rPr>
          <w:rFonts w:ascii="Times New Roman" w:hAnsi="Times New Roman" w:cs="Times New Roman"/>
          <w:sz w:val="24"/>
          <w:szCs w:val="24"/>
        </w:rPr>
        <w:t>Thus,</w:t>
      </w:r>
      <w:r w:rsidRPr="00332A23">
        <w:rPr>
          <w:rFonts w:ascii="Times New Roman" w:hAnsi="Times New Roman" w:cs="Times New Roman"/>
          <w:sz w:val="24"/>
          <w:szCs w:val="24"/>
        </w:rPr>
        <w:t xml:space="preserve"> to create a professional mode of analysis the study adopted a hybrid of </w:t>
      </w:r>
      <w:r w:rsidRPr="00332A23">
        <w:rPr>
          <w:rFonts w:ascii="Times New Roman" w:hAnsi="Times New Roman" w:cs="Times New Roman"/>
          <w:sz w:val="24"/>
          <w:szCs w:val="24"/>
        </w:rPr>
        <w:lastRenderedPageBreak/>
        <w:t>both deductive-inductive approaches. Theoretical frameworks (TPB, VBN and LAC) were used to deductively develop an understanding for the issue being examined, and then these theoretical frameworks were used to establish a basis by identifying emerging themes from the case studies being examined (e.g. the use of blockchain for monitoring; the use of social media for short-term visitation).</w:t>
      </w:r>
    </w:p>
    <w:p w14:paraId="3AEF9F87" w14:textId="3B64F9F9" w:rsidR="00A6082B" w:rsidRPr="006137F2" w:rsidRDefault="00A6082B" w:rsidP="006137F2">
      <w:pPr>
        <w:spacing w:line="480" w:lineRule="auto"/>
        <w:rPr>
          <w:rFonts w:ascii="Times New Roman" w:hAnsi="Times New Roman" w:cs="Times New Roman"/>
          <w:b/>
          <w:bCs/>
          <w:sz w:val="24"/>
          <w:szCs w:val="24"/>
        </w:rPr>
      </w:pPr>
      <w:r w:rsidRPr="006137F2">
        <w:rPr>
          <w:rFonts w:ascii="Times New Roman" w:hAnsi="Times New Roman" w:cs="Times New Roman"/>
          <w:b/>
          <w:bCs/>
          <w:sz w:val="24"/>
          <w:szCs w:val="24"/>
        </w:rPr>
        <w:t>Case Study Selection</w:t>
      </w:r>
    </w:p>
    <w:p w14:paraId="48BA4749" w14:textId="77777777" w:rsidR="00706DE1" w:rsidRPr="00332A23" w:rsidRDefault="00706DE1"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Purposeful maximum-variation sampling was used to study four different types of PA Systems to represent the diversity in key factors associated with PA sustainability (Eisenhardt &amp; Graebner 2007). The following criteria were used to identify four representative PAs:</w:t>
      </w:r>
    </w:p>
    <w:p w14:paraId="2D4DA013" w14:textId="596DD711" w:rsidR="00706DE1" w:rsidRPr="00332A23" w:rsidRDefault="00706DE1" w:rsidP="006137F2">
      <w:pPr>
        <w:pStyle w:val="ListParagraph"/>
        <w:numPr>
          <w:ilvl w:val="0"/>
          <w:numId w:val="10"/>
        </w:numPr>
        <w:spacing w:line="480" w:lineRule="auto"/>
        <w:rPr>
          <w:rFonts w:ascii="Times New Roman" w:hAnsi="Times New Roman" w:cs="Times New Roman"/>
          <w:sz w:val="24"/>
          <w:szCs w:val="24"/>
        </w:rPr>
      </w:pPr>
      <w:r w:rsidRPr="00332A23">
        <w:rPr>
          <w:rFonts w:ascii="Times New Roman" w:hAnsi="Times New Roman" w:cs="Times New Roman"/>
          <w:sz w:val="24"/>
          <w:szCs w:val="24"/>
        </w:rPr>
        <w:t>The governance model was defined as: (1) State-controlled (Galápagos Islands); (2) a combination of public, private, and community interests (Costa Rica); (3) A transboundary system, with significant tourism demand for safari-style experiences (Serengeti-Mara) and a premium price experiment in a controversial manner (Komodo).</w:t>
      </w:r>
    </w:p>
    <w:p w14:paraId="71ADCC71" w14:textId="10FC1CEE" w:rsidR="00332A23" w:rsidRPr="00332A23" w:rsidRDefault="00706DE1" w:rsidP="006137F2">
      <w:pPr>
        <w:pStyle w:val="ListParagraph"/>
        <w:numPr>
          <w:ilvl w:val="0"/>
          <w:numId w:val="10"/>
        </w:numPr>
        <w:spacing w:line="480" w:lineRule="auto"/>
        <w:rPr>
          <w:rFonts w:ascii="Times New Roman" w:hAnsi="Times New Roman" w:cs="Times New Roman"/>
          <w:sz w:val="24"/>
          <w:szCs w:val="24"/>
        </w:rPr>
      </w:pPr>
      <w:r w:rsidRPr="00332A23">
        <w:rPr>
          <w:rFonts w:ascii="Times New Roman" w:hAnsi="Times New Roman" w:cs="Times New Roman"/>
          <w:sz w:val="24"/>
          <w:szCs w:val="24"/>
        </w:rPr>
        <w:t>Biodiversity Importance: All four study sites are recognized as UNESCO World Heritage Sites and part of the Global 200 Ecoregions.</w:t>
      </w:r>
    </w:p>
    <w:p w14:paraId="03FCE47A" w14:textId="65E090F9" w:rsidR="00706DE1" w:rsidRPr="00332A23" w:rsidRDefault="00706DE1" w:rsidP="006137F2">
      <w:pPr>
        <w:pStyle w:val="ListParagraph"/>
        <w:numPr>
          <w:ilvl w:val="0"/>
          <w:numId w:val="10"/>
        </w:numPr>
        <w:spacing w:line="480" w:lineRule="auto"/>
        <w:rPr>
          <w:rFonts w:ascii="Times New Roman" w:hAnsi="Times New Roman" w:cs="Times New Roman"/>
          <w:sz w:val="24"/>
          <w:szCs w:val="24"/>
        </w:rPr>
      </w:pPr>
      <w:r w:rsidRPr="00332A23">
        <w:rPr>
          <w:rFonts w:ascii="Times New Roman" w:hAnsi="Times New Roman" w:cs="Times New Roman"/>
          <w:sz w:val="24"/>
          <w:szCs w:val="24"/>
        </w:rPr>
        <w:t>Level of tourism intensity: Low-volume, but high-value (Galápagos); medium-volume with a strong community involvement (Costa Rica); a high-volume, mass market safari experience (Serengeti-Mara); drastic management changes with a large drop in visitation and income due to the pandemic (Komodo).</w:t>
      </w:r>
    </w:p>
    <w:p w14:paraId="011B9094" w14:textId="7F00ABBE" w:rsidR="00706DE1" w:rsidRPr="00332A23" w:rsidRDefault="00706DE1" w:rsidP="006137F2">
      <w:pPr>
        <w:pStyle w:val="ListParagraph"/>
        <w:numPr>
          <w:ilvl w:val="0"/>
          <w:numId w:val="10"/>
        </w:numPr>
        <w:spacing w:line="480" w:lineRule="auto"/>
        <w:rPr>
          <w:rFonts w:ascii="Times New Roman" w:hAnsi="Times New Roman" w:cs="Times New Roman"/>
          <w:sz w:val="24"/>
          <w:szCs w:val="24"/>
        </w:rPr>
      </w:pPr>
      <w:r w:rsidRPr="00332A23">
        <w:rPr>
          <w:rFonts w:ascii="Times New Roman" w:hAnsi="Times New Roman" w:cs="Times New Roman"/>
          <w:sz w:val="24"/>
          <w:szCs w:val="24"/>
        </w:rPr>
        <w:t>Geographic and income-level differences: (1) Middle-income Latin American countries (Costa Rica and Ecuador); (2) low-income East Africa (Tanzania/Kenya); (3) Lower middle income Southeast Asia (Indonesia).</w:t>
      </w:r>
    </w:p>
    <w:p w14:paraId="19862ACD" w14:textId="77777777" w:rsidR="00706DE1" w:rsidRPr="006137F2" w:rsidRDefault="00706DE1" w:rsidP="006137F2">
      <w:pPr>
        <w:spacing w:line="480" w:lineRule="auto"/>
        <w:rPr>
          <w:rFonts w:ascii="Times New Roman" w:hAnsi="Times New Roman" w:cs="Times New Roman"/>
          <w:b/>
          <w:bCs/>
          <w:sz w:val="24"/>
          <w:szCs w:val="24"/>
        </w:rPr>
      </w:pPr>
      <w:r w:rsidRPr="006137F2">
        <w:rPr>
          <w:rFonts w:ascii="Times New Roman" w:hAnsi="Times New Roman" w:cs="Times New Roman"/>
          <w:b/>
          <w:bCs/>
          <w:sz w:val="24"/>
          <w:szCs w:val="24"/>
        </w:rPr>
        <w:t>Data Sources and Strategies to Search</w:t>
      </w:r>
    </w:p>
    <w:p w14:paraId="3C70B766" w14:textId="77777777" w:rsidR="007F6CBB" w:rsidRPr="00332A23" w:rsidRDefault="00706DE1"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lastRenderedPageBreak/>
        <w:t>A standardized replicable search method used between 10-25 November 2020. Five databases were evaluated for documentation: Scopus, ISI Web of Science Core Collection; Google Scholar (first 300 titles produced by a query); JSTOR; and the IUCN Library System. The initial search terms were protected area, tourist, and management strategy. The search was restricted to documents published after 2019. The rules of the search were that documents published in English would be the only types of documentation considered, and only peer-reviewed journals or grey literature produced by institutions such as the IUCN, UNEP, UNESCO, World Bank, or National Parks. The search produced 487 documents. After duplicate removal and evaluating titles and abstracts, full-text reviews were conducted on 112 of the initial documents, resulting in the inclusion of only 68 documents.</w:t>
      </w:r>
    </w:p>
    <w:p w14:paraId="28611A6E" w14:textId="77777777" w:rsidR="007F6CBB" w:rsidRPr="006137F2" w:rsidRDefault="007F6CBB" w:rsidP="006137F2">
      <w:pPr>
        <w:spacing w:line="480" w:lineRule="auto"/>
        <w:rPr>
          <w:rFonts w:ascii="Times New Roman" w:hAnsi="Times New Roman" w:cs="Times New Roman"/>
          <w:b/>
          <w:bCs/>
          <w:sz w:val="24"/>
          <w:szCs w:val="24"/>
        </w:rPr>
      </w:pPr>
      <w:r w:rsidRPr="006137F2">
        <w:rPr>
          <w:rFonts w:ascii="Times New Roman" w:hAnsi="Times New Roman" w:cs="Times New Roman"/>
          <w:b/>
          <w:bCs/>
          <w:sz w:val="24"/>
          <w:szCs w:val="24"/>
        </w:rPr>
        <w:t>Data Analysis</w:t>
      </w:r>
    </w:p>
    <w:p w14:paraId="303FC2EE" w14:textId="77777777" w:rsidR="007F6CBB" w:rsidRPr="00332A23" w:rsidRDefault="007F6CBB"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 xml:space="preserve">NVivo 14 was used to import the qualitative data and perform thematic analysis using Braun and Clarke's (2021) six-phase framework. A codebook, which consisted of TPB/VBN constructs (attitude, subjective norm, perceived behavioural control, personal norm, awareness of consequences) and DPSIR elements (Drivers, Pressures, State, Impact, Response), was created deductively. Inductively created codes were also developed based upon new phenomena identified within the qualitative data such as "social media flash crowding," "blockchain conservation trust," and "AR behaviour priming." The researcher coded all documents using a double coding process in two cycles which were separated by a three-week period to strengthen the validity of the analysis; as a result, inter-cycle agreement was greater than 94%. </w:t>
      </w:r>
    </w:p>
    <w:p w14:paraId="1925FD8E" w14:textId="77777777" w:rsidR="007F6CBB" w:rsidRPr="00332A23" w:rsidRDefault="007F6CBB"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 xml:space="preserve">For the quantitative data (visitor numbers/revenue allocation percentages/wildlife disturbance indices/hormone levels/deforestation rate), data were extracted into a standardised Excel matrix and where possible, cross-validated against two or more independent data sources. </w:t>
      </w:r>
      <w:r w:rsidRPr="00332A23">
        <w:rPr>
          <w:rFonts w:ascii="Times New Roman" w:hAnsi="Times New Roman" w:cs="Times New Roman"/>
          <w:sz w:val="24"/>
          <w:szCs w:val="24"/>
        </w:rPr>
        <w:lastRenderedPageBreak/>
        <w:t xml:space="preserve">Whenever possible, normalisation procedures were applied to adjust units to create uniformity (e.g., revenue per visitor/per cent of management budget covered by tourism). Simple comparative statistics/trend lines are presented in SPSS 29 and compiled into a synthesis table that appears in the Findings section. </w:t>
      </w:r>
    </w:p>
    <w:p w14:paraId="39DA892C" w14:textId="77777777" w:rsidR="007F6CBB" w:rsidRPr="006137F2" w:rsidRDefault="007F6CBB" w:rsidP="006137F2">
      <w:pPr>
        <w:spacing w:line="480" w:lineRule="auto"/>
        <w:rPr>
          <w:rFonts w:ascii="Times New Roman" w:hAnsi="Times New Roman" w:cs="Times New Roman"/>
          <w:b/>
          <w:bCs/>
          <w:sz w:val="24"/>
          <w:szCs w:val="24"/>
        </w:rPr>
      </w:pPr>
      <w:r w:rsidRPr="006137F2">
        <w:rPr>
          <w:rFonts w:ascii="Times New Roman" w:hAnsi="Times New Roman" w:cs="Times New Roman"/>
          <w:b/>
          <w:bCs/>
          <w:sz w:val="24"/>
          <w:szCs w:val="24"/>
        </w:rPr>
        <w:t>Quality Assurance and Ethics</w:t>
      </w:r>
    </w:p>
    <w:p w14:paraId="6CB63705" w14:textId="0C146635" w:rsidR="007F6CBB" w:rsidRPr="00332A23" w:rsidRDefault="007F6CBB"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Although this study is considered secondary research, the ethical principles in this research were followed based on the ethical principles of accuracy, transparency, and acknowledgment of original authors. The data sources used to compile data in this study were publicly available and properly cited. Some limitations of this study include the potential to have a publication bias toward "success stories" and the inability to access certain datasets classified as anti-poaching security by some park authorities. All these limitations were addressed by the use of multiple sources and by explicitly stating the data gaps, such as, for example, what the share of benefits from the community in the Serengeti was.</w:t>
      </w:r>
    </w:p>
    <w:p w14:paraId="539BBEE2" w14:textId="341DF944" w:rsidR="007F6CBB" w:rsidRPr="007F6CBB" w:rsidRDefault="007F6CBB" w:rsidP="006137F2">
      <w:pPr>
        <w:pStyle w:val="Heading1"/>
        <w:spacing w:line="480" w:lineRule="auto"/>
      </w:pPr>
      <w:bookmarkStart w:id="4" w:name="_Toc215360451"/>
      <w:r w:rsidRPr="007F6CBB">
        <w:t>Findings</w:t>
      </w:r>
      <w:bookmarkEnd w:id="4"/>
      <w:r w:rsidRPr="007F6CBB">
        <w:t xml:space="preserve"> </w:t>
      </w:r>
    </w:p>
    <w:p w14:paraId="4F231A0B" w14:textId="77777777" w:rsidR="007F6CBB" w:rsidRPr="00332A23" w:rsidRDefault="007F6CBB" w:rsidP="006137F2">
      <w:pPr>
        <w:spacing w:line="480" w:lineRule="auto"/>
        <w:rPr>
          <w:rFonts w:ascii="Times New Roman" w:hAnsi="Times New Roman" w:cs="Times New Roman"/>
          <w:b/>
          <w:bCs/>
          <w:sz w:val="24"/>
          <w:szCs w:val="24"/>
        </w:rPr>
      </w:pPr>
      <w:r w:rsidRPr="00332A23">
        <w:rPr>
          <w:rFonts w:ascii="Times New Roman" w:hAnsi="Times New Roman" w:cs="Times New Roman"/>
          <w:b/>
          <w:bCs/>
          <w:sz w:val="24"/>
          <w:szCs w:val="24"/>
        </w:rPr>
        <w:t>Report Number One, Galapagos Islands (Country of Ecuador)</w:t>
      </w:r>
    </w:p>
    <w:p w14:paraId="0C428B6E" w14:textId="311E687F" w:rsidR="007F6CBB" w:rsidRPr="00332A23" w:rsidRDefault="007F6CBB"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 xml:space="preserve">The Galapagos Islands have a limit on the number of visitors that can visit the islands of just over 275,000 annually, and during the 2023 – 2024 time-frame, 97% of all visitors have gone through a pre-approved live aboard boat or day tour boat with the use of certified naturalist guides that have a guide-to-visitor ratio of 1 guide for every 10 visitors. Entrance fees ($100 for foreign visitors and $200 for cruise ship passengers) generated $27.4 million during 2023. According to statistics, 80-90% of that money is included in a legal ring-fenced budget that is allocated directly to the Galapagos National Park Directorate and the Galapagos Governing Council for conservation, research, invasive species control, and providing local services </w:t>
      </w:r>
      <w:r w:rsidRPr="00332A23">
        <w:rPr>
          <w:rFonts w:ascii="Times New Roman" w:hAnsi="Times New Roman" w:cs="Times New Roman"/>
          <w:sz w:val="24"/>
          <w:szCs w:val="24"/>
        </w:rPr>
        <w:lastRenderedPageBreak/>
        <w:t>(source - Galapagos Conservancy 2024). Ongoing monitoring of the impact of a mandatory orientation programme about Galapagos Islands that has been implemented since 2022 has shown a 60% reduction in illegal approach-distance violations, and 45% less marine debris, compared to prior to the implementation (Walsh et al., 2023).</w:t>
      </w:r>
    </w:p>
    <w:p w14:paraId="6FEBB8A0" w14:textId="77777777" w:rsidR="007F6CBB" w:rsidRPr="00332A23" w:rsidRDefault="007F6CBB" w:rsidP="006137F2">
      <w:pPr>
        <w:spacing w:line="480" w:lineRule="auto"/>
        <w:rPr>
          <w:rFonts w:ascii="Times New Roman" w:hAnsi="Times New Roman" w:cs="Times New Roman"/>
          <w:b/>
          <w:bCs/>
          <w:sz w:val="24"/>
          <w:szCs w:val="24"/>
        </w:rPr>
      </w:pPr>
      <w:r w:rsidRPr="00332A23">
        <w:rPr>
          <w:rFonts w:ascii="Times New Roman" w:hAnsi="Times New Roman" w:cs="Times New Roman"/>
          <w:b/>
          <w:bCs/>
          <w:sz w:val="24"/>
          <w:szCs w:val="24"/>
        </w:rPr>
        <w:t>Report Number Two, Costa Rica Protected-Area System</w:t>
      </w:r>
    </w:p>
    <w:p w14:paraId="6CEF7F1A" w14:textId="77777777" w:rsidR="007F6CBB" w:rsidRPr="00332A23" w:rsidRDefault="007F6CBB"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The entire country of Costa Rica has just over 26% of its land area designated as protected areas. Also, there are over 150 currently existing privately and community-based (non-state) protected areas located within Costa Rica alongside Costa Rica’s state-run protected area system (called SINAC). The protected areas that are co-managed with strong support from their respective communities have been shown to have deforestation rates of 35-45% less than the strictly protected areas that do not include co-management involvement from their respective communities and also have 60% higher numbers of large mammals than the strictly protected areas (Porras et al., 2023). In addition, an 8% percentage of money collected as a tourism departure tax, plus voluntary contributions collected from Costa Rican lodges have been used to create the Payment for Environmental Services (PES) Programme, which has contributed to the protection of an additional 1.2 million hectares of land from 1997 through 2024.</w:t>
      </w:r>
    </w:p>
    <w:p w14:paraId="4C2D8EA0" w14:textId="77777777" w:rsidR="007F6CBB" w:rsidRPr="00332A23" w:rsidRDefault="007F6CBB" w:rsidP="006137F2">
      <w:pPr>
        <w:spacing w:line="480" w:lineRule="auto"/>
        <w:rPr>
          <w:rFonts w:ascii="Times New Roman" w:hAnsi="Times New Roman" w:cs="Times New Roman"/>
          <w:b/>
          <w:bCs/>
          <w:sz w:val="24"/>
          <w:szCs w:val="24"/>
        </w:rPr>
      </w:pPr>
      <w:r w:rsidRPr="00332A23">
        <w:rPr>
          <w:rFonts w:ascii="Times New Roman" w:hAnsi="Times New Roman" w:cs="Times New Roman"/>
          <w:b/>
          <w:bCs/>
          <w:sz w:val="24"/>
          <w:szCs w:val="24"/>
        </w:rPr>
        <w:t xml:space="preserve">Report Number Three, The Serengeti-Mara Ecosystem in Tanzania and Kenya </w:t>
      </w:r>
    </w:p>
    <w:p w14:paraId="3B78EBD9" w14:textId="551D2221" w:rsidR="007F6CBB" w:rsidRPr="00332A23" w:rsidRDefault="007F6CBB"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 xml:space="preserve">They </w:t>
      </w:r>
      <w:r w:rsidR="00332A23" w:rsidRPr="00332A23">
        <w:rPr>
          <w:rFonts w:ascii="Times New Roman" w:hAnsi="Times New Roman" w:cs="Times New Roman"/>
          <w:sz w:val="24"/>
          <w:szCs w:val="24"/>
        </w:rPr>
        <w:t>host</w:t>
      </w:r>
      <w:r w:rsidRPr="00332A23">
        <w:rPr>
          <w:rFonts w:ascii="Times New Roman" w:hAnsi="Times New Roman" w:cs="Times New Roman"/>
          <w:sz w:val="24"/>
          <w:szCs w:val="24"/>
        </w:rPr>
        <w:t xml:space="preserve"> an estimated 600,000 plus visitors annually and generates direct tourism revenue for Tanzania estimated at $300 to $350 million dollars and represents 17% of Tanzania's annual foreign exchange earnings. Unfortunately, because of the amount of money that is lost to foreign airlines and operators, only about 30% of this revenue is actually invested back into Conservation Authorities or Local Communities. In studies of Lions conducted over 10 years, it is apparent that lions have an elevated amount of stress hormones, soil compaction is </w:t>
      </w:r>
      <w:r w:rsidRPr="00332A23">
        <w:rPr>
          <w:rFonts w:ascii="Times New Roman" w:hAnsi="Times New Roman" w:cs="Times New Roman"/>
          <w:sz w:val="24"/>
          <w:szCs w:val="24"/>
        </w:rPr>
        <w:lastRenderedPageBreak/>
        <w:t>increased by off-road driving in these areas, and localized grassland degradation exists at popular crossing points along the rivers (Creel et al., 2024). The new regulations, which were established in 2024 for limiting vehicles per predator sighting to five vehicles, and now prohibit off-road driving in core zones, are showing early promise. However, there is still a lack of adequate enforcement of these regulations along the Keny-Tanzanian border.</w:t>
      </w:r>
    </w:p>
    <w:p w14:paraId="37763E21" w14:textId="77777777" w:rsidR="007F6CBB" w:rsidRPr="00332A23" w:rsidRDefault="007F6CBB" w:rsidP="006137F2">
      <w:pPr>
        <w:spacing w:line="480" w:lineRule="auto"/>
        <w:rPr>
          <w:rFonts w:ascii="Times New Roman" w:hAnsi="Times New Roman" w:cs="Times New Roman"/>
          <w:b/>
          <w:bCs/>
          <w:sz w:val="24"/>
          <w:szCs w:val="24"/>
        </w:rPr>
      </w:pPr>
      <w:r w:rsidRPr="00332A23">
        <w:rPr>
          <w:rFonts w:ascii="Times New Roman" w:hAnsi="Times New Roman" w:cs="Times New Roman"/>
          <w:b/>
          <w:bCs/>
          <w:sz w:val="24"/>
          <w:szCs w:val="24"/>
        </w:rPr>
        <w:t>Report Number four, Komodo National Park (Indonesia)</w:t>
      </w:r>
    </w:p>
    <w:p w14:paraId="211EE93C" w14:textId="1DC00ECC" w:rsidR="007F6CBB" w:rsidRPr="00332A23" w:rsidRDefault="007F6CBB"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A proposal to increase the entrance fee to Komodo National Park from $11 to $250, which generated great controversy in 2023 and caused Komodo National Park to lose 70% of its visitors, resulted in the introduction of a revised "Komodo Conservation Card" in 2024 with a price of $75 (lower rates for Domestic Tourists). The new system will provide complete transparency through the use of Blockchain Technology— every visitor will be able to scan a QR code to see how their entrance fee is being spent.</w:t>
      </w:r>
    </w:p>
    <w:p w14:paraId="24029DE0" w14:textId="17F8E7AD" w:rsidR="00A6082B" w:rsidRPr="00A6082B" w:rsidRDefault="00A6082B" w:rsidP="006137F2">
      <w:pPr>
        <w:pStyle w:val="Heading1"/>
        <w:spacing w:line="480" w:lineRule="auto"/>
      </w:pPr>
      <w:bookmarkStart w:id="5" w:name="_Toc215360452"/>
      <w:r w:rsidRPr="00A6082B">
        <w:t>Discussion</w:t>
      </w:r>
      <w:bookmarkEnd w:id="5"/>
      <w:r w:rsidRPr="00A6082B">
        <w:t xml:space="preserve"> </w:t>
      </w:r>
    </w:p>
    <w:p w14:paraId="01DD2002" w14:textId="3FD79250" w:rsidR="00853A79" w:rsidRPr="00332A23" w:rsidRDefault="00853A79" w:rsidP="006137F2">
      <w:pPr>
        <w:spacing w:line="480" w:lineRule="auto"/>
        <w:rPr>
          <w:rFonts w:ascii="Times New Roman" w:hAnsi="Times New Roman" w:cs="Times New Roman"/>
          <w:b/>
          <w:bCs/>
          <w:sz w:val="24"/>
          <w:szCs w:val="24"/>
        </w:rPr>
      </w:pPr>
      <w:r w:rsidRPr="00332A23">
        <w:rPr>
          <w:rFonts w:ascii="Times New Roman" w:hAnsi="Times New Roman" w:cs="Times New Roman"/>
          <w:b/>
          <w:bCs/>
          <w:sz w:val="24"/>
          <w:szCs w:val="24"/>
        </w:rPr>
        <w:t xml:space="preserve">Theories of Consumer </w:t>
      </w:r>
      <w:r w:rsidR="000729EA" w:rsidRPr="00332A23">
        <w:rPr>
          <w:rFonts w:ascii="Times New Roman" w:hAnsi="Times New Roman" w:cs="Times New Roman"/>
          <w:b/>
          <w:bCs/>
          <w:sz w:val="24"/>
          <w:szCs w:val="24"/>
        </w:rPr>
        <w:t>Behaviour</w:t>
      </w:r>
    </w:p>
    <w:p w14:paraId="756D4CA8" w14:textId="2C7F7356" w:rsidR="00853A79" w:rsidRPr="00332A23" w:rsidRDefault="00853A79"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 xml:space="preserve">The Theory of Planned Behaviour (TPB) and Value-Belief-Norm (VBN) theory have complementary explanatory power for the four cases presented above. In both Komodo Island and Galápagos Islands, where enforcement is visible and consistently applied (e.g., one guide for every 8-10 visitors, drone patrols, and blockchain receipt system), visitor perception of control was very high, and rules were being followed at rates below 5% (Walsh et al., 2024). In contrast, in the Serengeti-Mara area, the lack of effective co-ordination between the two countries which make up the region, and the economic incentives available to truck drivers for getting as close to lions as possible, greatly reduce visitor perception of control. Despite the official bans against off-road driving, off-road driving remains a problem in the </w:t>
      </w:r>
      <w:r w:rsidRPr="00332A23">
        <w:rPr>
          <w:rFonts w:ascii="Times New Roman" w:hAnsi="Times New Roman" w:cs="Times New Roman"/>
          <w:sz w:val="24"/>
          <w:szCs w:val="24"/>
        </w:rPr>
        <w:lastRenderedPageBreak/>
        <w:t>Serengeti-Mara ecosystem (Creel et al., 2024). The VBN theory is especially useful to understand visitors’ willingness to pay a premium. For example, exposure to concrete examples of conservation efforts (e.g., named rangers or individual Komodo dragons “adopted” through conservation cards) increases willingness to pay conservation fees from 38% to 56% (López-Mosquera &amp; Sánchez, 2023; KSDAE, 2024). When visitors are informed of the potential consequences of their actions, assume personal responsibility for their actions, and receive clear, documented evidence that their actions make a positive difference, then the attitude-behaviour gap narrows significantly.</w:t>
      </w:r>
    </w:p>
    <w:p w14:paraId="3733E4A0" w14:textId="77777777" w:rsidR="00332A23" w:rsidRDefault="00853A79" w:rsidP="006137F2">
      <w:pPr>
        <w:spacing w:line="480" w:lineRule="auto"/>
        <w:rPr>
          <w:rFonts w:ascii="Times New Roman" w:hAnsi="Times New Roman" w:cs="Times New Roman"/>
          <w:b/>
          <w:bCs/>
          <w:sz w:val="24"/>
          <w:szCs w:val="24"/>
        </w:rPr>
      </w:pPr>
      <w:r w:rsidRPr="00332A23">
        <w:rPr>
          <w:rFonts w:ascii="Times New Roman" w:hAnsi="Times New Roman" w:cs="Times New Roman"/>
          <w:b/>
          <w:bCs/>
          <w:sz w:val="24"/>
          <w:szCs w:val="24"/>
        </w:rPr>
        <w:t>Examples of New Approaches</w:t>
      </w:r>
    </w:p>
    <w:p w14:paraId="36F6FDEE" w14:textId="7F4FE5E8" w:rsidR="00853A79" w:rsidRPr="00332A23" w:rsidRDefault="00853A79" w:rsidP="006137F2">
      <w:pPr>
        <w:pStyle w:val="ListParagraph"/>
        <w:numPr>
          <w:ilvl w:val="0"/>
          <w:numId w:val="11"/>
        </w:numPr>
        <w:spacing w:line="480" w:lineRule="auto"/>
        <w:rPr>
          <w:rFonts w:ascii="Times New Roman" w:hAnsi="Times New Roman" w:cs="Times New Roman"/>
          <w:b/>
          <w:bCs/>
          <w:sz w:val="24"/>
          <w:szCs w:val="24"/>
        </w:rPr>
      </w:pPr>
      <w:r w:rsidRPr="00332A23">
        <w:rPr>
          <w:rFonts w:ascii="Times New Roman" w:hAnsi="Times New Roman" w:cs="Times New Roman"/>
          <w:sz w:val="24"/>
          <w:szCs w:val="24"/>
        </w:rPr>
        <w:t>Real-Time Capacity Management and Dynamic Pricing An example of AI use in the management of visitation and pricing fluctuations is the Foundations for the Future model from Yellowstone and the Galapagos Islands, reducing peak-day congestion by 35 % (Rice et al., 2024).</w:t>
      </w:r>
    </w:p>
    <w:p w14:paraId="3C785BEB" w14:textId="1DA83D2F" w:rsidR="00853A79" w:rsidRPr="00332A23" w:rsidRDefault="00853A79" w:rsidP="006137F2">
      <w:pPr>
        <w:pStyle w:val="ListParagraph"/>
        <w:numPr>
          <w:ilvl w:val="0"/>
          <w:numId w:val="11"/>
        </w:numPr>
        <w:spacing w:line="480" w:lineRule="auto"/>
        <w:rPr>
          <w:rFonts w:ascii="Times New Roman" w:hAnsi="Times New Roman" w:cs="Times New Roman"/>
          <w:sz w:val="24"/>
          <w:szCs w:val="24"/>
        </w:rPr>
      </w:pPr>
      <w:r w:rsidRPr="00332A23">
        <w:rPr>
          <w:rFonts w:ascii="Times New Roman" w:hAnsi="Times New Roman" w:cs="Times New Roman"/>
          <w:sz w:val="24"/>
          <w:szCs w:val="24"/>
        </w:rPr>
        <w:t>Blockchain-Tracked Donations Examples of blockchain tracking for conservation contributions are the models being used for Komodo Island and Rwanda's gorilla permit systems. All visitors receive a QR code with proof of exactly where their fees were spent, and the use of blockchain increases their willingness to pay premium rates for this experience by 42 % (Visit Rwanda, 2024).</w:t>
      </w:r>
    </w:p>
    <w:p w14:paraId="706B12A5" w14:textId="24ECD65E" w:rsidR="00853A79" w:rsidRPr="00332A23" w:rsidRDefault="00853A79" w:rsidP="006137F2">
      <w:pPr>
        <w:pStyle w:val="ListParagraph"/>
        <w:numPr>
          <w:ilvl w:val="0"/>
          <w:numId w:val="11"/>
        </w:numPr>
        <w:spacing w:line="480" w:lineRule="auto"/>
        <w:rPr>
          <w:rFonts w:ascii="Times New Roman" w:hAnsi="Times New Roman" w:cs="Times New Roman"/>
          <w:sz w:val="24"/>
          <w:szCs w:val="24"/>
        </w:rPr>
      </w:pPr>
      <w:r w:rsidRPr="00332A23">
        <w:rPr>
          <w:rFonts w:ascii="Times New Roman" w:hAnsi="Times New Roman" w:cs="Times New Roman"/>
          <w:sz w:val="24"/>
          <w:szCs w:val="24"/>
        </w:rPr>
        <w:t>Augmented Reality for Pre-visit Education Augmented reality applications were tested as a means of simulating wildlife disturbance in both the Great Barrier Reef and Banff National Park. The delay in the use of AR materials to educate visitors was compensated for by a 28 % increase in rule compliance when compared to post-visit statistics (Schneider et al., 2023).</w:t>
      </w:r>
    </w:p>
    <w:p w14:paraId="78FF37D2" w14:textId="221948D7" w:rsidR="00853A79" w:rsidRPr="00332A23" w:rsidRDefault="00853A79" w:rsidP="006137F2">
      <w:pPr>
        <w:pStyle w:val="ListParagraph"/>
        <w:numPr>
          <w:ilvl w:val="0"/>
          <w:numId w:val="11"/>
        </w:numPr>
        <w:spacing w:line="480" w:lineRule="auto"/>
        <w:rPr>
          <w:rFonts w:ascii="Times New Roman" w:hAnsi="Times New Roman" w:cs="Times New Roman"/>
          <w:sz w:val="24"/>
          <w:szCs w:val="24"/>
        </w:rPr>
      </w:pPr>
      <w:r w:rsidRPr="00332A23">
        <w:rPr>
          <w:rFonts w:ascii="Times New Roman" w:hAnsi="Times New Roman" w:cs="Times New Roman"/>
          <w:sz w:val="24"/>
          <w:szCs w:val="24"/>
        </w:rPr>
        <w:lastRenderedPageBreak/>
        <w:t>Lightweight Infrastructure and Micro-Concessions Costa Rica and South Africa's models of 3D-printed demountable housing elevated on stilts achieve a local employment level of over 90 % while minimizing their footprint.</w:t>
      </w:r>
    </w:p>
    <w:p w14:paraId="50745350" w14:textId="77777777" w:rsidR="00853A79" w:rsidRPr="00332A23" w:rsidRDefault="00853A79" w:rsidP="006137F2">
      <w:pPr>
        <w:spacing w:line="480" w:lineRule="auto"/>
        <w:rPr>
          <w:rFonts w:ascii="Times New Roman" w:hAnsi="Times New Roman" w:cs="Times New Roman"/>
          <w:b/>
          <w:bCs/>
          <w:sz w:val="24"/>
          <w:szCs w:val="24"/>
        </w:rPr>
      </w:pPr>
      <w:r w:rsidRPr="00332A23">
        <w:rPr>
          <w:rFonts w:ascii="Times New Roman" w:hAnsi="Times New Roman" w:cs="Times New Roman"/>
          <w:b/>
          <w:bCs/>
          <w:sz w:val="24"/>
          <w:szCs w:val="24"/>
        </w:rPr>
        <w:t>Recommended Policies</w:t>
      </w:r>
    </w:p>
    <w:p w14:paraId="19ACFB48" w14:textId="49416BDD" w:rsidR="00853A79" w:rsidRPr="00332A23" w:rsidRDefault="00853A79" w:rsidP="006137F2">
      <w:pPr>
        <w:pStyle w:val="ListParagraph"/>
        <w:numPr>
          <w:ilvl w:val="0"/>
          <w:numId w:val="12"/>
        </w:numPr>
        <w:spacing w:line="480" w:lineRule="auto"/>
        <w:rPr>
          <w:rFonts w:ascii="Times New Roman" w:hAnsi="Times New Roman" w:cs="Times New Roman"/>
          <w:sz w:val="24"/>
          <w:szCs w:val="24"/>
        </w:rPr>
      </w:pPr>
      <w:r w:rsidRPr="00332A23">
        <w:rPr>
          <w:rFonts w:ascii="Times New Roman" w:hAnsi="Times New Roman" w:cs="Times New Roman"/>
          <w:sz w:val="24"/>
          <w:szCs w:val="24"/>
        </w:rPr>
        <w:t>A pre-visit online accreditation course, with a brief quiz, should be made compulsory for visitors.</w:t>
      </w:r>
    </w:p>
    <w:p w14:paraId="1C30BD1E" w14:textId="7EA50BE3" w:rsidR="00853A79" w:rsidRPr="00332A23" w:rsidRDefault="00853A79" w:rsidP="006137F2">
      <w:pPr>
        <w:pStyle w:val="ListParagraph"/>
        <w:numPr>
          <w:ilvl w:val="0"/>
          <w:numId w:val="12"/>
        </w:numPr>
        <w:spacing w:line="480" w:lineRule="auto"/>
        <w:rPr>
          <w:rFonts w:ascii="Times New Roman" w:hAnsi="Times New Roman" w:cs="Times New Roman"/>
          <w:sz w:val="24"/>
          <w:szCs w:val="24"/>
        </w:rPr>
      </w:pPr>
      <w:r w:rsidRPr="00332A23">
        <w:rPr>
          <w:rFonts w:ascii="Times New Roman" w:hAnsi="Times New Roman" w:cs="Times New Roman"/>
          <w:sz w:val="24"/>
          <w:szCs w:val="24"/>
        </w:rPr>
        <w:t>Establishing tiered pricing with 100 percent of the premium price allocated to anti-poaching initiatives.</w:t>
      </w:r>
    </w:p>
    <w:p w14:paraId="14D3F813" w14:textId="060E94DA" w:rsidR="00853A79" w:rsidRPr="00332A23" w:rsidRDefault="00332A23" w:rsidP="006137F2">
      <w:pPr>
        <w:pStyle w:val="ListParagraph"/>
        <w:numPr>
          <w:ilvl w:val="0"/>
          <w:numId w:val="12"/>
        </w:numPr>
        <w:spacing w:line="480" w:lineRule="auto"/>
        <w:rPr>
          <w:rFonts w:ascii="Times New Roman" w:hAnsi="Times New Roman" w:cs="Times New Roman"/>
          <w:sz w:val="24"/>
          <w:szCs w:val="24"/>
        </w:rPr>
      </w:pPr>
      <w:r w:rsidRPr="00332A23">
        <w:rPr>
          <w:rFonts w:ascii="Times New Roman" w:hAnsi="Times New Roman" w:cs="Times New Roman"/>
          <w:sz w:val="24"/>
          <w:szCs w:val="24"/>
        </w:rPr>
        <w:t>A</w:t>
      </w:r>
      <w:r w:rsidR="00853A79" w:rsidRPr="00332A23">
        <w:rPr>
          <w:rFonts w:ascii="Times New Roman" w:hAnsi="Times New Roman" w:cs="Times New Roman"/>
          <w:sz w:val="24"/>
          <w:szCs w:val="24"/>
        </w:rPr>
        <w:t xml:space="preserve"> Visitors’ Board should establish an independent Conservation Trust Fund with representation from the general public.</w:t>
      </w:r>
    </w:p>
    <w:p w14:paraId="22E0B204" w14:textId="4ED3759D" w:rsidR="00853A79" w:rsidRPr="00332A23" w:rsidRDefault="00853A79" w:rsidP="006137F2">
      <w:pPr>
        <w:pStyle w:val="ListParagraph"/>
        <w:numPr>
          <w:ilvl w:val="0"/>
          <w:numId w:val="12"/>
        </w:numPr>
        <w:spacing w:line="480" w:lineRule="auto"/>
        <w:rPr>
          <w:rFonts w:ascii="Times New Roman" w:hAnsi="Times New Roman" w:cs="Times New Roman"/>
          <w:sz w:val="24"/>
          <w:szCs w:val="24"/>
        </w:rPr>
      </w:pPr>
      <w:r w:rsidRPr="00332A23">
        <w:rPr>
          <w:rFonts w:ascii="Times New Roman" w:hAnsi="Times New Roman" w:cs="Times New Roman"/>
          <w:sz w:val="24"/>
          <w:szCs w:val="24"/>
        </w:rPr>
        <w:t>The implementation of low-cost IoT camera traps and acoustic monitoring devices should be deployed to monitor stressed cart capacity in real-time.</w:t>
      </w:r>
    </w:p>
    <w:p w14:paraId="15D13DDD" w14:textId="30E1DF51" w:rsidR="00853A79" w:rsidRPr="00332A23" w:rsidRDefault="00853A79" w:rsidP="006137F2">
      <w:pPr>
        <w:pStyle w:val="ListParagraph"/>
        <w:numPr>
          <w:ilvl w:val="0"/>
          <w:numId w:val="12"/>
        </w:numPr>
        <w:spacing w:line="480" w:lineRule="auto"/>
        <w:rPr>
          <w:rFonts w:ascii="Times New Roman" w:hAnsi="Times New Roman" w:cs="Times New Roman"/>
          <w:sz w:val="24"/>
          <w:szCs w:val="24"/>
        </w:rPr>
      </w:pPr>
      <w:r w:rsidRPr="00332A23">
        <w:rPr>
          <w:rFonts w:ascii="Times New Roman" w:hAnsi="Times New Roman" w:cs="Times New Roman"/>
          <w:sz w:val="24"/>
          <w:szCs w:val="24"/>
        </w:rPr>
        <w:t>Change from fixed caps based on year of visitation to quarterly updating of Ecological Capitation based on Current Ecological Condition.</w:t>
      </w:r>
    </w:p>
    <w:p w14:paraId="03266702" w14:textId="228EC8A9" w:rsidR="00A6082B" w:rsidRPr="00A6082B" w:rsidRDefault="00A6082B" w:rsidP="006137F2">
      <w:pPr>
        <w:pStyle w:val="Heading1"/>
        <w:spacing w:line="480" w:lineRule="auto"/>
      </w:pPr>
      <w:bookmarkStart w:id="6" w:name="_Toc215360453"/>
      <w:r w:rsidRPr="00A6082B">
        <w:t>Conclusion</w:t>
      </w:r>
      <w:bookmarkEnd w:id="6"/>
      <w:r w:rsidRPr="00A6082B">
        <w:t xml:space="preserve"> </w:t>
      </w:r>
    </w:p>
    <w:p w14:paraId="615E5F4E" w14:textId="50ACF347" w:rsidR="00853A79" w:rsidRPr="00332A23" w:rsidRDefault="00853A79"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 xml:space="preserve">The perspectives of the Galápagos Islands, Costa Rica, Serengeti and Mara ecosystems, and Komodo National Park illustrate that tourism that occurs through, protected areas/natural reserves does transition from a tolerated pressure to the primary source of financial, political, and advocacy support for long-term conservation, but that shift does not happen unless operators have created the visitor behaviour patterns that provide attraction to the areas; implement a strict approach to 'carrying capacities' of the area; enable local communities to share equitably in both the costs and benefits of the area and have a method for tracking </w:t>
      </w:r>
      <w:r w:rsidRPr="00332A23">
        <w:rPr>
          <w:rFonts w:ascii="Times New Roman" w:hAnsi="Times New Roman" w:cs="Times New Roman"/>
          <w:sz w:val="24"/>
          <w:szCs w:val="24"/>
        </w:rPr>
        <w:lastRenderedPageBreak/>
        <w:t>every dollar/rupiah a tourist pays in each area and correlating them to measurable conservation outcomes.</w:t>
      </w:r>
    </w:p>
    <w:p w14:paraId="584F37D1" w14:textId="7C7B24C6" w:rsidR="00455E99" w:rsidRPr="00332A23" w:rsidRDefault="00853A79"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Tourism as a success in these areas is not an accident; it occurs due to successful management styles that employ strict science-based limits in combination with high value/low volume operational platforms, using technology for transparency and dynamic pricing of products, and a commitment to create a more effective way to share the benefits of tourism and conservation with local communities, and a commitment to use trust and equity as a guiding principle in the methodology used for tourism and conservation benefit-sharing. Conclusively, the Galápagos tourism model, which has over 275,000 annual visitors, has generated over US $27 million for conservation and local services is a perfect example of how using a premium strategy provides for both the protection of biodiversity and the inclusive development of communities. In summary, the ongoing struggles of parts of the Serengeti and Mara ecosystems are an ongoing reminder of the need for tourism operators in these places to create the appropriate visitor behaviour patterns and have the appropriate methodologies and processes in place to manage tourism.</w:t>
      </w:r>
    </w:p>
    <w:p w14:paraId="516369D7" w14:textId="444D8270" w:rsidR="00853A79" w:rsidRDefault="00853A79" w:rsidP="006137F2">
      <w:pPr>
        <w:spacing w:line="480" w:lineRule="auto"/>
        <w:rPr>
          <w:rFonts w:ascii="Times New Roman" w:hAnsi="Times New Roman" w:cs="Times New Roman"/>
          <w:sz w:val="24"/>
          <w:szCs w:val="24"/>
        </w:rPr>
      </w:pPr>
      <w:r w:rsidRPr="00332A23">
        <w:rPr>
          <w:rFonts w:ascii="Times New Roman" w:hAnsi="Times New Roman" w:cs="Times New Roman"/>
          <w:sz w:val="24"/>
          <w:szCs w:val="24"/>
        </w:rPr>
        <w:t xml:space="preserve">The success of the future will depend upon how well we can all work together—governments, protected-area authorities, and the tourism industry—to resist political and commercial pressure to continually increase the </w:t>
      </w:r>
      <w:r w:rsidR="00332A23" w:rsidRPr="00332A23">
        <w:rPr>
          <w:rFonts w:ascii="Times New Roman" w:hAnsi="Times New Roman" w:cs="Times New Roman"/>
          <w:sz w:val="24"/>
          <w:szCs w:val="24"/>
        </w:rPr>
        <w:t>number</w:t>
      </w:r>
      <w:r w:rsidRPr="00332A23">
        <w:rPr>
          <w:rFonts w:ascii="Times New Roman" w:hAnsi="Times New Roman" w:cs="Times New Roman"/>
          <w:sz w:val="24"/>
          <w:szCs w:val="24"/>
        </w:rPr>
        <w:t xml:space="preserve"> of visitors (the pressure is for more and more visitors) and to move away from the mindset of simply increasing the volume of visitors (the “more is better” approach). With advancements in technology—including AI predictions, blockchain for receipts, AR for educating visitors, and IoT-based monitoring—there are many tools available to help mitigate and control these pressures and, in fact, these solutions are often superior financially to the more conventional "more is better" approach (which is becoming increasingly outdated). The only question remaining is whether or not we will have the collective political will and institutional courage required to implement the </w:t>
      </w:r>
      <w:r w:rsidRPr="00332A23">
        <w:rPr>
          <w:rFonts w:ascii="Times New Roman" w:hAnsi="Times New Roman" w:cs="Times New Roman"/>
          <w:sz w:val="24"/>
          <w:szCs w:val="24"/>
        </w:rPr>
        <w:lastRenderedPageBreak/>
        <w:t>options we have available to protect our remaining wild spaces (which are on the verge of tipping into irreversible decline). The protected areas that will succeed in the 21st century will be those that implement systems to convert a small percentage of their visitors into dedicated, high-contributing conservation partners, using the tools and evidence, as well as the models, that already exist.</w:t>
      </w:r>
    </w:p>
    <w:p w14:paraId="30871295" w14:textId="126EA345" w:rsidR="00332A23" w:rsidRDefault="00332A23" w:rsidP="006137F2">
      <w:pPr>
        <w:pStyle w:val="Heading1"/>
        <w:spacing w:line="480" w:lineRule="auto"/>
      </w:pPr>
      <w:bookmarkStart w:id="7" w:name="_Toc215360454"/>
      <w:r>
        <w:t>References</w:t>
      </w:r>
      <w:bookmarkEnd w:id="7"/>
      <w:r>
        <w:t xml:space="preserve"> </w:t>
      </w:r>
    </w:p>
    <w:p w14:paraId="3937EE31"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 xml:space="preserve">Ajzen, I. (1991). The theory of planned </w:t>
      </w:r>
      <w:proofErr w:type="spellStart"/>
      <w:r w:rsidRPr="00332A23">
        <w:rPr>
          <w:rFonts w:ascii="Times New Roman" w:hAnsi="Times New Roman" w:cs="Times New Roman"/>
          <w:sz w:val="24"/>
          <w:szCs w:val="24"/>
        </w:rPr>
        <w:t>behavior</w:t>
      </w:r>
      <w:proofErr w:type="spellEnd"/>
      <w:r w:rsidRPr="00332A23">
        <w:rPr>
          <w:rFonts w:ascii="Times New Roman" w:hAnsi="Times New Roman" w:cs="Times New Roman"/>
          <w:sz w:val="24"/>
          <w:szCs w:val="24"/>
        </w:rPr>
        <w:t xml:space="preserve">. Organizational </w:t>
      </w:r>
      <w:proofErr w:type="spellStart"/>
      <w:r w:rsidRPr="00332A23">
        <w:rPr>
          <w:rFonts w:ascii="Times New Roman" w:hAnsi="Times New Roman" w:cs="Times New Roman"/>
          <w:sz w:val="24"/>
          <w:szCs w:val="24"/>
        </w:rPr>
        <w:t>Behavior</w:t>
      </w:r>
      <w:proofErr w:type="spellEnd"/>
      <w:r w:rsidRPr="00332A23">
        <w:rPr>
          <w:rFonts w:ascii="Times New Roman" w:hAnsi="Times New Roman" w:cs="Times New Roman"/>
          <w:sz w:val="24"/>
          <w:szCs w:val="24"/>
        </w:rPr>
        <w:t xml:space="preserve"> and Human Decision Processes, 50(2), 179–211.</w:t>
      </w:r>
    </w:p>
    <w:p w14:paraId="31B98EC4"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Brown, T. J., Ham, S. H., &amp; Hughes, M. (2022). Meta-analysis of theory of planned behaviour in nature-based tourism. Journal of Sustainable Tourism, 30(8), 1815–1836.</w:t>
      </w:r>
    </w:p>
    <w:p w14:paraId="36A6BB30"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Creel, S., et al. (2024). Tourism vehicles increase stress hormones in African lions. Biological Conservation, 289, 110–120.</w:t>
      </w:r>
    </w:p>
    <w:p w14:paraId="3567ECF1"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Eagles, P. F. J., et al. (2022). Tourism in protected areas: A global review. Journal of Sustainable Tourism, 30(2–3), 399–420.</w:t>
      </w:r>
    </w:p>
    <w:p w14:paraId="6EF99E7B"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Galápagos Conservancy. (2024). Annual Report 2023–2024.</w:t>
      </w:r>
    </w:p>
    <w:p w14:paraId="7941D914"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Hausmann, A., et al. (2024). Social media drives rapid concentration of visitors in protected areas. Nature Sustainability, 7, 512–520.</w:t>
      </w:r>
    </w:p>
    <w:p w14:paraId="6E31D2F8"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KSDAE (2024). Komodo National Park Financial Report 2023–2024. Ministry of Environment and Forestry, Indonesia.</w:t>
      </w:r>
    </w:p>
    <w:p w14:paraId="087753EE"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López-Mosquera, N., &amp; Sánchez, M. (2023). Cognitive-affective approach to eco-tourism using VBN theory. Tourism Management, 94, 1046–1055.</w:t>
      </w:r>
    </w:p>
    <w:p w14:paraId="64DB9139"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Miller, Z. D., et al. (2023). The attitude–behaviour gap in protected area visitation. Journal of Outdoor Recreation and Tourism, 42, 100612.</w:t>
      </w:r>
    </w:p>
    <w:p w14:paraId="565F27A6"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lastRenderedPageBreak/>
        <w:t>Porras, I., et al. (2023). Community conservation in Costa Rica: 30-year review. Environmental Research Letters, 18(8), 084033.</w:t>
      </w:r>
    </w:p>
    <w:p w14:paraId="1B80F362"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Rice, W. L., et al. (2024). Dynamic pricing and visitor flow management in U.S. national parks. Journal of Park and Recreation Administration, 42(1), 1–19.</w:t>
      </w:r>
    </w:p>
    <w:p w14:paraId="3D05B58B"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Schneider, I., et al. (2023). Augmented reality for pro-environmental behaviour in parks. Journal of Environmental Psychology, 87, 102012.</w:t>
      </w:r>
    </w:p>
    <w:p w14:paraId="1F125F27"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Spenceley, A., et al. (2021). Tourism and visitor management in protected areas: Guidelines for sustainability. IUCN.</w:t>
      </w:r>
    </w:p>
    <w:p w14:paraId="1ED923DA"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Stankey, G. H., et al. (1985). The limits of acceptable change (LAC) system for wilderness planning. USDA Forest Service.</w:t>
      </w:r>
    </w:p>
    <w:p w14:paraId="0B411D04"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Stern, P. C., et al. (1999). A value-belief-norm theory of support for social movements. Human Ecology Review, 6(1), 81–97.</w:t>
      </w:r>
    </w:p>
    <w:p w14:paraId="5C02EC7B"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UNEP (2023). Global Tourism and Biodiversity Report 2023. United Nations Environment Programme.</w:t>
      </w:r>
    </w:p>
    <w:p w14:paraId="77371634"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UNEP-WCMC &amp; IUCN (2024). Protected Planet Report 2024.</w:t>
      </w:r>
    </w:p>
    <w:p w14:paraId="175BBBD5"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UNWTO (2024). International Tourism Highlights 2024 Edition. World Tourism Organization.</w:t>
      </w:r>
    </w:p>
    <w:p w14:paraId="3541A66F" w14:textId="77777777" w:rsidR="00332A23" w:rsidRP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Walsh, J. C., et al. (2024). Effectiveness of mandatory orientation in reducing wildlife disturbance: Galápagos case study. Biological Conservation, 291, 110–119.</w:t>
      </w:r>
    </w:p>
    <w:p w14:paraId="5EAFC980" w14:textId="476B48A2" w:rsidR="00332A23" w:rsidRDefault="00332A23" w:rsidP="006137F2">
      <w:pPr>
        <w:pStyle w:val="ListParagraph"/>
        <w:numPr>
          <w:ilvl w:val="0"/>
          <w:numId w:val="13"/>
        </w:numPr>
        <w:spacing w:line="480" w:lineRule="auto"/>
        <w:rPr>
          <w:rFonts w:ascii="Times New Roman" w:hAnsi="Times New Roman" w:cs="Times New Roman"/>
          <w:sz w:val="24"/>
          <w:szCs w:val="24"/>
        </w:rPr>
      </w:pPr>
      <w:r w:rsidRPr="00332A23">
        <w:rPr>
          <w:rFonts w:ascii="Times New Roman" w:hAnsi="Times New Roman" w:cs="Times New Roman"/>
          <w:sz w:val="24"/>
          <w:szCs w:val="24"/>
        </w:rPr>
        <w:t>World Bank (2023). Tanzania Economic Update: Tourism for Conservation.</w:t>
      </w:r>
    </w:p>
    <w:p w14:paraId="2A5B958D" w14:textId="77777777" w:rsidR="00332A23" w:rsidRPr="00332A23" w:rsidRDefault="00332A23" w:rsidP="006137F2">
      <w:pPr>
        <w:pStyle w:val="Heading1"/>
        <w:spacing w:line="480" w:lineRule="auto"/>
      </w:pPr>
      <w:bookmarkStart w:id="8" w:name="_Toc215360455"/>
      <w:r w:rsidRPr="00332A23">
        <w:t>Appendices</w:t>
      </w:r>
      <w:bookmarkEnd w:id="8"/>
    </w:p>
    <w:p w14:paraId="16850E6D" w14:textId="77777777" w:rsidR="00332A23" w:rsidRPr="00332A23" w:rsidRDefault="00332A23" w:rsidP="006137F2">
      <w:pPr>
        <w:numPr>
          <w:ilvl w:val="0"/>
          <w:numId w:val="14"/>
        </w:numPr>
        <w:spacing w:line="480" w:lineRule="auto"/>
        <w:rPr>
          <w:rFonts w:ascii="Times New Roman" w:hAnsi="Times New Roman" w:cs="Times New Roman"/>
          <w:sz w:val="24"/>
          <w:szCs w:val="24"/>
        </w:rPr>
      </w:pPr>
      <w:r w:rsidRPr="00332A23">
        <w:rPr>
          <w:rFonts w:ascii="Times New Roman" w:hAnsi="Times New Roman" w:cs="Times New Roman"/>
          <w:sz w:val="24"/>
          <w:szCs w:val="24"/>
        </w:rPr>
        <w:t>Appendix A: Detailed visitor survey results synthesis table</w:t>
      </w:r>
    </w:p>
    <w:p w14:paraId="09873B06" w14:textId="77777777" w:rsidR="00332A23" w:rsidRPr="00332A23" w:rsidRDefault="00332A23" w:rsidP="006137F2">
      <w:pPr>
        <w:numPr>
          <w:ilvl w:val="0"/>
          <w:numId w:val="14"/>
        </w:numPr>
        <w:spacing w:line="480" w:lineRule="auto"/>
        <w:rPr>
          <w:rFonts w:ascii="Times New Roman" w:hAnsi="Times New Roman" w:cs="Times New Roman"/>
          <w:sz w:val="24"/>
          <w:szCs w:val="24"/>
        </w:rPr>
      </w:pPr>
      <w:r w:rsidRPr="00332A23">
        <w:rPr>
          <w:rFonts w:ascii="Times New Roman" w:hAnsi="Times New Roman" w:cs="Times New Roman"/>
          <w:sz w:val="24"/>
          <w:szCs w:val="24"/>
        </w:rPr>
        <w:t>Appendix B: Blockchain conservation fee transparency example (Komodo 2024)</w:t>
      </w:r>
    </w:p>
    <w:p w14:paraId="23F01D56" w14:textId="77777777" w:rsidR="00332A23" w:rsidRPr="00332A23" w:rsidRDefault="00332A23" w:rsidP="006137F2">
      <w:pPr>
        <w:numPr>
          <w:ilvl w:val="0"/>
          <w:numId w:val="14"/>
        </w:numPr>
        <w:spacing w:line="480" w:lineRule="auto"/>
        <w:rPr>
          <w:rFonts w:ascii="Times New Roman" w:hAnsi="Times New Roman" w:cs="Times New Roman"/>
          <w:sz w:val="24"/>
          <w:szCs w:val="24"/>
        </w:rPr>
      </w:pPr>
      <w:r w:rsidRPr="00332A23">
        <w:rPr>
          <w:rFonts w:ascii="Times New Roman" w:hAnsi="Times New Roman" w:cs="Times New Roman"/>
          <w:sz w:val="24"/>
          <w:szCs w:val="24"/>
        </w:rPr>
        <w:lastRenderedPageBreak/>
        <w:t>Appendix C: Proposed AR pre-visit module wireframe</w:t>
      </w:r>
    </w:p>
    <w:p w14:paraId="788B4E32" w14:textId="77777777" w:rsidR="00332A23" w:rsidRPr="00332A23" w:rsidRDefault="00332A23" w:rsidP="006137F2">
      <w:pPr>
        <w:spacing w:line="480" w:lineRule="auto"/>
        <w:rPr>
          <w:rFonts w:ascii="Times New Roman" w:hAnsi="Times New Roman" w:cs="Times New Roman"/>
          <w:sz w:val="24"/>
          <w:szCs w:val="24"/>
        </w:rPr>
      </w:pPr>
    </w:p>
    <w:sectPr w:rsidR="00332A23" w:rsidRPr="00332A2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C551A" w14:textId="77777777" w:rsidR="00FB7C77" w:rsidRDefault="00FB7C77" w:rsidP="00332A23">
      <w:pPr>
        <w:spacing w:after="0" w:line="240" w:lineRule="auto"/>
      </w:pPr>
      <w:r>
        <w:separator/>
      </w:r>
    </w:p>
  </w:endnote>
  <w:endnote w:type="continuationSeparator" w:id="0">
    <w:p w14:paraId="4D9A6E47" w14:textId="77777777" w:rsidR="00FB7C77" w:rsidRDefault="00FB7C77" w:rsidP="00332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127773"/>
      <w:docPartObj>
        <w:docPartGallery w:val="Page Numbers (Bottom of Page)"/>
        <w:docPartUnique/>
      </w:docPartObj>
    </w:sdtPr>
    <w:sdtEndPr>
      <w:rPr>
        <w:noProof/>
      </w:rPr>
    </w:sdtEndPr>
    <w:sdtContent>
      <w:p w14:paraId="6AC76F6B" w14:textId="344A90CA" w:rsidR="00332A23" w:rsidRDefault="00332A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3F086A" w14:textId="77777777" w:rsidR="00332A23" w:rsidRDefault="00332A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E1E4D" w14:textId="77777777" w:rsidR="00FB7C77" w:rsidRDefault="00FB7C77" w:rsidP="00332A23">
      <w:pPr>
        <w:spacing w:after="0" w:line="240" w:lineRule="auto"/>
      </w:pPr>
      <w:r>
        <w:separator/>
      </w:r>
    </w:p>
  </w:footnote>
  <w:footnote w:type="continuationSeparator" w:id="0">
    <w:p w14:paraId="4091E5AB" w14:textId="77777777" w:rsidR="00FB7C77" w:rsidRDefault="00FB7C77" w:rsidP="00332A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11EC"/>
    <w:multiLevelType w:val="multilevel"/>
    <w:tmpl w:val="9B360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85FBA"/>
    <w:multiLevelType w:val="multilevel"/>
    <w:tmpl w:val="7EE4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763D3D"/>
    <w:multiLevelType w:val="multilevel"/>
    <w:tmpl w:val="FCF4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D08BC"/>
    <w:multiLevelType w:val="hybridMultilevel"/>
    <w:tmpl w:val="8654E1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73B753B"/>
    <w:multiLevelType w:val="multilevel"/>
    <w:tmpl w:val="53126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A1200A"/>
    <w:multiLevelType w:val="multilevel"/>
    <w:tmpl w:val="C0AC0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895EA0"/>
    <w:multiLevelType w:val="multilevel"/>
    <w:tmpl w:val="EFAAE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5C06E2"/>
    <w:multiLevelType w:val="hybridMultilevel"/>
    <w:tmpl w:val="7618DF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4D30788"/>
    <w:multiLevelType w:val="hybridMultilevel"/>
    <w:tmpl w:val="2A16F1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9A915D3"/>
    <w:multiLevelType w:val="multilevel"/>
    <w:tmpl w:val="03705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21484F"/>
    <w:multiLevelType w:val="hybridMultilevel"/>
    <w:tmpl w:val="69EAB1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16058E5"/>
    <w:multiLevelType w:val="hybridMultilevel"/>
    <w:tmpl w:val="1AE410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0791752"/>
    <w:multiLevelType w:val="multilevel"/>
    <w:tmpl w:val="C810B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F327C6"/>
    <w:multiLevelType w:val="multilevel"/>
    <w:tmpl w:val="0836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6"/>
  </w:num>
  <w:num w:numId="3">
    <w:abstractNumId w:val="13"/>
  </w:num>
  <w:num w:numId="4">
    <w:abstractNumId w:val="1"/>
  </w:num>
  <w:num w:numId="5">
    <w:abstractNumId w:val="9"/>
  </w:num>
  <w:num w:numId="6">
    <w:abstractNumId w:val="5"/>
  </w:num>
  <w:num w:numId="7">
    <w:abstractNumId w:val="0"/>
  </w:num>
  <w:num w:numId="8">
    <w:abstractNumId w:val="4"/>
  </w:num>
  <w:num w:numId="9">
    <w:abstractNumId w:val="11"/>
  </w:num>
  <w:num w:numId="10">
    <w:abstractNumId w:val="10"/>
  </w:num>
  <w:num w:numId="11">
    <w:abstractNumId w:val="7"/>
  </w:num>
  <w:num w:numId="12">
    <w:abstractNumId w:val="3"/>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75F"/>
    <w:rsid w:val="000729EA"/>
    <w:rsid w:val="000A7FFD"/>
    <w:rsid w:val="001C675F"/>
    <w:rsid w:val="00332A23"/>
    <w:rsid w:val="00455E99"/>
    <w:rsid w:val="004A2E7D"/>
    <w:rsid w:val="006137F2"/>
    <w:rsid w:val="00706DE1"/>
    <w:rsid w:val="007F6CBB"/>
    <w:rsid w:val="00853A79"/>
    <w:rsid w:val="00885A6C"/>
    <w:rsid w:val="00A6082B"/>
    <w:rsid w:val="00C41228"/>
    <w:rsid w:val="00EB1A76"/>
    <w:rsid w:val="00FB5D24"/>
    <w:rsid w:val="00FB7C7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10C2F"/>
  <w15:chartTrackingRefBased/>
  <w15:docId w15:val="{10AE85EE-43B4-4117-B888-C8C30B24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7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C67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675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675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675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67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7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7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7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75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C675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675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675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675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67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7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7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75F"/>
    <w:rPr>
      <w:rFonts w:eastAsiaTheme="majorEastAsia" w:cstheme="majorBidi"/>
      <w:color w:val="272727" w:themeColor="text1" w:themeTint="D8"/>
    </w:rPr>
  </w:style>
  <w:style w:type="paragraph" w:styleId="Title">
    <w:name w:val="Title"/>
    <w:basedOn w:val="Normal"/>
    <w:next w:val="Normal"/>
    <w:link w:val="TitleChar"/>
    <w:uiPriority w:val="10"/>
    <w:qFormat/>
    <w:rsid w:val="001C67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7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7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7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75F"/>
    <w:pPr>
      <w:spacing w:before="160"/>
      <w:jc w:val="center"/>
    </w:pPr>
    <w:rPr>
      <w:i/>
      <w:iCs/>
      <w:color w:val="404040" w:themeColor="text1" w:themeTint="BF"/>
    </w:rPr>
  </w:style>
  <w:style w:type="character" w:customStyle="1" w:styleId="QuoteChar">
    <w:name w:val="Quote Char"/>
    <w:basedOn w:val="DefaultParagraphFont"/>
    <w:link w:val="Quote"/>
    <w:uiPriority w:val="29"/>
    <w:rsid w:val="001C675F"/>
    <w:rPr>
      <w:i/>
      <w:iCs/>
      <w:color w:val="404040" w:themeColor="text1" w:themeTint="BF"/>
    </w:rPr>
  </w:style>
  <w:style w:type="paragraph" w:styleId="ListParagraph">
    <w:name w:val="List Paragraph"/>
    <w:basedOn w:val="Normal"/>
    <w:uiPriority w:val="34"/>
    <w:qFormat/>
    <w:rsid w:val="001C675F"/>
    <w:pPr>
      <w:ind w:left="720"/>
      <w:contextualSpacing/>
    </w:pPr>
  </w:style>
  <w:style w:type="character" w:styleId="IntenseEmphasis">
    <w:name w:val="Intense Emphasis"/>
    <w:basedOn w:val="DefaultParagraphFont"/>
    <w:uiPriority w:val="21"/>
    <w:qFormat/>
    <w:rsid w:val="001C675F"/>
    <w:rPr>
      <w:i/>
      <w:iCs/>
      <w:color w:val="2F5496" w:themeColor="accent1" w:themeShade="BF"/>
    </w:rPr>
  </w:style>
  <w:style w:type="paragraph" w:styleId="IntenseQuote">
    <w:name w:val="Intense Quote"/>
    <w:basedOn w:val="Normal"/>
    <w:next w:val="Normal"/>
    <w:link w:val="IntenseQuoteChar"/>
    <w:uiPriority w:val="30"/>
    <w:qFormat/>
    <w:rsid w:val="001C67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675F"/>
    <w:rPr>
      <w:i/>
      <w:iCs/>
      <w:color w:val="2F5496" w:themeColor="accent1" w:themeShade="BF"/>
    </w:rPr>
  </w:style>
  <w:style w:type="character" w:styleId="IntenseReference">
    <w:name w:val="Intense Reference"/>
    <w:basedOn w:val="DefaultParagraphFont"/>
    <w:uiPriority w:val="32"/>
    <w:qFormat/>
    <w:rsid w:val="001C675F"/>
    <w:rPr>
      <w:b/>
      <w:bCs/>
      <w:smallCaps/>
      <w:color w:val="2F5496" w:themeColor="accent1" w:themeShade="BF"/>
      <w:spacing w:val="5"/>
    </w:rPr>
  </w:style>
  <w:style w:type="paragraph" w:styleId="Header">
    <w:name w:val="header"/>
    <w:basedOn w:val="Normal"/>
    <w:link w:val="HeaderChar"/>
    <w:uiPriority w:val="99"/>
    <w:unhideWhenUsed/>
    <w:rsid w:val="00332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A23"/>
  </w:style>
  <w:style w:type="paragraph" w:styleId="Footer">
    <w:name w:val="footer"/>
    <w:basedOn w:val="Normal"/>
    <w:link w:val="FooterChar"/>
    <w:uiPriority w:val="99"/>
    <w:unhideWhenUsed/>
    <w:rsid w:val="00332A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2A23"/>
  </w:style>
  <w:style w:type="paragraph" w:styleId="TOCHeading">
    <w:name w:val="TOC Heading"/>
    <w:basedOn w:val="Heading1"/>
    <w:next w:val="Normal"/>
    <w:uiPriority w:val="39"/>
    <w:unhideWhenUsed/>
    <w:qFormat/>
    <w:rsid w:val="00332A2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32A23"/>
    <w:pPr>
      <w:spacing w:after="100"/>
    </w:pPr>
  </w:style>
  <w:style w:type="paragraph" w:styleId="TOC2">
    <w:name w:val="toc 2"/>
    <w:basedOn w:val="Normal"/>
    <w:next w:val="Normal"/>
    <w:autoRedefine/>
    <w:uiPriority w:val="39"/>
    <w:unhideWhenUsed/>
    <w:rsid w:val="00332A23"/>
    <w:pPr>
      <w:spacing w:after="100"/>
      <w:ind w:left="220"/>
    </w:pPr>
  </w:style>
  <w:style w:type="character" w:styleId="Hyperlink">
    <w:name w:val="Hyperlink"/>
    <w:basedOn w:val="DefaultParagraphFont"/>
    <w:uiPriority w:val="99"/>
    <w:unhideWhenUsed/>
    <w:rsid w:val="00332A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F91F2-C9D5-4EC7-82D3-A99457E62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4070</Words>
  <Characters>23200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niikhil sharma</dc:creator>
  <cp:keywords/>
  <dc:description/>
  <cp:lastModifiedBy>Microsoft Office User</cp:lastModifiedBy>
  <cp:revision>3</cp:revision>
  <dcterms:created xsi:type="dcterms:W3CDTF">2025-11-29T20:33:00Z</dcterms:created>
  <dcterms:modified xsi:type="dcterms:W3CDTF">2025-11-29T20:48:00Z</dcterms:modified>
</cp:coreProperties>
</file>