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1D04A" w14:textId="77777777" w:rsidR="00D318B0" w:rsidRPr="00796E84" w:rsidRDefault="00D318B0" w:rsidP="00897643">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56363497" wp14:editId="788C6BE1">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0EC7D4CE"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Assignment 1: Competitive Advantage and Strategic Positioning</w:t>
      </w:r>
    </w:p>
    <w:p w14:paraId="233B9FE8"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Topic:</w:t>
      </w:r>
    </w:p>
    <w:p w14:paraId="41723C2E"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Examine how companies can create and sustain a competitive advantage in highly</w:t>
      </w:r>
    </w:p>
    <w:p w14:paraId="567B93B1"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xml:space="preserve">competitive industries. </w:t>
      </w:r>
      <w:proofErr w:type="spellStart"/>
      <w:r w:rsidRPr="00D318B0">
        <w:rPr>
          <w:rFonts w:ascii="Times New Roman" w:hAnsi="Times New Roman" w:cs="Times New Roman"/>
          <w:b/>
          <w:bCs/>
          <w:color w:val="000000" w:themeColor="text1"/>
          <w:szCs w:val="24"/>
        </w:rPr>
        <w:t>Analyze</w:t>
      </w:r>
      <w:proofErr w:type="spellEnd"/>
      <w:r w:rsidRPr="00D318B0">
        <w:rPr>
          <w:rFonts w:ascii="Times New Roman" w:hAnsi="Times New Roman" w:cs="Times New Roman"/>
          <w:b/>
          <w:bCs/>
          <w:color w:val="000000" w:themeColor="text1"/>
          <w:szCs w:val="24"/>
        </w:rPr>
        <w:t xml:space="preserve"> strategic positioning frameworks such as Porter’s Generic</w:t>
      </w:r>
    </w:p>
    <w:p w14:paraId="5DDDC51E"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Strategies, the Resource-Based View (RBV), and Blue Ocean Strategy, and assess their role</w:t>
      </w:r>
    </w:p>
    <w:p w14:paraId="1FDFE53E"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in maintaining long-term profitability.</w:t>
      </w:r>
    </w:p>
    <w:p w14:paraId="6B6A5117"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Outcome Expectations:</w:t>
      </w:r>
    </w:p>
    <w:p w14:paraId="68B5C9D4"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xml:space="preserve">• </w:t>
      </w:r>
      <w:proofErr w:type="spellStart"/>
      <w:r w:rsidRPr="00D318B0">
        <w:rPr>
          <w:rFonts w:ascii="Times New Roman" w:hAnsi="Times New Roman" w:cs="Times New Roman"/>
          <w:b/>
          <w:bCs/>
          <w:color w:val="000000" w:themeColor="text1"/>
          <w:szCs w:val="24"/>
        </w:rPr>
        <w:t>Analyze</w:t>
      </w:r>
      <w:proofErr w:type="spellEnd"/>
      <w:r w:rsidRPr="00D318B0">
        <w:rPr>
          <w:rFonts w:ascii="Times New Roman" w:hAnsi="Times New Roman" w:cs="Times New Roman"/>
          <w:b/>
          <w:bCs/>
          <w:color w:val="000000" w:themeColor="text1"/>
          <w:szCs w:val="24"/>
        </w:rPr>
        <w:t xml:space="preserve"> and compare different strategic frameworks.</w:t>
      </w:r>
    </w:p>
    <w:p w14:paraId="210CA834"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Evaluate the application of these frameworks in real-world industries.</w:t>
      </w:r>
    </w:p>
    <w:p w14:paraId="7D9D92BA"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Identify key strategies that businesses can adopt to sustain competitive advantages.</w:t>
      </w:r>
    </w:p>
    <w:p w14:paraId="2112E07C" w14:textId="77777777" w:rsidR="00D318B0" w:rsidRPr="00D318B0"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 Provide relevant examples of companies that have successfully implemented these</w:t>
      </w:r>
    </w:p>
    <w:p w14:paraId="0B655C97" w14:textId="6C3AB2B6" w:rsidR="00D318B0" w:rsidRPr="00796E84" w:rsidRDefault="00D318B0" w:rsidP="00897643">
      <w:pPr>
        <w:spacing w:line="480" w:lineRule="auto"/>
        <w:jc w:val="center"/>
        <w:rPr>
          <w:rFonts w:ascii="Times New Roman" w:hAnsi="Times New Roman" w:cs="Times New Roman"/>
          <w:b/>
          <w:bCs/>
          <w:color w:val="000000" w:themeColor="text1"/>
          <w:szCs w:val="24"/>
        </w:rPr>
      </w:pPr>
      <w:r w:rsidRPr="00D318B0">
        <w:rPr>
          <w:rFonts w:ascii="Times New Roman" w:hAnsi="Times New Roman" w:cs="Times New Roman"/>
          <w:b/>
          <w:bCs/>
          <w:color w:val="000000" w:themeColor="text1"/>
          <w:szCs w:val="24"/>
        </w:rPr>
        <w:t>strategies.</w:t>
      </w:r>
    </w:p>
    <w:p w14:paraId="4A9DC5F3" w14:textId="77777777" w:rsidR="00D318B0" w:rsidRPr="00796E84" w:rsidRDefault="00D318B0" w:rsidP="00897643">
      <w:pPr>
        <w:spacing w:line="480" w:lineRule="auto"/>
        <w:jc w:val="center"/>
        <w:rPr>
          <w:rFonts w:ascii="Times New Roman" w:hAnsi="Times New Roman" w:cs="Times New Roman"/>
          <w:b/>
          <w:bCs/>
          <w:color w:val="000000" w:themeColor="text1"/>
          <w:szCs w:val="24"/>
        </w:rPr>
      </w:pPr>
    </w:p>
    <w:p w14:paraId="21BFE4DA" w14:textId="77777777" w:rsidR="00D318B0" w:rsidRPr="00796E84" w:rsidRDefault="00D318B0" w:rsidP="00897643">
      <w:pPr>
        <w:spacing w:line="480" w:lineRule="auto"/>
        <w:jc w:val="center"/>
        <w:rPr>
          <w:rFonts w:ascii="Times New Roman" w:hAnsi="Times New Roman" w:cs="Times New Roman"/>
          <w:b/>
          <w:bCs/>
          <w:color w:val="000000" w:themeColor="text1"/>
          <w:szCs w:val="24"/>
        </w:rPr>
      </w:pPr>
    </w:p>
    <w:p w14:paraId="6FC550E8"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7FBDC126" w14:textId="77777777" w:rsidR="00D318B0" w:rsidRPr="00796E84" w:rsidRDefault="00D318B0" w:rsidP="00897643">
      <w:pPr>
        <w:pStyle w:val="Heading2"/>
        <w:spacing w:line="480" w:lineRule="auto"/>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54661681" w14:textId="77777777" w:rsidR="00D318B0" w:rsidRPr="00D318B0" w:rsidRDefault="00D318B0" w:rsidP="00897643">
      <w:pPr>
        <w:spacing w:line="480" w:lineRule="auto"/>
        <w:rPr>
          <w:rFonts w:ascii="Times New Roman" w:hAnsi="Times New Roman" w:cs="Times New Roman"/>
          <w:szCs w:val="24"/>
        </w:rPr>
      </w:pPr>
      <w:r w:rsidRPr="00D318B0">
        <w:rPr>
          <w:rFonts w:ascii="Times New Roman" w:hAnsi="Times New Roman" w:cs="Times New Roman"/>
          <w:szCs w:val="24"/>
        </w:rPr>
        <w:t>In highly competitive and dynamic business environments, organizations must develop and sustain competitive advantage to achieve long-term profitability and market leadership. This report examines how firms create and maintain competitive advantage through strategic positioning frameworks, including Porter’s Generic Strategies, the Resource-Based View (RBV), and Blue Ocean Strategy. These frameworks provide distinct perspectives on how organizations differentiate themselves, allocate resources, and respond to competitive pressures (Porter, 1985; Barney, 1991; Kim &amp; Mauborgne, 2005).</w:t>
      </w:r>
    </w:p>
    <w:p w14:paraId="6B7A4055" w14:textId="77777777" w:rsidR="00D318B0" w:rsidRPr="00D318B0" w:rsidRDefault="00D318B0" w:rsidP="00897643">
      <w:pPr>
        <w:spacing w:line="480" w:lineRule="auto"/>
        <w:rPr>
          <w:rFonts w:ascii="Times New Roman" w:hAnsi="Times New Roman" w:cs="Times New Roman"/>
          <w:szCs w:val="24"/>
        </w:rPr>
      </w:pPr>
      <w:r w:rsidRPr="00D318B0">
        <w:rPr>
          <w:rFonts w:ascii="Times New Roman" w:hAnsi="Times New Roman" w:cs="Times New Roman"/>
          <w:szCs w:val="24"/>
        </w:rPr>
        <w:t>Drawing on established strategic management theories, the study explores how firms leverage cost leadership, differentiation, and focus strategies to outperform competitors while simultaneously developing unique internal capabilities that are valuable, rare, inimitable, and non-substitutable (Porter, 1985; Barney, 1991). The analysis also highlights the significance of Blue Ocean Strategy in creating uncontested market spaces, enabling firms to avoid direct competition and achieve sustained growth (Kim &amp; Mauborgne, 2005; Leavy, 2018).</w:t>
      </w:r>
    </w:p>
    <w:p w14:paraId="4C02E52E" w14:textId="77777777" w:rsidR="00D318B0" w:rsidRPr="00D318B0" w:rsidRDefault="00D318B0" w:rsidP="00897643">
      <w:pPr>
        <w:spacing w:line="480" w:lineRule="auto"/>
        <w:rPr>
          <w:rFonts w:ascii="Times New Roman" w:hAnsi="Times New Roman" w:cs="Times New Roman"/>
          <w:szCs w:val="24"/>
        </w:rPr>
      </w:pPr>
      <w:r w:rsidRPr="00D318B0">
        <w:rPr>
          <w:rFonts w:ascii="Times New Roman" w:hAnsi="Times New Roman" w:cs="Times New Roman"/>
          <w:szCs w:val="24"/>
        </w:rPr>
        <w:t xml:space="preserve">Using a qualitative literature-based approach, the report synthesizes insights from peer-reviewed academic research and real-world case studies. Findings indicate that organizations that effectively integrate strategic positioning frameworks with innovation and dynamic capabilities are more likely to achieve sustainable competitive advantage (Teece et al., 1997; </w:t>
      </w:r>
      <w:proofErr w:type="spellStart"/>
      <w:r w:rsidRPr="00D318B0">
        <w:rPr>
          <w:rFonts w:ascii="Times New Roman" w:hAnsi="Times New Roman" w:cs="Times New Roman"/>
          <w:szCs w:val="24"/>
        </w:rPr>
        <w:t>Peteraf</w:t>
      </w:r>
      <w:proofErr w:type="spellEnd"/>
      <w:r w:rsidRPr="00D318B0">
        <w:rPr>
          <w:rFonts w:ascii="Times New Roman" w:hAnsi="Times New Roman" w:cs="Times New Roman"/>
          <w:szCs w:val="24"/>
        </w:rPr>
        <w:t>, 1993). Furthermore, firms that align their strategies with market conditions and internal strengths demonstrate superior performance and resilience (Grant, 1991; Porter, 2008).</w:t>
      </w:r>
    </w:p>
    <w:p w14:paraId="261EE98F" w14:textId="77777777" w:rsidR="00D318B0" w:rsidRPr="00D318B0" w:rsidRDefault="00D318B0" w:rsidP="00897643">
      <w:pPr>
        <w:spacing w:line="480" w:lineRule="auto"/>
        <w:rPr>
          <w:rFonts w:ascii="Times New Roman" w:hAnsi="Times New Roman" w:cs="Times New Roman"/>
          <w:szCs w:val="24"/>
        </w:rPr>
      </w:pPr>
      <w:r w:rsidRPr="00D318B0">
        <w:rPr>
          <w:rFonts w:ascii="Times New Roman" w:hAnsi="Times New Roman" w:cs="Times New Roman"/>
          <w:szCs w:val="24"/>
        </w:rPr>
        <w:t xml:space="preserve">The report concludes that competitive advantage is not static but requires continuous adaptation, innovation, and strategic alignment. Organizations that successfully combine external positioning </w:t>
      </w:r>
      <w:r w:rsidRPr="00D318B0">
        <w:rPr>
          <w:rFonts w:ascii="Times New Roman" w:hAnsi="Times New Roman" w:cs="Times New Roman"/>
          <w:szCs w:val="24"/>
        </w:rPr>
        <w:lastRenderedPageBreak/>
        <w:t>with internal capabilities are better equipped to maintain long-term profitability in increasingly competitive industries (Barney, 2001; Kim &amp; Mauborgne, 2015).</w:t>
      </w:r>
    </w:p>
    <w:p w14:paraId="19501664" w14:textId="77777777" w:rsidR="00D318B0" w:rsidRDefault="00D318B0" w:rsidP="00897643">
      <w:pPr>
        <w:spacing w:line="480" w:lineRule="auto"/>
        <w:rPr>
          <w:rFonts w:ascii="Times New Roman" w:hAnsi="Times New Roman" w:cs="Times New Roman"/>
          <w:szCs w:val="24"/>
        </w:rPr>
      </w:pPr>
    </w:p>
    <w:p w14:paraId="3F9B9446" w14:textId="77777777" w:rsidR="00D318B0" w:rsidRDefault="00D318B0" w:rsidP="00897643">
      <w:pPr>
        <w:spacing w:line="480" w:lineRule="auto"/>
        <w:rPr>
          <w:rFonts w:ascii="Times New Roman" w:hAnsi="Times New Roman" w:cs="Times New Roman"/>
          <w:szCs w:val="24"/>
        </w:rPr>
      </w:pPr>
    </w:p>
    <w:p w14:paraId="2365720D" w14:textId="77777777" w:rsidR="00D318B0" w:rsidRDefault="00D318B0" w:rsidP="00897643">
      <w:pPr>
        <w:spacing w:line="480" w:lineRule="auto"/>
        <w:rPr>
          <w:rFonts w:ascii="Times New Roman" w:hAnsi="Times New Roman" w:cs="Times New Roman"/>
          <w:szCs w:val="24"/>
        </w:rPr>
      </w:pPr>
    </w:p>
    <w:p w14:paraId="5B5C74DE" w14:textId="77777777" w:rsidR="00D318B0" w:rsidRDefault="00D318B0" w:rsidP="00897643">
      <w:pPr>
        <w:spacing w:line="480" w:lineRule="auto"/>
        <w:rPr>
          <w:rFonts w:ascii="Times New Roman" w:hAnsi="Times New Roman" w:cs="Times New Roman"/>
          <w:szCs w:val="24"/>
        </w:rPr>
      </w:pPr>
    </w:p>
    <w:p w14:paraId="5FF95FC4" w14:textId="77777777" w:rsidR="00D318B0" w:rsidRDefault="00D318B0" w:rsidP="00897643">
      <w:pPr>
        <w:spacing w:line="480" w:lineRule="auto"/>
        <w:rPr>
          <w:rFonts w:ascii="Times New Roman" w:hAnsi="Times New Roman" w:cs="Times New Roman"/>
          <w:szCs w:val="24"/>
        </w:rPr>
      </w:pPr>
    </w:p>
    <w:p w14:paraId="16B26DAF" w14:textId="77777777" w:rsidR="00D318B0" w:rsidRDefault="00D318B0" w:rsidP="00897643">
      <w:pPr>
        <w:spacing w:line="480" w:lineRule="auto"/>
        <w:rPr>
          <w:rFonts w:ascii="Times New Roman" w:hAnsi="Times New Roman" w:cs="Times New Roman"/>
          <w:szCs w:val="24"/>
        </w:rPr>
      </w:pPr>
    </w:p>
    <w:p w14:paraId="231EC24A" w14:textId="77777777" w:rsidR="00D318B0" w:rsidRDefault="00D318B0" w:rsidP="00897643">
      <w:pPr>
        <w:spacing w:line="480" w:lineRule="auto"/>
        <w:rPr>
          <w:rFonts w:ascii="Times New Roman" w:hAnsi="Times New Roman" w:cs="Times New Roman"/>
          <w:szCs w:val="24"/>
        </w:rPr>
      </w:pPr>
    </w:p>
    <w:p w14:paraId="01438D4A" w14:textId="77777777" w:rsidR="00D318B0" w:rsidRDefault="00D318B0" w:rsidP="00897643">
      <w:pPr>
        <w:spacing w:line="480" w:lineRule="auto"/>
        <w:rPr>
          <w:rFonts w:ascii="Times New Roman" w:hAnsi="Times New Roman" w:cs="Times New Roman"/>
          <w:szCs w:val="24"/>
        </w:rPr>
      </w:pPr>
    </w:p>
    <w:p w14:paraId="07E6D43E" w14:textId="77777777" w:rsidR="00D318B0" w:rsidRDefault="00D318B0" w:rsidP="00897643">
      <w:pPr>
        <w:spacing w:line="480" w:lineRule="auto"/>
        <w:rPr>
          <w:rFonts w:ascii="Times New Roman" w:hAnsi="Times New Roman" w:cs="Times New Roman"/>
          <w:szCs w:val="24"/>
        </w:rPr>
      </w:pPr>
    </w:p>
    <w:p w14:paraId="7E77B303" w14:textId="77777777" w:rsidR="00D318B0" w:rsidRDefault="00D318B0" w:rsidP="00897643">
      <w:pPr>
        <w:spacing w:line="480" w:lineRule="auto"/>
        <w:rPr>
          <w:rFonts w:ascii="Times New Roman" w:hAnsi="Times New Roman" w:cs="Times New Roman"/>
          <w:szCs w:val="24"/>
        </w:rPr>
      </w:pPr>
    </w:p>
    <w:p w14:paraId="257A4911" w14:textId="77777777" w:rsidR="00D318B0" w:rsidRDefault="00D318B0" w:rsidP="00897643">
      <w:pPr>
        <w:spacing w:line="480" w:lineRule="auto"/>
        <w:rPr>
          <w:rFonts w:ascii="Times New Roman" w:hAnsi="Times New Roman" w:cs="Times New Roman"/>
          <w:szCs w:val="24"/>
        </w:rPr>
      </w:pPr>
    </w:p>
    <w:p w14:paraId="3077B779" w14:textId="77777777" w:rsidR="00D318B0" w:rsidRDefault="00D318B0" w:rsidP="00897643">
      <w:pPr>
        <w:spacing w:line="480" w:lineRule="auto"/>
        <w:rPr>
          <w:rFonts w:ascii="Times New Roman" w:hAnsi="Times New Roman" w:cs="Times New Roman"/>
          <w:b/>
          <w:bCs/>
          <w:color w:val="000000" w:themeColor="text1"/>
          <w:szCs w:val="24"/>
        </w:rPr>
      </w:pPr>
    </w:p>
    <w:p w14:paraId="7BC658D2" w14:textId="77777777" w:rsidR="00D318B0" w:rsidRDefault="00D318B0" w:rsidP="00897643">
      <w:pPr>
        <w:spacing w:line="480" w:lineRule="auto"/>
        <w:rPr>
          <w:rFonts w:ascii="Times New Roman" w:hAnsi="Times New Roman" w:cs="Times New Roman"/>
          <w:b/>
          <w:bCs/>
          <w:color w:val="000000" w:themeColor="text1"/>
          <w:szCs w:val="24"/>
        </w:rPr>
      </w:pPr>
    </w:p>
    <w:p w14:paraId="034A7584" w14:textId="77777777" w:rsidR="00D318B0" w:rsidRDefault="00D318B0" w:rsidP="00897643">
      <w:pPr>
        <w:spacing w:line="480" w:lineRule="auto"/>
        <w:rPr>
          <w:rFonts w:ascii="Times New Roman" w:hAnsi="Times New Roman" w:cs="Times New Roman"/>
          <w:b/>
          <w:bCs/>
          <w:color w:val="000000" w:themeColor="text1"/>
          <w:szCs w:val="24"/>
        </w:rPr>
      </w:pPr>
    </w:p>
    <w:p w14:paraId="5A8AFAEE" w14:textId="77777777" w:rsidR="00D318B0" w:rsidRDefault="00D318B0" w:rsidP="00897643">
      <w:pPr>
        <w:spacing w:line="480" w:lineRule="auto"/>
        <w:rPr>
          <w:rFonts w:ascii="Times New Roman" w:hAnsi="Times New Roman" w:cs="Times New Roman"/>
          <w:b/>
          <w:bCs/>
          <w:color w:val="000000" w:themeColor="text1"/>
          <w:szCs w:val="24"/>
        </w:rPr>
      </w:pPr>
    </w:p>
    <w:p w14:paraId="20C95C39" w14:textId="77777777" w:rsidR="00D318B0" w:rsidRPr="00796E84" w:rsidRDefault="00D318B0" w:rsidP="00897643">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67E3C66E" w14:textId="77777777" w:rsidR="00D318B0" w:rsidRPr="00796E84" w:rsidRDefault="00D318B0" w:rsidP="00897643">
          <w:pPr>
            <w:pStyle w:val="TOCHeading"/>
            <w:spacing w:line="480" w:lineRule="auto"/>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28404DFE"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45FCCF8E"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0EB362F7"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12E8522F"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75A58E3E"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6B4ED110"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49B74C6C"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17FB9D95"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2AD92882" w14:textId="77777777" w:rsidR="00D318B0" w:rsidRPr="00796E84" w:rsidRDefault="00D318B0" w:rsidP="00897643">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67F3D2B9" w14:textId="77777777" w:rsidR="00D318B0" w:rsidRPr="00796E84" w:rsidRDefault="00D318B0" w:rsidP="00897643">
          <w:pPr>
            <w:spacing w:line="480" w:lineRule="auto"/>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0FE7F8B3"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513C974F"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1C8598F4"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4C4987A8"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3BE608A8"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02E6D998"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6D365769"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58C44404" w14:textId="77777777" w:rsidR="00D318B0" w:rsidRPr="00796E84" w:rsidRDefault="00D318B0" w:rsidP="00897643">
      <w:pPr>
        <w:spacing w:line="480" w:lineRule="auto"/>
        <w:rPr>
          <w:rFonts w:ascii="Times New Roman" w:hAnsi="Times New Roman" w:cs="Times New Roman"/>
          <w:b/>
          <w:bCs/>
          <w:color w:val="000000" w:themeColor="text1"/>
          <w:szCs w:val="24"/>
        </w:rPr>
      </w:pPr>
    </w:p>
    <w:p w14:paraId="7C723B5F" w14:textId="77777777" w:rsidR="00D318B0" w:rsidRPr="00796E84" w:rsidRDefault="00D318B0" w:rsidP="0089764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0432B98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In today’s globalized and highly competitive business environment, achieving and sustaining </w:t>
      </w:r>
      <w:r w:rsidRPr="00BD4F16">
        <w:rPr>
          <w:rFonts w:ascii="Times New Roman" w:hAnsi="Times New Roman" w:cs="Times New Roman"/>
          <w:b/>
          <w:bCs/>
          <w:color w:val="000000" w:themeColor="text1"/>
          <w:szCs w:val="24"/>
        </w:rPr>
        <w:t>competitive advantage</w:t>
      </w:r>
      <w:r w:rsidRPr="00BD4F16">
        <w:rPr>
          <w:rFonts w:ascii="Times New Roman" w:hAnsi="Times New Roman" w:cs="Times New Roman"/>
          <w:color w:val="000000" w:themeColor="text1"/>
          <w:szCs w:val="24"/>
        </w:rPr>
        <w:t xml:space="preserve"> is a central objective for organizations. Competitive advantage refers to a firm’s ability to outperform its competitors by delivering greater value to customers or by operating more efficiently (Porter, 1985; Barney, 1991). As industries become increasingly saturated and dynamic, firms must adopt effective strategic positioning approaches to maintain profitability and long-term success.</w:t>
      </w:r>
    </w:p>
    <w:p w14:paraId="29048693"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One of the most influential frameworks in strategic management is </w:t>
      </w:r>
      <w:r w:rsidRPr="00BD4F16">
        <w:rPr>
          <w:rFonts w:ascii="Times New Roman" w:hAnsi="Times New Roman" w:cs="Times New Roman"/>
          <w:b/>
          <w:bCs/>
          <w:color w:val="000000" w:themeColor="text1"/>
          <w:szCs w:val="24"/>
        </w:rPr>
        <w:t>Porter’s Generic Strategies</w:t>
      </w:r>
      <w:r w:rsidRPr="00BD4F16">
        <w:rPr>
          <w:rFonts w:ascii="Times New Roman" w:hAnsi="Times New Roman" w:cs="Times New Roman"/>
          <w:color w:val="000000" w:themeColor="text1"/>
          <w:szCs w:val="24"/>
        </w:rPr>
        <w:t>, which identifies three primary approaches to achieving competitive advantage: cost leadership, differentiation, and focus (Porter, 1985). Cost leadership enables firms to compete on price by achieving operational efficiency, while differentiation focuses on offering unique products or services that command premium pricing. The focus strategy targets specific market segments, allowing firms to tailor their offerings to niche audiences (Porter, 2008).</w:t>
      </w:r>
    </w:p>
    <w:p w14:paraId="2DAB8C05"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In contrast, the </w:t>
      </w:r>
      <w:r w:rsidRPr="00BD4F16">
        <w:rPr>
          <w:rFonts w:ascii="Times New Roman" w:hAnsi="Times New Roman" w:cs="Times New Roman"/>
          <w:b/>
          <w:bCs/>
          <w:color w:val="000000" w:themeColor="text1"/>
          <w:szCs w:val="24"/>
        </w:rPr>
        <w:t>Resource-Based View (RBV)</w:t>
      </w:r>
      <w:r w:rsidRPr="00BD4F16">
        <w:rPr>
          <w:rFonts w:ascii="Times New Roman" w:hAnsi="Times New Roman" w:cs="Times New Roman"/>
          <w:color w:val="000000" w:themeColor="text1"/>
          <w:szCs w:val="24"/>
        </w:rPr>
        <w:t xml:space="preserve"> emphasizes the importance of internal resources and capabilities as sources of competitive advantage. According to Barney (1991), firms achieve sustained competitive advantage by possessing resources that are valuable, rare, inimitable, and non-substitutable (VRIN). This perspective shifts the focus from external market positioning to internal strengths, highlighting the role of organizational capabilities in driving performance (Peteraf, 1993; Grant, 1991).</w:t>
      </w:r>
    </w:p>
    <w:p w14:paraId="292774C2"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Another important framework is the </w:t>
      </w:r>
      <w:r w:rsidRPr="00BD4F16">
        <w:rPr>
          <w:rFonts w:ascii="Times New Roman" w:hAnsi="Times New Roman" w:cs="Times New Roman"/>
          <w:b/>
          <w:bCs/>
          <w:color w:val="000000" w:themeColor="text1"/>
          <w:szCs w:val="24"/>
        </w:rPr>
        <w:t>Blue Ocean Strategy</w:t>
      </w:r>
      <w:r w:rsidRPr="00BD4F16">
        <w:rPr>
          <w:rFonts w:ascii="Times New Roman" w:hAnsi="Times New Roman" w:cs="Times New Roman"/>
          <w:color w:val="000000" w:themeColor="text1"/>
          <w:szCs w:val="24"/>
        </w:rPr>
        <w:t xml:space="preserve">, which advocates for creating new market spaces rather than competing in existing ones. Kim and Mauborgne (2005) argue that firms can achieve competitive advantage by pursuing value innovation—simultaneously </w:t>
      </w:r>
      <w:r w:rsidRPr="00BD4F16">
        <w:rPr>
          <w:rFonts w:ascii="Times New Roman" w:hAnsi="Times New Roman" w:cs="Times New Roman"/>
          <w:color w:val="000000" w:themeColor="text1"/>
          <w:szCs w:val="24"/>
        </w:rPr>
        <w:lastRenderedPageBreak/>
        <w:t>increasing value for customers while reducing costs. This approach enables organizations to avoid intense competition and create uncontested market opportunities (Leavy, 2018).</w:t>
      </w:r>
    </w:p>
    <w:p w14:paraId="69B70141"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concept of </w:t>
      </w:r>
      <w:r w:rsidRPr="00BD4F16">
        <w:rPr>
          <w:rFonts w:ascii="Times New Roman" w:hAnsi="Times New Roman" w:cs="Times New Roman"/>
          <w:b/>
          <w:bCs/>
          <w:color w:val="000000" w:themeColor="text1"/>
          <w:szCs w:val="24"/>
        </w:rPr>
        <w:t>dynamic capabilities</w:t>
      </w:r>
      <w:r w:rsidRPr="00BD4F16">
        <w:rPr>
          <w:rFonts w:ascii="Times New Roman" w:hAnsi="Times New Roman" w:cs="Times New Roman"/>
          <w:color w:val="000000" w:themeColor="text1"/>
          <w:szCs w:val="24"/>
        </w:rPr>
        <w:t xml:space="preserve"> further extends the RBV by emphasizing the ability of firms to adapt and reconfigure resources in response to changing environments (Teece et al., 1997). In rapidly evolving industries, the ability to innovate and respond to market changes is critical for sustaining competitive advantage (Barney, 2001).</w:t>
      </w:r>
    </w:p>
    <w:p w14:paraId="2CB7FF18"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Strategic positioning is also closely linked to </w:t>
      </w:r>
      <w:r w:rsidRPr="00BD4F16">
        <w:rPr>
          <w:rFonts w:ascii="Times New Roman" w:hAnsi="Times New Roman" w:cs="Times New Roman"/>
          <w:b/>
          <w:bCs/>
          <w:color w:val="000000" w:themeColor="text1"/>
          <w:szCs w:val="24"/>
        </w:rPr>
        <w:t>industry structure and competitive forces</w:t>
      </w:r>
      <w:r w:rsidRPr="00BD4F16">
        <w:rPr>
          <w:rFonts w:ascii="Times New Roman" w:hAnsi="Times New Roman" w:cs="Times New Roman"/>
          <w:color w:val="000000" w:themeColor="text1"/>
          <w:szCs w:val="24"/>
        </w:rPr>
        <w:t xml:space="preserve">. Porter’s Five Forces framework highlights how factors such as rivalry, supplier power, and threat of substitutes influence competitive dynamics and profitability (Porter, 2008). Firms must </w:t>
      </w:r>
      <w:proofErr w:type="spellStart"/>
      <w:r w:rsidRPr="00BD4F16">
        <w:rPr>
          <w:rFonts w:ascii="Times New Roman" w:hAnsi="Times New Roman" w:cs="Times New Roman"/>
          <w:color w:val="000000" w:themeColor="text1"/>
          <w:szCs w:val="24"/>
        </w:rPr>
        <w:t>analyze</w:t>
      </w:r>
      <w:proofErr w:type="spellEnd"/>
      <w:r w:rsidRPr="00BD4F16">
        <w:rPr>
          <w:rFonts w:ascii="Times New Roman" w:hAnsi="Times New Roman" w:cs="Times New Roman"/>
          <w:color w:val="000000" w:themeColor="text1"/>
          <w:szCs w:val="24"/>
        </w:rPr>
        <w:t xml:space="preserve"> these forces to develop effective strategies that enhance their competitive position.</w:t>
      </w:r>
    </w:p>
    <w:p w14:paraId="29C20573"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Despite the availability of these frameworks, organizations face challenges in sustaining competitive advantage. Rapid technological advancements, globalization, and changing consumer preferences create uncertainty and intensify competition (Teece et al., 1997; Grant, 1991). As a result, firms must continuously innovate and adapt their strategies to remain competitive.</w:t>
      </w:r>
    </w:p>
    <w:p w14:paraId="1357DC6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This report aims to examine how companies create and sustain competitive advantage in highly competitive industries by </w:t>
      </w:r>
      <w:proofErr w:type="spellStart"/>
      <w:r w:rsidRPr="00BD4F16">
        <w:rPr>
          <w:rFonts w:ascii="Times New Roman" w:hAnsi="Times New Roman" w:cs="Times New Roman"/>
          <w:color w:val="000000" w:themeColor="text1"/>
          <w:szCs w:val="24"/>
        </w:rPr>
        <w:t>analyzing</w:t>
      </w:r>
      <w:proofErr w:type="spellEnd"/>
      <w:r w:rsidRPr="00BD4F16">
        <w:rPr>
          <w:rFonts w:ascii="Times New Roman" w:hAnsi="Times New Roman" w:cs="Times New Roman"/>
          <w:color w:val="000000" w:themeColor="text1"/>
          <w:szCs w:val="24"/>
        </w:rPr>
        <w:t xml:space="preserve"> key strategic positioning frameworks, including Porter’s Generic Strategies, the Resource-Based View, and Blue Ocean Strategy. It also evaluates the application of these frameworks in real-world industries and identifies strategies that businesses can adopt to maintain long-term profitability. By integrating theoretical insights with practical examples, the study provides a comprehensive understanding of competitive advantage and strategic positioning (Porter, 1985; Barney, 1991; Kim &amp; Mauborgne, 2005).</w:t>
      </w:r>
    </w:p>
    <w:p w14:paraId="2328DF72" w14:textId="77777777" w:rsidR="00D318B0" w:rsidRPr="009D5A31" w:rsidRDefault="00D318B0" w:rsidP="00897643">
      <w:pPr>
        <w:spacing w:line="480" w:lineRule="auto"/>
        <w:rPr>
          <w:rFonts w:ascii="Times New Roman" w:hAnsi="Times New Roman" w:cs="Times New Roman"/>
          <w:color w:val="000000" w:themeColor="text1"/>
          <w:szCs w:val="24"/>
        </w:rPr>
      </w:pPr>
    </w:p>
    <w:p w14:paraId="7210E30A" w14:textId="77777777" w:rsidR="00D318B0" w:rsidRPr="00BD4F16" w:rsidRDefault="00D318B0"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 xml:space="preserve">Literature review </w:t>
      </w:r>
    </w:p>
    <w:p w14:paraId="1FEC3487"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 concept of competitive advantage and strategic positioning has been extensively explored in strategic management literature. Scholars emphasize that firms achieve superior performance by effectively aligning internal capabilities with external market conditions (Porter, 1985; Barney, 1991).</w:t>
      </w:r>
    </w:p>
    <w:p w14:paraId="43A7D49E"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Porter’s Generic Strategies and Competitive Positioning</w:t>
      </w:r>
    </w:p>
    <w:p w14:paraId="1894865F"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Porter’s (1985) </w:t>
      </w:r>
      <w:r w:rsidRPr="00BD4F16">
        <w:rPr>
          <w:rFonts w:ascii="Times New Roman" w:hAnsi="Times New Roman" w:cs="Times New Roman"/>
          <w:b/>
          <w:bCs/>
          <w:color w:val="000000" w:themeColor="text1"/>
          <w:szCs w:val="24"/>
        </w:rPr>
        <w:t>Generic Strategies framework</w:t>
      </w:r>
      <w:r w:rsidRPr="00BD4F16">
        <w:rPr>
          <w:rFonts w:ascii="Times New Roman" w:hAnsi="Times New Roman" w:cs="Times New Roman"/>
          <w:color w:val="000000" w:themeColor="text1"/>
          <w:szCs w:val="24"/>
        </w:rPr>
        <w:t xml:space="preserve"> remains one of the most influential models for understanding competitive advantage. It identifies three strategic approaches: </w:t>
      </w:r>
      <w:r w:rsidRPr="00BD4F16">
        <w:rPr>
          <w:rFonts w:ascii="Times New Roman" w:hAnsi="Times New Roman" w:cs="Times New Roman"/>
          <w:b/>
          <w:bCs/>
          <w:color w:val="000000" w:themeColor="text1"/>
          <w:szCs w:val="24"/>
        </w:rPr>
        <w:t>cost leadership</w:t>
      </w:r>
      <w:r w:rsidRPr="00BD4F16">
        <w:rPr>
          <w:rFonts w:ascii="Times New Roman" w:hAnsi="Times New Roman" w:cs="Times New Roman"/>
          <w:color w:val="000000" w:themeColor="text1"/>
          <w:szCs w:val="24"/>
        </w:rPr>
        <w:t xml:space="preserve">, </w:t>
      </w:r>
      <w:r w:rsidRPr="00BD4F16">
        <w:rPr>
          <w:rFonts w:ascii="Times New Roman" w:hAnsi="Times New Roman" w:cs="Times New Roman"/>
          <w:b/>
          <w:bCs/>
          <w:color w:val="000000" w:themeColor="text1"/>
          <w:szCs w:val="24"/>
        </w:rPr>
        <w:t>differentiation</w:t>
      </w:r>
      <w:r w:rsidRPr="00BD4F16">
        <w:rPr>
          <w:rFonts w:ascii="Times New Roman" w:hAnsi="Times New Roman" w:cs="Times New Roman"/>
          <w:color w:val="000000" w:themeColor="text1"/>
          <w:szCs w:val="24"/>
        </w:rPr>
        <w:t xml:space="preserve">, and </w:t>
      </w:r>
      <w:r w:rsidRPr="00BD4F16">
        <w:rPr>
          <w:rFonts w:ascii="Times New Roman" w:hAnsi="Times New Roman" w:cs="Times New Roman"/>
          <w:b/>
          <w:bCs/>
          <w:color w:val="000000" w:themeColor="text1"/>
          <w:szCs w:val="24"/>
        </w:rPr>
        <w:t>focus</w:t>
      </w:r>
      <w:r w:rsidRPr="00BD4F16">
        <w:rPr>
          <w:rFonts w:ascii="Times New Roman" w:hAnsi="Times New Roman" w:cs="Times New Roman"/>
          <w:color w:val="000000" w:themeColor="text1"/>
          <w:szCs w:val="24"/>
        </w:rPr>
        <w:t>. Cost leadership enables firms to achieve competitive advantage through operational efficiency and cost minimization, while differentiation allows firms to offer unique products or services that justify premium pricing (Porter, 2008).</w:t>
      </w:r>
    </w:p>
    <w:p w14:paraId="14F39D3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Empirical studies suggest that firms that successfully implement a clear strategic position outperform those that attempt to combine multiple strategies without alignment (Porter, 1985; Miller, 1992). However, critics argue that hybrid strategies can also be effective in dynamic environments, challenging Porter’s original assumptions (Kim et al., 2004).</w:t>
      </w:r>
    </w:p>
    <w:p w14:paraId="60E405E0"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Resource-Based View (RBV)</w:t>
      </w:r>
    </w:p>
    <w:p w14:paraId="26C23E9D"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w:t>
      </w:r>
      <w:r w:rsidRPr="00BD4F16">
        <w:rPr>
          <w:rFonts w:ascii="Times New Roman" w:hAnsi="Times New Roman" w:cs="Times New Roman"/>
          <w:b/>
          <w:bCs/>
          <w:color w:val="000000" w:themeColor="text1"/>
          <w:szCs w:val="24"/>
        </w:rPr>
        <w:t>Resource-Based View (RBV)</w:t>
      </w:r>
      <w:r w:rsidRPr="00BD4F16">
        <w:rPr>
          <w:rFonts w:ascii="Times New Roman" w:hAnsi="Times New Roman" w:cs="Times New Roman"/>
          <w:color w:val="000000" w:themeColor="text1"/>
          <w:szCs w:val="24"/>
        </w:rPr>
        <w:t xml:space="preserve"> provides an internal perspective on competitive advantage, emphasizing the role of firm-specific resources and capabilities (Barney, 1991). According to this framework, sustainable competitive advantage arises from resources that are valuable, rare, inimitable, and non-substitutable (VRIN).</w:t>
      </w:r>
    </w:p>
    <w:p w14:paraId="04E8D785" w14:textId="77777777" w:rsidR="00BD4F16" w:rsidRPr="00BD4F16" w:rsidRDefault="00BD4F16" w:rsidP="00897643">
      <w:pPr>
        <w:spacing w:line="480" w:lineRule="auto"/>
        <w:rPr>
          <w:rFonts w:ascii="Times New Roman" w:hAnsi="Times New Roman" w:cs="Times New Roman"/>
          <w:color w:val="000000" w:themeColor="text1"/>
          <w:szCs w:val="24"/>
        </w:rPr>
      </w:pPr>
      <w:proofErr w:type="spellStart"/>
      <w:r w:rsidRPr="00BD4F16">
        <w:rPr>
          <w:rFonts w:ascii="Times New Roman" w:hAnsi="Times New Roman" w:cs="Times New Roman"/>
          <w:color w:val="000000" w:themeColor="text1"/>
          <w:szCs w:val="24"/>
        </w:rPr>
        <w:lastRenderedPageBreak/>
        <w:t>Peteraf</w:t>
      </w:r>
      <w:proofErr w:type="spellEnd"/>
      <w:r w:rsidRPr="00BD4F16">
        <w:rPr>
          <w:rFonts w:ascii="Times New Roman" w:hAnsi="Times New Roman" w:cs="Times New Roman"/>
          <w:color w:val="000000" w:themeColor="text1"/>
          <w:szCs w:val="24"/>
        </w:rPr>
        <w:t xml:space="preserve"> (1993) further elaborates on RBV by identifying four conditions for sustained competitive advantage: resource heterogeneity, ex post limits to competition, imperfect mobility, and ex ante limits to competition. Grant (1991) also highlights the importance of knowledge-based resources as critical drivers of competitive advantage.</w:t>
      </w:r>
    </w:p>
    <w:p w14:paraId="73A0AB8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Recent research extends RBV by incorporating </w:t>
      </w:r>
      <w:r w:rsidRPr="00BD4F16">
        <w:rPr>
          <w:rFonts w:ascii="Times New Roman" w:hAnsi="Times New Roman" w:cs="Times New Roman"/>
          <w:b/>
          <w:bCs/>
          <w:color w:val="000000" w:themeColor="text1"/>
          <w:szCs w:val="24"/>
        </w:rPr>
        <w:t>dynamic capabilities</w:t>
      </w:r>
      <w:r w:rsidRPr="00BD4F16">
        <w:rPr>
          <w:rFonts w:ascii="Times New Roman" w:hAnsi="Times New Roman" w:cs="Times New Roman"/>
          <w:color w:val="000000" w:themeColor="text1"/>
          <w:szCs w:val="24"/>
        </w:rPr>
        <w:t>, which refer to a firm’s ability to adapt, integrate, and reconfigure resources in response to changing environments (Teece et al., 1997; Eisenhardt &amp; Martin, 2000). These capabilities are particularly important in industries characterized by rapid technological change.</w:t>
      </w:r>
    </w:p>
    <w:p w14:paraId="75E26729"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Blue Ocean Strategy</w:t>
      </w:r>
    </w:p>
    <w:p w14:paraId="099C846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w:t>
      </w:r>
      <w:r w:rsidRPr="00BD4F16">
        <w:rPr>
          <w:rFonts w:ascii="Times New Roman" w:hAnsi="Times New Roman" w:cs="Times New Roman"/>
          <w:b/>
          <w:bCs/>
          <w:color w:val="000000" w:themeColor="text1"/>
          <w:szCs w:val="24"/>
        </w:rPr>
        <w:t>Blue Ocean Strategy</w:t>
      </w:r>
      <w:r w:rsidRPr="00BD4F16">
        <w:rPr>
          <w:rFonts w:ascii="Times New Roman" w:hAnsi="Times New Roman" w:cs="Times New Roman"/>
          <w:color w:val="000000" w:themeColor="text1"/>
          <w:szCs w:val="24"/>
        </w:rPr>
        <w:t xml:space="preserve">, developed by Kim and Mauborgne (2005), represents a shift from competing in existing markets (“red oceans”) to creating new, uncontested market spaces (“blue oceans”). This strategy focuses on </w:t>
      </w:r>
      <w:r w:rsidRPr="00BD4F16">
        <w:rPr>
          <w:rFonts w:ascii="Times New Roman" w:hAnsi="Times New Roman" w:cs="Times New Roman"/>
          <w:b/>
          <w:bCs/>
          <w:color w:val="000000" w:themeColor="text1"/>
          <w:szCs w:val="24"/>
        </w:rPr>
        <w:t>value innovation</w:t>
      </w:r>
      <w:r w:rsidRPr="00BD4F16">
        <w:rPr>
          <w:rFonts w:ascii="Times New Roman" w:hAnsi="Times New Roman" w:cs="Times New Roman"/>
          <w:color w:val="000000" w:themeColor="text1"/>
          <w:szCs w:val="24"/>
        </w:rPr>
        <w:t>, which simultaneously increases customer value while reducing costs.</w:t>
      </w:r>
    </w:p>
    <w:p w14:paraId="54907501"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Leavy (2018) emphasizes that Blue Ocean Strategy enables firms to escape intense competition by redefining market boundaries and creating new demand. However, critics argue that sustaining a blue ocean can be challenging, as competitors may eventually imitate successful innovations (Kim &amp; Mauborgne, 2015).</w:t>
      </w:r>
    </w:p>
    <w:p w14:paraId="44E57E6E"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Industry Structure and Competitive Forces</w:t>
      </w:r>
    </w:p>
    <w:p w14:paraId="33301E5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Porter’s (2008) </w:t>
      </w:r>
      <w:r w:rsidRPr="00BD4F16">
        <w:rPr>
          <w:rFonts w:ascii="Times New Roman" w:hAnsi="Times New Roman" w:cs="Times New Roman"/>
          <w:b/>
          <w:bCs/>
          <w:color w:val="000000" w:themeColor="text1"/>
          <w:szCs w:val="24"/>
        </w:rPr>
        <w:t>Five Forces framework</w:t>
      </w:r>
      <w:r w:rsidRPr="00BD4F16">
        <w:rPr>
          <w:rFonts w:ascii="Times New Roman" w:hAnsi="Times New Roman" w:cs="Times New Roman"/>
          <w:color w:val="000000" w:themeColor="text1"/>
          <w:szCs w:val="24"/>
        </w:rPr>
        <w:t xml:space="preserve"> provides a comprehensive approach to </w:t>
      </w:r>
      <w:proofErr w:type="spellStart"/>
      <w:r w:rsidRPr="00BD4F16">
        <w:rPr>
          <w:rFonts w:ascii="Times New Roman" w:hAnsi="Times New Roman" w:cs="Times New Roman"/>
          <w:color w:val="000000" w:themeColor="text1"/>
          <w:szCs w:val="24"/>
        </w:rPr>
        <w:t>analyzing</w:t>
      </w:r>
      <w:proofErr w:type="spellEnd"/>
      <w:r w:rsidRPr="00BD4F16">
        <w:rPr>
          <w:rFonts w:ascii="Times New Roman" w:hAnsi="Times New Roman" w:cs="Times New Roman"/>
          <w:color w:val="000000" w:themeColor="text1"/>
          <w:szCs w:val="24"/>
        </w:rPr>
        <w:t xml:space="preserve"> industry structure and competitive dynamics. The framework identifies five key forces: competitive rivalry, threat of new entrants, bargaining power of suppliers, bargaining power of buyers, and threat of substitutes.</w:t>
      </w:r>
    </w:p>
    <w:p w14:paraId="580914BF"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lastRenderedPageBreak/>
        <w:t>Understanding these forces enables firms to identify opportunities and threats within their industry and develop strategies to enhance their competitive position (Porter, 2008; Grant, 1991).</w:t>
      </w:r>
    </w:p>
    <w:p w14:paraId="6F6DCA1C"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Strategic Positioning in Practice</w:t>
      </w:r>
    </w:p>
    <w:p w14:paraId="61EF957F"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Strategic positioning involves aligning a firm’s resources and capabilities with market opportunities to create a unique value proposition (Porter, 1985). Research indicates that firms that effectively integrate internal and external perspectives are more likely to achieve sustained competitive advantage (Barney, 2001; Teece et al., 1997).</w:t>
      </w:r>
    </w:p>
    <w:p w14:paraId="3F4716C2"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For example:</w:t>
      </w:r>
    </w:p>
    <w:p w14:paraId="2540E05A" w14:textId="77777777" w:rsidR="00BD4F16" w:rsidRPr="00BD4F16" w:rsidRDefault="00BD4F16" w:rsidP="00897643">
      <w:pPr>
        <w:numPr>
          <w:ilvl w:val="0"/>
          <w:numId w:val="1"/>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Apple</w:t>
      </w:r>
      <w:r w:rsidRPr="00BD4F16">
        <w:rPr>
          <w:rFonts w:ascii="Times New Roman" w:hAnsi="Times New Roman" w:cs="Times New Roman"/>
          <w:color w:val="000000" w:themeColor="text1"/>
          <w:szCs w:val="24"/>
        </w:rPr>
        <w:t xml:space="preserve"> uses differentiation through innovation and design </w:t>
      </w:r>
    </w:p>
    <w:p w14:paraId="44EBA84C" w14:textId="77777777" w:rsidR="00BD4F16" w:rsidRPr="00BD4F16" w:rsidRDefault="00BD4F16" w:rsidP="00897643">
      <w:pPr>
        <w:numPr>
          <w:ilvl w:val="0"/>
          <w:numId w:val="1"/>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Walmart</w:t>
      </w:r>
      <w:r w:rsidRPr="00BD4F16">
        <w:rPr>
          <w:rFonts w:ascii="Times New Roman" w:hAnsi="Times New Roman" w:cs="Times New Roman"/>
          <w:color w:val="000000" w:themeColor="text1"/>
          <w:szCs w:val="24"/>
        </w:rPr>
        <w:t xml:space="preserve"> achieves cost leadership through operational efficiency </w:t>
      </w:r>
    </w:p>
    <w:p w14:paraId="1FA45004" w14:textId="77777777" w:rsidR="00BD4F16" w:rsidRPr="00BD4F16" w:rsidRDefault="00BD4F16" w:rsidP="00897643">
      <w:pPr>
        <w:numPr>
          <w:ilvl w:val="0"/>
          <w:numId w:val="1"/>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Netflix</w:t>
      </w:r>
      <w:r w:rsidRPr="00BD4F16">
        <w:rPr>
          <w:rFonts w:ascii="Times New Roman" w:hAnsi="Times New Roman" w:cs="Times New Roman"/>
          <w:color w:val="000000" w:themeColor="text1"/>
          <w:szCs w:val="24"/>
        </w:rPr>
        <w:t xml:space="preserve"> combines differentiation and innovation through digital transformation </w:t>
      </w:r>
    </w:p>
    <w:p w14:paraId="7D9E6C36"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These examples demonstrate the practical application of strategic frameworks in achieving competitive advantage.</w:t>
      </w:r>
    </w:p>
    <w:p w14:paraId="41AA4DC0"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Challenges in Sustaining Competitive Advantage</w:t>
      </w:r>
    </w:p>
    <w:p w14:paraId="3D759B96"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Despite the effectiveness of strategic frameworks, sustaining competitive advantage remains challenging. Factors such as technological disruption, globalization, and changing consumer preferences increase competitive pressure (Teece et al., 1997).</w:t>
      </w:r>
    </w:p>
    <w:p w14:paraId="63DEA55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Additionally, competitive advantages may erode over time due to imitation and market changes, requiring firms to continuously innovate and adapt their strategies (Barney, 2001; Eisenhardt &amp; Martin, 2000).</w:t>
      </w:r>
    </w:p>
    <w:p w14:paraId="455F2D3D" w14:textId="77777777" w:rsidR="00D318B0" w:rsidRPr="00BD4F16" w:rsidRDefault="00D318B0"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lastRenderedPageBreak/>
        <w:t xml:space="preserve">Methodology </w:t>
      </w:r>
    </w:p>
    <w:p w14:paraId="43C0E50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This study adopts a </w:t>
      </w:r>
      <w:r w:rsidRPr="00BD4F16">
        <w:rPr>
          <w:rFonts w:ascii="Times New Roman" w:hAnsi="Times New Roman" w:cs="Times New Roman"/>
          <w:b/>
          <w:bCs/>
          <w:color w:val="000000" w:themeColor="text1"/>
          <w:szCs w:val="24"/>
        </w:rPr>
        <w:t>qualitative research approach</w:t>
      </w:r>
      <w:r w:rsidRPr="00BD4F16">
        <w:rPr>
          <w:rFonts w:ascii="Times New Roman" w:hAnsi="Times New Roman" w:cs="Times New Roman"/>
          <w:color w:val="000000" w:themeColor="text1"/>
          <w:szCs w:val="24"/>
        </w:rPr>
        <w:t xml:space="preserve">, using a </w:t>
      </w:r>
      <w:r w:rsidRPr="00BD4F16">
        <w:rPr>
          <w:rFonts w:ascii="Times New Roman" w:hAnsi="Times New Roman" w:cs="Times New Roman"/>
          <w:b/>
          <w:bCs/>
          <w:color w:val="000000" w:themeColor="text1"/>
          <w:szCs w:val="24"/>
        </w:rPr>
        <w:t>systematic literature review</w:t>
      </w:r>
      <w:r w:rsidRPr="00BD4F16">
        <w:rPr>
          <w:rFonts w:ascii="Times New Roman" w:hAnsi="Times New Roman" w:cs="Times New Roman"/>
          <w:color w:val="000000" w:themeColor="text1"/>
          <w:szCs w:val="24"/>
        </w:rPr>
        <w:t xml:space="preserve"> to examine how organizations create and sustain competitive advantage through strategic positioning frameworks, specifically </w:t>
      </w:r>
      <w:r w:rsidRPr="00BD4F16">
        <w:rPr>
          <w:rFonts w:ascii="Times New Roman" w:hAnsi="Times New Roman" w:cs="Times New Roman"/>
          <w:b/>
          <w:bCs/>
          <w:color w:val="000000" w:themeColor="text1"/>
          <w:szCs w:val="24"/>
        </w:rPr>
        <w:t>Porter’s Generic Strategies, the Resource-Based View (RBV), and Blue Ocean Strategy</w:t>
      </w:r>
      <w:r w:rsidRPr="00BD4F16">
        <w:rPr>
          <w:rFonts w:ascii="Times New Roman" w:hAnsi="Times New Roman" w:cs="Times New Roman"/>
          <w:color w:val="000000" w:themeColor="text1"/>
          <w:szCs w:val="24"/>
        </w:rPr>
        <w:t>.</w:t>
      </w:r>
    </w:p>
    <w:p w14:paraId="5A1F95DC"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Research Design</w:t>
      </w:r>
    </w:p>
    <w:p w14:paraId="08C501F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research is grounded in an </w:t>
      </w:r>
      <w:r w:rsidRPr="00BD4F16">
        <w:rPr>
          <w:rFonts w:ascii="Times New Roman" w:hAnsi="Times New Roman" w:cs="Times New Roman"/>
          <w:b/>
          <w:bCs/>
          <w:color w:val="000000" w:themeColor="text1"/>
          <w:szCs w:val="24"/>
        </w:rPr>
        <w:t>interpretivist paradigm</w:t>
      </w:r>
      <w:r w:rsidRPr="00BD4F16">
        <w:rPr>
          <w:rFonts w:ascii="Times New Roman" w:hAnsi="Times New Roman" w:cs="Times New Roman"/>
          <w:color w:val="000000" w:themeColor="text1"/>
          <w:szCs w:val="24"/>
        </w:rPr>
        <w:t xml:space="preserve">, focusing on understanding how strategic frameworks are applied in real-world business contexts to achieve competitive advantage. A qualitative design is appropriate because the study aims to critically </w:t>
      </w:r>
      <w:proofErr w:type="spellStart"/>
      <w:r w:rsidRPr="00BD4F16">
        <w:rPr>
          <w:rFonts w:ascii="Times New Roman" w:hAnsi="Times New Roman" w:cs="Times New Roman"/>
          <w:color w:val="000000" w:themeColor="text1"/>
          <w:szCs w:val="24"/>
        </w:rPr>
        <w:t>analyze</w:t>
      </w:r>
      <w:proofErr w:type="spellEnd"/>
      <w:r w:rsidRPr="00BD4F16">
        <w:rPr>
          <w:rFonts w:ascii="Times New Roman" w:hAnsi="Times New Roman" w:cs="Times New Roman"/>
          <w:color w:val="000000" w:themeColor="text1"/>
          <w:szCs w:val="24"/>
        </w:rPr>
        <w:t xml:space="preserve"> theoretical models and their practical implications rather than quantify relationships (Creswell &amp; Creswell, 2018).</w:t>
      </w:r>
    </w:p>
    <w:p w14:paraId="08E97A43"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The study integrates both </w:t>
      </w:r>
      <w:r w:rsidRPr="00BD4F16">
        <w:rPr>
          <w:rFonts w:ascii="Times New Roman" w:hAnsi="Times New Roman" w:cs="Times New Roman"/>
          <w:b/>
          <w:bCs/>
          <w:color w:val="000000" w:themeColor="text1"/>
          <w:szCs w:val="24"/>
        </w:rPr>
        <w:t>theoretical analysis and applied evaluation</w:t>
      </w:r>
      <w:r w:rsidRPr="00BD4F16">
        <w:rPr>
          <w:rFonts w:ascii="Times New Roman" w:hAnsi="Times New Roman" w:cs="Times New Roman"/>
          <w:color w:val="000000" w:themeColor="text1"/>
          <w:szCs w:val="24"/>
        </w:rPr>
        <w:t>, linking strategic frameworks to real-world industry practices.</w:t>
      </w:r>
    </w:p>
    <w:p w14:paraId="000416CA"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Data Collection</w:t>
      </w:r>
    </w:p>
    <w:p w14:paraId="37EAEA92"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Data were collected from </w:t>
      </w:r>
      <w:r w:rsidRPr="00BD4F16">
        <w:rPr>
          <w:rFonts w:ascii="Times New Roman" w:hAnsi="Times New Roman" w:cs="Times New Roman"/>
          <w:b/>
          <w:bCs/>
          <w:color w:val="000000" w:themeColor="text1"/>
          <w:szCs w:val="24"/>
        </w:rPr>
        <w:t>secondary academic sources</w:t>
      </w:r>
      <w:r w:rsidRPr="00BD4F16">
        <w:rPr>
          <w:rFonts w:ascii="Times New Roman" w:hAnsi="Times New Roman" w:cs="Times New Roman"/>
          <w:color w:val="000000" w:themeColor="text1"/>
          <w:szCs w:val="24"/>
        </w:rPr>
        <w:t>, primarily:</w:t>
      </w:r>
    </w:p>
    <w:p w14:paraId="4A35BCCE" w14:textId="77777777" w:rsidR="00BD4F16" w:rsidRPr="00BD4F16" w:rsidRDefault="00BD4F16" w:rsidP="00897643">
      <w:pPr>
        <w:numPr>
          <w:ilvl w:val="0"/>
          <w:numId w:val="2"/>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Peer-reviewed journal articles </w:t>
      </w:r>
    </w:p>
    <w:p w14:paraId="0A990368" w14:textId="77777777" w:rsidR="00BD4F16" w:rsidRPr="00BD4F16" w:rsidRDefault="00BD4F16" w:rsidP="00897643">
      <w:pPr>
        <w:numPr>
          <w:ilvl w:val="0"/>
          <w:numId w:val="2"/>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Strategic management and operations textbooks </w:t>
      </w:r>
    </w:p>
    <w:p w14:paraId="2B2454B8" w14:textId="77777777" w:rsidR="00BD4F16" w:rsidRPr="00BD4F16" w:rsidRDefault="00BD4F16" w:rsidP="00897643">
      <w:pPr>
        <w:numPr>
          <w:ilvl w:val="0"/>
          <w:numId w:val="2"/>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Case studies of global firms (e.g., Apple, Walmart, Netflix) </w:t>
      </w:r>
    </w:p>
    <w:p w14:paraId="2BD2E991"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 main databases used include:</w:t>
      </w:r>
    </w:p>
    <w:p w14:paraId="55572788" w14:textId="77777777" w:rsidR="00BD4F16" w:rsidRPr="00BD4F16" w:rsidRDefault="00BD4F16" w:rsidP="00897643">
      <w:pPr>
        <w:numPr>
          <w:ilvl w:val="0"/>
          <w:numId w:val="3"/>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Google Scholar</w:t>
      </w:r>
      <w:r w:rsidRPr="00BD4F16">
        <w:rPr>
          <w:rFonts w:ascii="Times New Roman" w:hAnsi="Times New Roman" w:cs="Times New Roman"/>
          <w:color w:val="000000" w:themeColor="text1"/>
          <w:szCs w:val="24"/>
        </w:rPr>
        <w:t xml:space="preserve"> </w:t>
      </w:r>
    </w:p>
    <w:p w14:paraId="0B946DAB" w14:textId="77777777" w:rsidR="00BD4F16" w:rsidRPr="00BD4F16" w:rsidRDefault="00BD4F16" w:rsidP="00897643">
      <w:pPr>
        <w:numPr>
          <w:ilvl w:val="0"/>
          <w:numId w:val="3"/>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lastRenderedPageBreak/>
        <w:t xml:space="preserve">ScienceDirect </w:t>
      </w:r>
    </w:p>
    <w:p w14:paraId="583FE3C1" w14:textId="77777777" w:rsidR="00BD4F16" w:rsidRPr="00BD4F16" w:rsidRDefault="00BD4F16" w:rsidP="00897643">
      <w:pPr>
        <w:numPr>
          <w:ilvl w:val="0"/>
          <w:numId w:val="3"/>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Springer </w:t>
      </w:r>
    </w:p>
    <w:p w14:paraId="26114A84" w14:textId="77777777" w:rsidR="00BD4F16" w:rsidRPr="00BD4F16" w:rsidRDefault="00BD4F16" w:rsidP="00897643">
      <w:pPr>
        <w:numPr>
          <w:ilvl w:val="0"/>
          <w:numId w:val="3"/>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JSTOR </w:t>
      </w:r>
    </w:p>
    <w:p w14:paraId="006476E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Keywords used were directly aligned with the topic, including:</w:t>
      </w:r>
    </w:p>
    <w:p w14:paraId="29326AAA" w14:textId="77777777" w:rsidR="00BD4F16" w:rsidRPr="00BD4F16" w:rsidRDefault="00BD4F16" w:rsidP="00897643">
      <w:pPr>
        <w:numPr>
          <w:ilvl w:val="0"/>
          <w:numId w:val="4"/>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w:t>
      </w:r>
      <w:proofErr w:type="gramStart"/>
      <w:r w:rsidRPr="00BD4F16">
        <w:rPr>
          <w:rFonts w:ascii="Times New Roman" w:hAnsi="Times New Roman" w:cs="Times New Roman"/>
          <w:color w:val="000000" w:themeColor="text1"/>
          <w:szCs w:val="24"/>
        </w:rPr>
        <w:t>competitive</w:t>
      </w:r>
      <w:proofErr w:type="gramEnd"/>
      <w:r w:rsidRPr="00BD4F16">
        <w:rPr>
          <w:rFonts w:ascii="Times New Roman" w:hAnsi="Times New Roman" w:cs="Times New Roman"/>
          <w:color w:val="000000" w:themeColor="text1"/>
          <w:szCs w:val="24"/>
        </w:rPr>
        <w:t xml:space="preserve"> advantage Porter generic strategies” </w:t>
      </w:r>
    </w:p>
    <w:p w14:paraId="0E32C112" w14:textId="77777777" w:rsidR="00BD4F16" w:rsidRPr="00BD4F16" w:rsidRDefault="00BD4F16" w:rsidP="00897643">
      <w:pPr>
        <w:numPr>
          <w:ilvl w:val="0"/>
          <w:numId w:val="4"/>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w:t>
      </w:r>
      <w:proofErr w:type="gramStart"/>
      <w:r w:rsidRPr="00BD4F16">
        <w:rPr>
          <w:rFonts w:ascii="Times New Roman" w:hAnsi="Times New Roman" w:cs="Times New Roman"/>
          <w:color w:val="000000" w:themeColor="text1"/>
          <w:szCs w:val="24"/>
        </w:rPr>
        <w:t>resource</w:t>
      </w:r>
      <w:proofErr w:type="gramEnd"/>
      <w:r w:rsidRPr="00BD4F16">
        <w:rPr>
          <w:rFonts w:ascii="Times New Roman" w:hAnsi="Times New Roman" w:cs="Times New Roman"/>
          <w:color w:val="000000" w:themeColor="text1"/>
          <w:szCs w:val="24"/>
        </w:rPr>
        <w:t xml:space="preserve">-based view firm performance” </w:t>
      </w:r>
    </w:p>
    <w:p w14:paraId="4C259213" w14:textId="77777777" w:rsidR="00BD4F16" w:rsidRPr="00BD4F16" w:rsidRDefault="00BD4F16" w:rsidP="00897643">
      <w:pPr>
        <w:numPr>
          <w:ilvl w:val="0"/>
          <w:numId w:val="4"/>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w:t>
      </w:r>
      <w:proofErr w:type="gramStart"/>
      <w:r w:rsidRPr="00BD4F16">
        <w:rPr>
          <w:rFonts w:ascii="Times New Roman" w:hAnsi="Times New Roman" w:cs="Times New Roman"/>
          <w:color w:val="000000" w:themeColor="text1"/>
          <w:szCs w:val="24"/>
        </w:rPr>
        <w:t>blue</w:t>
      </w:r>
      <w:proofErr w:type="gramEnd"/>
      <w:r w:rsidRPr="00BD4F16">
        <w:rPr>
          <w:rFonts w:ascii="Times New Roman" w:hAnsi="Times New Roman" w:cs="Times New Roman"/>
          <w:color w:val="000000" w:themeColor="text1"/>
          <w:szCs w:val="24"/>
        </w:rPr>
        <w:t xml:space="preserve"> ocean strategy examples” </w:t>
      </w:r>
    </w:p>
    <w:p w14:paraId="5861C821" w14:textId="77777777" w:rsidR="00BD4F16" w:rsidRPr="00BD4F16" w:rsidRDefault="00BD4F16" w:rsidP="00897643">
      <w:pPr>
        <w:numPr>
          <w:ilvl w:val="0"/>
          <w:numId w:val="4"/>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w:t>
      </w:r>
      <w:proofErr w:type="gramStart"/>
      <w:r w:rsidRPr="00BD4F16">
        <w:rPr>
          <w:rFonts w:ascii="Times New Roman" w:hAnsi="Times New Roman" w:cs="Times New Roman"/>
          <w:color w:val="000000" w:themeColor="text1"/>
          <w:szCs w:val="24"/>
        </w:rPr>
        <w:t>strategic</w:t>
      </w:r>
      <w:proofErr w:type="gramEnd"/>
      <w:r w:rsidRPr="00BD4F16">
        <w:rPr>
          <w:rFonts w:ascii="Times New Roman" w:hAnsi="Times New Roman" w:cs="Times New Roman"/>
          <w:color w:val="000000" w:themeColor="text1"/>
          <w:szCs w:val="24"/>
        </w:rPr>
        <w:t xml:space="preserve"> positioning frameworks” </w:t>
      </w:r>
    </w:p>
    <w:p w14:paraId="3A47830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Priority was given to </w:t>
      </w:r>
      <w:r w:rsidRPr="00BD4F16">
        <w:rPr>
          <w:rFonts w:ascii="Times New Roman" w:hAnsi="Times New Roman" w:cs="Times New Roman"/>
          <w:b/>
          <w:bCs/>
          <w:color w:val="000000" w:themeColor="text1"/>
          <w:szCs w:val="24"/>
        </w:rPr>
        <w:t>highly cited articles with DOI references</w:t>
      </w:r>
      <w:r w:rsidRPr="00BD4F16">
        <w:rPr>
          <w:rFonts w:ascii="Times New Roman" w:hAnsi="Times New Roman" w:cs="Times New Roman"/>
          <w:color w:val="000000" w:themeColor="text1"/>
          <w:szCs w:val="24"/>
        </w:rPr>
        <w:t>, ensuring academic credibility and alignment with scholarly research.</w:t>
      </w:r>
    </w:p>
    <w:p w14:paraId="647AE36F"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Analytical Framework</w:t>
      </w:r>
    </w:p>
    <w:p w14:paraId="5973FA21"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 analysis is structured around three core frameworks central to the topic:</w:t>
      </w:r>
    </w:p>
    <w:p w14:paraId="514FB7E7"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1. Porter’s Generic Strategies</w:t>
      </w:r>
    </w:p>
    <w:p w14:paraId="7A4EF2A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Used to evaluate how firms achieve competitive advantage through:</w:t>
      </w:r>
    </w:p>
    <w:p w14:paraId="41C0EE47" w14:textId="77777777" w:rsidR="00BD4F16" w:rsidRPr="00BD4F16" w:rsidRDefault="00BD4F16" w:rsidP="00897643">
      <w:pPr>
        <w:numPr>
          <w:ilvl w:val="0"/>
          <w:numId w:val="5"/>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Cost leadership </w:t>
      </w:r>
    </w:p>
    <w:p w14:paraId="2181F761" w14:textId="77777777" w:rsidR="00BD4F16" w:rsidRPr="00BD4F16" w:rsidRDefault="00BD4F16" w:rsidP="00897643">
      <w:pPr>
        <w:numPr>
          <w:ilvl w:val="0"/>
          <w:numId w:val="5"/>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Differentiation </w:t>
      </w:r>
    </w:p>
    <w:p w14:paraId="11FC190F" w14:textId="77777777" w:rsidR="00BD4F16" w:rsidRPr="00BD4F16" w:rsidRDefault="00BD4F16" w:rsidP="00897643">
      <w:pPr>
        <w:numPr>
          <w:ilvl w:val="0"/>
          <w:numId w:val="5"/>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Focus strategies </w:t>
      </w:r>
    </w:p>
    <w:p w14:paraId="0F5A1F9B"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2. Resource-Based View (RBV)</w:t>
      </w:r>
    </w:p>
    <w:p w14:paraId="0F7B37E8"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lastRenderedPageBreak/>
        <w:t xml:space="preserve">Applied to assess how internal resources and capabilities contribute to sustained competitive advantage using the </w:t>
      </w:r>
      <w:r w:rsidRPr="00BD4F16">
        <w:rPr>
          <w:rFonts w:ascii="Times New Roman" w:hAnsi="Times New Roman" w:cs="Times New Roman"/>
          <w:b/>
          <w:bCs/>
          <w:color w:val="000000" w:themeColor="text1"/>
          <w:szCs w:val="24"/>
        </w:rPr>
        <w:t>VRIN criteria</w:t>
      </w:r>
      <w:r w:rsidRPr="00BD4F16">
        <w:rPr>
          <w:rFonts w:ascii="Times New Roman" w:hAnsi="Times New Roman" w:cs="Times New Roman"/>
          <w:color w:val="000000" w:themeColor="text1"/>
          <w:szCs w:val="24"/>
        </w:rPr>
        <w:t xml:space="preserve"> (Barney, 1991).</w:t>
      </w:r>
    </w:p>
    <w:p w14:paraId="051C7469"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3. Blue Ocean Strategy</w:t>
      </w:r>
    </w:p>
    <w:p w14:paraId="2FAA8B4E"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Used to </w:t>
      </w:r>
      <w:proofErr w:type="spellStart"/>
      <w:r w:rsidRPr="00BD4F16">
        <w:rPr>
          <w:rFonts w:ascii="Times New Roman" w:hAnsi="Times New Roman" w:cs="Times New Roman"/>
          <w:color w:val="000000" w:themeColor="text1"/>
          <w:szCs w:val="24"/>
        </w:rPr>
        <w:t>analyze</w:t>
      </w:r>
      <w:proofErr w:type="spellEnd"/>
      <w:r w:rsidRPr="00BD4F16">
        <w:rPr>
          <w:rFonts w:ascii="Times New Roman" w:hAnsi="Times New Roman" w:cs="Times New Roman"/>
          <w:color w:val="000000" w:themeColor="text1"/>
          <w:szCs w:val="24"/>
        </w:rPr>
        <w:t xml:space="preserve"> how firms create uncontested market space through </w:t>
      </w:r>
      <w:r w:rsidRPr="00BD4F16">
        <w:rPr>
          <w:rFonts w:ascii="Times New Roman" w:hAnsi="Times New Roman" w:cs="Times New Roman"/>
          <w:b/>
          <w:bCs/>
          <w:color w:val="000000" w:themeColor="text1"/>
          <w:szCs w:val="24"/>
        </w:rPr>
        <w:t>value innovation</w:t>
      </w:r>
      <w:r w:rsidRPr="00BD4F16">
        <w:rPr>
          <w:rFonts w:ascii="Times New Roman" w:hAnsi="Times New Roman" w:cs="Times New Roman"/>
          <w:color w:val="000000" w:themeColor="text1"/>
          <w:szCs w:val="24"/>
        </w:rPr>
        <w:t xml:space="preserve"> (Kim &amp; Mauborgne, 2005).</w:t>
      </w:r>
    </w:p>
    <w:p w14:paraId="3CAEFACA"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These frameworks are compared and critically evaluated to determine their effectiveness in different industry contexts.</w:t>
      </w:r>
    </w:p>
    <w:p w14:paraId="1FD7EDDA"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Data Analysis</w:t>
      </w:r>
    </w:p>
    <w:p w14:paraId="39CC8F33"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A </w:t>
      </w:r>
      <w:r w:rsidRPr="00BD4F16">
        <w:rPr>
          <w:rFonts w:ascii="Times New Roman" w:hAnsi="Times New Roman" w:cs="Times New Roman"/>
          <w:b/>
          <w:bCs/>
          <w:color w:val="000000" w:themeColor="text1"/>
          <w:szCs w:val="24"/>
        </w:rPr>
        <w:t>thematic analysis approach</w:t>
      </w:r>
      <w:r w:rsidRPr="00BD4F16">
        <w:rPr>
          <w:rFonts w:ascii="Times New Roman" w:hAnsi="Times New Roman" w:cs="Times New Roman"/>
          <w:color w:val="000000" w:themeColor="text1"/>
          <w:szCs w:val="24"/>
        </w:rPr>
        <w:t xml:space="preserve"> (Braun &amp; Clarke, 2006) was used to identify patterns across the literature. The analysis focused on:</w:t>
      </w:r>
    </w:p>
    <w:p w14:paraId="779E6A8B" w14:textId="77777777" w:rsidR="00BD4F16" w:rsidRPr="00BD4F16" w:rsidRDefault="00BD4F16" w:rsidP="00897643">
      <w:pPr>
        <w:numPr>
          <w:ilvl w:val="0"/>
          <w:numId w:val="6"/>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Sources of competitive advantage (internal vs external) </w:t>
      </w:r>
    </w:p>
    <w:p w14:paraId="136A6098" w14:textId="77777777" w:rsidR="00BD4F16" w:rsidRPr="00BD4F16" w:rsidRDefault="00BD4F16" w:rsidP="00897643">
      <w:pPr>
        <w:numPr>
          <w:ilvl w:val="0"/>
          <w:numId w:val="6"/>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Strategic positioning approaches </w:t>
      </w:r>
    </w:p>
    <w:p w14:paraId="730851B3" w14:textId="77777777" w:rsidR="00BD4F16" w:rsidRPr="00BD4F16" w:rsidRDefault="00BD4F16" w:rsidP="00897643">
      <w:pPr>
        <w:numPr>
          <w:ilvl w:val="0"/>
          <w:numId w:val="6"/>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Role of innovation and differentiation </w:t>
      </w:r>
    </w:p>
    <w:p w14:paraId="21333FDB" w14:textId="77777777" w:rsidR="00BD4F16" w:rsidRPr="00BD4F16" w:rsidRDefault="00BD4F16" w:rsidP="00897643">
      <w:pPr>
        <w:numPr>
          <w:ilvl w:val="0"/>
          <w:numId w:val="6"/>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Sustainability of competitive advantage </w:t>
      </w:r>
    </w:p>
    <w:p w14:paraId="462589E7"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Additionally, </w:t>
      </w:r>
      <w:r w:rsidRPr="00BD4F16">
        <w:rPr>
          <w:rFonts w:ascii="Times New Roman" w:hAnsi="Times New Roman" w:cs="Times New Roman"/>
          <w:b/>
          <w:bCs/>
          <w:color w:val="000000" w:themeColor="text1"/>
          <w:szCs w:val="24"/>
        </w:rPr>
        <w:t>comparative analysis</w:t>
      </w:r>
      <w:r w:rsidRPr="00BD4F16">
        <w:rPr>
          <w:rFonts w:ascii="Times New Roman" w:hAnsi="Times New Roman" w:cs="Times New Roman"/>
          <w:color w:val="000000" w:themeColor="text1"/>
          <w:szCs w:val="24"/>
        </w:rPr>
        <w:t xml:space="preserve"> was conducted to evaluate differences and overlaps between the three frameworks.</w:t>
      </w:r>
    </w:p>
    <w:p w14:paraId="2928387D"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Case-Based Application</w:t>
      </w:r>
    </w:p>
    <w:p w14:paraId="070BD786"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To enhance real-world relevance, the study incorporates </w:t>
      </w:r>
      <w:r w:rsidRPr="00BD4F16">
        <w:rPr>
          <w:rFonts w:ascii="Times New Roman" w:hAnsi="Times New Roman" w:cs="Times New Roman"/>
          <w:b/>
          <w:bCs/>
          <w:color w:val="000000" w:themeColor="text1"/>
          <w:szCs w:val="24"/>
        </w:rPr>
        <w:t>case-based analysis</w:t>
      </w:r>
      <w:r w:rsidRPr="00BD4F16">
        <w:rPr>
          <w:rFonts w:ascii="Times New Roman" w:hAnsi="Times New Roman" w:cs="Times New Roman"/>
          <w:color w:val="000000" w:themeColor="text1"/>
          <w:szCs w:val="24"/>
        </w:rPr>
        <w:t xml:space="preserve"> of global companies:</w:t>
      </w:r>
    </w:p>
    <w:p w14:paraId="6C57E76D" w14:textId="77777777" w:rsidR="00BD4F16" w:rsidRPr="00BD4F16" w:rsidRDefault="00BD4F16" w:rsidP="00897643">
      <w:pPr>
        <w:numPr>
          <w:ilvl w:val="0"/>
          <w:numId w:val="7"/>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Apple</w:t>
      </w:r>
      <w:r w:rsidRPr="00BD4F16">
        <w:rPr>
          <w:rFonts w:ascii="Times New Roman" w:hAnsi="Times New Roman" w:cs="Times New Roman"/>
          <w:color w:val="000000" w:themeColor="text1"/>
          <w:szCs w:val="24"/>
        </w:rPr>
        <w:t xml:space="preserve"> → Differentiation + RBV (innovation capabilities) </w:t>
      </w:r>
    </w:p>
    <w:p w14:paraId="03561FD6" w14:textId="77777777" w:rsidR="00BD4F16" w:rsidRPr="00BD4F16" w:rsidRDefault="00BD4F16" w:rsidP="00897643">
      <w:pPr>
        <w:numPr>
          <w:ilvl w:val="0"/>
          <w:numId w:val="7"/>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lastRenderedPageBreak/>
        <w:t>Walmart</w:t>
      </w:r>
      <w:r w:rsidRPr="00BD4F16">
        <w:rPr>
          <w:rFonts w:ascii="Times New Roman" w:hAnsi="Times New Roman" w:cs="Times New Roman"/>
          <w:color w:val="000000" w:themeColor="text1"/>
          <w:szCs w:val="24"/>
        </w:rPr>
        <w:t xml:space="preserve"> → Cost leadership (Porter) </w:t>
      </w:r>
    </w:p>
    <w:p w14:paraId="1A100320" w14:textId="77777777" w:rsidR="00BD4F16" w:rsidRPr="00BD4F16" w:rsidRDefault="00BD4F16" w:rsidP="00897643">
      <w:pPr>
        <w:numPr>
          <w:ilvl w:val="0"/>
          <w:numId w:val="7"/>
        </w:numPr>
        <w:spacing w:line="480" w:lineRule="auto"/>
        <w:rPr>
          <w:rFonts w:ascii="Times New Roman" w:hAnsi="Times New Roman" w:cs="Times New Roman"/>
          <w:color w:val="000000" w:themeColor="text1"/>
          <w:szCs w:val="24"/>
        </w:rPr>
      </w:pPr>
      <w:r w:rsidRPr="00BD4F16">
        <w:rPr>
          <w:rFonts w:ascii="Times New Roman" w:hAnsi="Times New Roman" w:cs="Times New Roman"/>
          <w:b/>
          <w:bCs/>
          <w:color w:val="000000" w:themeColor="text1"/>
          <w:szCs w:val="24"/>
        </w:rPr>
        <w:t>Netflix</w:t>
      </w:r>
      <w:r w:rsidRPr="00BD4F16">
        <w:rPr>
          <w:rFonts w:ascii="Times New Roman" w:hAnsi="Times New Roman" w:cs="Times New Roman"/>
          <w:color w:val="000000" w:themeColor="text1"/>
          <w:szCs w:val="24"/>
        </w:rPr>
        <w:t xml:space="preserve"> → Blue Ocean + dynamic capabilities </w:t>
      </w:r>
    </w:p>
    <w:p w14:paraId="7354A6CF"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These examples demonstrate how theoretical frameworks are applied in practice to achieve competitive advantage.</w:t>
      </w:r>
    </w:p>
    <w:p w14:paraId="11903848"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Validity and Reliability</w:t>
      </w:r>
    </w:p>
    <w:p w14:paraId="64CBD6FB"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Validity is ensured by:</w:t>
      </w:r>
    </w:p>
    <w:p w14:paraId="7B033731" w14:textId="77777777" w:rsidR="00BD4F16" w:rsidRPr="00BD4F16" w:rsidRDefault="00BD4F16" w:rsidP="00897643">
      <w:pPr>
        <w:numPr>
          <w:ilvl w:val="0"/>
          <w:numId w:val="8"/>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Using </w:t>
      </w:r>
      <w:r w:rsidRPr="00BD4F16">
        <w:rPr>
          <w:rFonts w:ascii="Times New Roman" w:hAnsi="Times New Roman" w:cs="Times New Roman"/>
          <w:b/>
          <w:bCs/>
          <w:color w:val="000000" w:themeColor="text1"/>
          <w:szCs w:val="24"/>
        </w:rPr>
        <w:t>well-established strategic management theories</w:t>
      </w:r>
      <w:r w:rsidRPr="00BD4F16">
        <w:rPr>
          <w:rFonts w:ascii="Times New Roman" w:hAnsi="Times New Roman" w:cs="Times New Roman"/>
          <w:color w:val="000000" w:themeColor="text1"/>
          <w:szCs w:val="24"/>
        </w:rPr>
        <w:t xml:space="preserve"> </w:t>
      </w:r>
    </w:p>
    <w:p w14:paraId="4569551A" w14:textId="77777777" w:rsidR="00BD4F16" w:rsidRPr="00BD4F16" w:rsidRDefault="00BD4F16" w:rsidP="00897643">
      <w:pPr>
        <w:numPr>
          <w:ilvl w:val="0"/>
          <w:numId w:val="8"/>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Referencing </w:t>
      </w:r>
      <w:r w:rsidRPr="00BD4F16">
        <w:rPr>
          <w:rFonts w:ascii="Times New Roman" w:hAnsi="Times New Roman" w:cs="Times New Roman"/>
          <w:b/>
          <w:bCs/>
          <w:color w:val="000000" w:themeColor="text1"/>
          <w:szCs w:val="24"/>
        </w:rPr>
        <w:t>peer-reviewed and highly cited sources</w:t>
      </w:r>
      <w:r w:rsidRPr="00BD4F16">
        <w:rPr>
          <w:rFonts w:ascii="Times New Roman" w:hAnsi="Times New Roman" w:cs="Times New Roman"/>
          <w:color w:val="000000" w:themeColor="text1"/>
          <w:szCs w:val="24"/>
        </w:rPr>
        <w:t xml:space="preserve"> </w:t>
      </w:r>
    </w:p>
    <w:p w14:paraId="74F29B7C" w14:textId="77777777" w:rsidR="00BD4F16" w:rsidRPr="00BD4F16" w:rsidRDefault="00BD4F16" w:rsidP="00897643">
      <w:pPr>
        <w:numPr>
          <w:ilvl w:val="0"/>
          <w:numId w:val="8"/>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Cross-comparing multiple frameworks </w:t>
      </w:r>
    </w:p>
    <w:p w14:paraId="1A43EA7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Reliability is maintained through:</w:t>
      </w:r>
    </w:p>
    <w:p w14:paraId="3A86D257" w14:textId="77777777" w:rsidR="00BD4F16" w:rsidRPr="00BD4F16" w:rsidRDefault="00BD4F16" w:rsidP="00897643">
      <w:pPr>
        <w:numPr>
          <w:ilvl w:val="0"/>
          <w:numId w:val="9"/>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Consistent selection criteria for sources </w:t>
      </w:r>
    </w:p>
    <w:p w14:paraId="614017CA" w14:textId="77777777" w:rsidR="00BD4F16" w:rsidRPr="00BD4F16" w:rsidRDefault="00BD4F16" w:rsidP="00897643">
      <w:pPr>
        <w:numPr>
          <w:ilvl w:val="0"/>
          <w:numId w:val="9"/>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Systematic comparison of frameworks </w:t>
      </w:r>
    </w:p>
    <w:p w14:paraId="72DD8575"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(Yin, 2018)</w:t>
      </w:r>
    </w:p>
    <w:p w14:paraId="3755DAFB" w14:textId="77777777" w:rsidR="00BD4F16" w:rsidRPr="00BD4F16" w:rsidRDefault="00BD4F16" w:rsidP="00897643">
      <w:pPr>
        <w:spacing w:line="480" w:lineRule="auto"/>
        <w:rPr>
          <w:rFonts w:ascii="Times New Roman" w:hAnsi="Times New Roman" w:cs="Times New Roman"/>
          <w:b/>
          <w:bCs/>
          <w:color w:val="000000" w:themeColor="text1"/>
          <w:szCs w:val="24"/>
        </w:rPr>
      </w:pPr>
      <w:r w:rsidRPr="00BD4F16">
        <w:rPr>
          <w:rFonts w:ascii="Times New Roman" w:hAnsi="Times New Roman" w:cs="Times New Roman"/>
          <w:b/>
          <w:bCs/>
          <w:color w:val="000000" w:themeColor="text1"/>
          <w:szCs w:val="24"/>
        </w:rPr>
        <w:t>Ethical Considerations</w:t>
      </w:r>
    </w:p>
    <w:p w14:paraId="73BEA439" w14:textId="77777777" w:rsidR="00BD4F16" w:rsidRPr="00BD4F16" w:rsidRDefault="00BD4F16" w:rsidP="00897643">
      <w:p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The study adheres to academic integrity by:</w:t>
      </w:r>
    </w:p>
    <w:p w14:paraId="73AF2520" w14:textId="77777777" w:rsidR="00BD4F16" w:rsidRPr="00BD4F16" w:rsidRDefault="00BD4F16" w:rsidP="00897643">
      <w:pPr>
        <w:numPr>
          <w:ilvl w:val="0"/>
          <w:numId w:val="10"/>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Properly citing all sources in </w:t>
      </w:r>
      <w:r w:rsidRPr="00BD4F16">
        <w:rPr>
          <w:rFonts w:ascii="Times New Roman" w:hAnsi="Times New Roman" w:cs="Times New Roman"/>
          <w:b/>
          <w:bCs/>
          <w:color w:val="000000" w:themeColor="text1"/>
          <w:szCs w:val="24"/>
        </w:rPr>
        <w:t>APA format</w:t>
      </w:r>
      <w:r w:rsidRPr="00BD4F16">
        <w:rPr>
          <w:rFonts w:ascii="Times New Roman" w:hAnsi="Times New Roman" w:cs="Times New Roman"/>
          <w:color w:val="000000" w:themeColor="text1"/>
          <w:szCs w:val="24"/>
        </w:rPr>
        <w:t xml:space="preserve"> </w:t>
      </w:r>
    </w:p>
    <w:p w14:paraId="213037BC" w14:textId="77777777" w:rsidR="00BD4F16" w:rsidRPr="00BD4F16" w:rsidRDefault="00BD4F16" w:rsidP="00897643">
      <w:pPr>
        <w:numPr>
          <w:ilvl w:val="0"/>
          <w:numId w:val="10"/>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 xml:space="preserve">Using only credible, publicly available academic literature </w:t>
      </w:r>
    </w:p>
    <w:p w14:paraId="0DFE2A6A" w14:textId="43A6BD57" w:rsidR="00D318B0" w:rsidRDefault="00BD4F16" w:rsidP="00897643">
      <w:pPr>
        <w:numPr>
          <w:ilvl w:val="0"/>
          <w:numId w:val="10"/>
        </w:numPr>
        <w:spacing w:line="480" w:lineRule="auto"/>
        <w:rPr>
          <w:rFonts w:ascii="Times New Roman" w:hAnsi="Times New Roman" w:cs="Times New Roman"/>
          <w:color w:val="000000" w:themeColor="text1"/>
          <w:szCs w:val="24"/>
        </w:rPr>
      </w:pPr>
      <w:r w:rsidRPr="00BD4F16">
        <w:rPr>
          <w:rFonts w:ascii="Times New Roman" w:hAnsi="Times New Roman" w:cs="Times New Roman"/>
          <w:color w:val="000000" w:themeColor="text1"/>
          <w:szCs w:val="24"/>
        </w:rPr>
        <w:t>Avoiding plagiarism</w:t>
      </w:r>
    </w:p>
    <w:p w14:paraId="06403C5D" w14:textId="77777777" w:rsidR="00BD4F16" w:rsidRPr="00BD4F16" w:rsidRDefault="00BD4F16" w:rsidP="00897643">
      <w:pPr>
        <w:spacing w:line="480" w:lineRule="auto"/>
        <w:rPr>
          <w:rFonts w:ascii="Times New Roman" w:hAnsi="Times New Roman" w:cs="Times New Roman"/>
          <w:color w:val="000000" w:themeColor="text1"/>
          <w:szCs w:val="24"/>
        </w:rPr>
      </w:pPr>
    </w:p>
    <w:p w14:paraId="6AADE6D1" w14:textId="77777777" w:rsidR="00D318B0" w:rsidRPr="00897643" w:rsidRDefault="00D318B0"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Findings</w:t>
      </w:r>
    </w:p>
    <w:p w14:paraId="77C23F68"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analysis reveals that organizations achieve and sustain competitive advantage through a combination of </w:t>
      </w:r>
      <w:r w:rsidRPr="00897643">
        <w:rPr>
          <w:rFonts w:ascii="Times New Roman" w:hAnsi="Times New Roman" w:cs="Times New Roman"/>
          <w:b/>
          <w:bCs/>
          <w:color w:val="000000" w:themeColor="text1"/>
          <w:szCs w:val="24"/>
        </w:rPr>
        <w:t>external positioning strategies</w:t>
      </w:r>
      <w:r w:rsidRPr="00897643">
        <w:rPr>
          <w:rFonts w:ascii="Times New Roman" w:hAnsi="Times New Roman" w:cs="Times New Roman"/>
          <w:color w:val="000000" w:themeColor="text1"/>
          <w:szCs w:val="24"/>
        </w:rPr>
        <w:t xml:space="preserve">, </w:t>
      </w:r>
      <w:r w:rsidRPr="00897643">
        <w:rPr>
          <w:rFonts w:ascii="Times New Roman" w:hAnsi="Times New Roman" w:cs="Times New Roman"/>
          <w:b/>
          <w:bCs/>
          <w:color w:val="000000" w:themeColor="text1"/>
          <w:szCs w:val="24"/>
        </w:rPr>
        <w:t>internal capabilities</w:t>
      </w:r>
      <w:r w:rsidRPr="00897643">
        <w:rPr>
          <w:rFonts w:ascii="Times New Roman" w:hAnsi="Times New Roman" w:cs="Times New Roman"/>
          <w:color w:val="000000" w:themeColor="text1"/>
          <w:szCs w:val="24"/>
        </w:rPr>
        <w:t xml:space="preserve">, and </w:t>
      </w:r>
      <w:r w:rsidRPr="00897643">
        <w:rPr>
          <w:rFonts w:ascii="Times New Roman" w:hAnsi="Times New Roman" w:cs="Times New Roman"/>
          <w:b/>
          <w:bCs/>
          <w:color w:val="000000" w:themeColor="text1"/>
          <w:szCs w:val="24"/>
        </w:rPr>
        <w:t>innovative market creation</w:t>
      </w:r>
      <w:r w:rsidRPr="00897643">
        <w:rPr>
          <w:rFonts w:ascii="Times New Roman" w:hAnsi="Times New Roman" w:cs="Times New Roman"/>
          <w:color w:val="000000" w:themeColor="text1"/>
          <w:szCs w:val="24"/>
        </w:rPr>
        <w:t>. The findings are structured around the three key frameworks: Porter’s Generic Strategies, the Resource-Based View (RBV), and Blue Ocean Strategy.</w:t>
      </w:r>
    </w:p>
    <w:p w14:paraId="72076CC5"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Effectiveness of Porter’s Generic Strategies</w:t>
      </w:r>
    </w:p>
    <w:p w14:paraId="21E4B96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A major finding is that </w:t>
      </w:r>
      <w:r w:rsidRPr="00897643">
        <w:rPr>
          <w:rFonts w:ascii="Times New Roman" w:hAnsi="Times New Roman" w:cs="Times New Roman"/>
          <w:b/>
          <w:bCs/>
          <w:color w:val="000000" w:themeColor="text1"/>
          <w:szCs w:val="24"/>
        </w:rPr>
        <w:t>Porter’s Generic Strategies remain highly relevant in achieving competitive advantage</w:t>
      </w:r>
      <w:r w:rsidRPr="00897643">
        <w:rPr>
          <w:rFonts w:ascii="Times New Roman" w:hAnsi="Times New Roman" w:cs="Times New Roman"/>
          <w:color w:val="000000" w:themeColor="text1"/>
          <w:szCs w:val="24"/>
        </w:rPr>
        <w:t xml:space="preserve">, particularly in clearly defined competitive markets. Firms that adopt a </w:t>
      </w:r>
      <w:r w:rsidRPr="00897643">
        <w:rPr>
          <w:rFonts w:ascii="Times New Roman" w:hAnsi="Times New Roman" w:cs="Times New Roman"/>
          <w:b/>
          <w:bCs/>
          <w:color w:val="000000" w:themeColor="text1"/>
          <w:szCs w:val="24"/>
        </w:rPr>
        <w:t>focused and consistent strategic position</w:t>
      </w:r>
      <w:r w:rsidRPr="00897643">
        <w:rPr>
          <w:rFonts w:ascii="Times New Roman" w:hAnsi="Times New Roman" w:cs="Times New Roman"/>
          <w:color w:val="000000" w:themeColor="text1"/>
          <w:szCs w:val="24"/>
        </w:rPr>
        <w:t>—either cost leadership or differentiation—tend to outperform competitors (Porter, 1985; Porter, 2008).</w:t>
      </w:r>
    </w:p>
    <w:p w14:paraId="5EA882CC"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For example:</w:t>
      </w:r>
    </w:p>
    <w:p w14:paraId="01AEADAC" w14:textId="77777777" w:rsidR="00897643" w:rsidRPr="00897643" w:rsidRDefault="00897643" w:rsidP="00897643">
      <w:pPr>
        <w:numPr>
          <w:ilvl w:val="0"/>
          <w:numId w:val="11"/>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Walmart</w:t>
      </w:r>
      <w:r w:rsidRPr="00897643">
        <w:rPr>
          <w:rFonts w:ascii="Times New Roman" w:hAnsi="Times New Roman" w:cs="Times New Roman"/>
          <w:color w:val="000000" w:themeColor="text1"/>
          <w:szCs w:val="24"/>
        </w:rPr>
        <w:t xml:space="preserve"> demonstrates cost leadership by leveraging economies of scale and supply chain efficiency. </w:t>
      </w:r>
    </w:p>
    <w:p w14:paraId="25493FA1" w14:textId="77777777" w:rsidR="00897643" w:rsidRPr="00897643" w:rsidRDefault="00897643" w:rsidP="00897643">
      <w:pPr>
        <w:numPr>
          <w:ilvl w:val="0"/>
          <w:numId w:val="11"/>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Apple</w:t>
      </w:r>
      <w:r w:rsidRPr="00897643">
        <w:rPr>
          <w:rFonts w:ascii="Times New Roman" w:hAnsi="Times New Roman" w:cs="Times New Roman"/>
          <w:color w:val="000000" w:themeColor="text1"/>
          <w:szCs w:val="24"/>
        </w:rPr>
        <w:t xml:space="preserve"> exemplifies differentiation through innovation, design, and brand value. </w:t>
      </w:r>
    </w:p>
    <w:p w14:paraId="061ADA69"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Research indicates that firms with a clear strategic position avoid being “stuck in the middle,” which can lead to reduced performance (Porter, 1985; Miller, 1992). However, some firms successfully combine strategies, suggesting flexibility in modern competitive environments (Kim et al., 2004).</w:t>
      </w:r>
    </w:p>
    <w:p w14:paraId="4F39AD3C"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Role of Internal Resources (RBV)</w:t>
      </w:r>
    </w:p>
    <w:p w14:paraId="72B7AE63"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findings highlight that </w:t>
      </w:r>
      <w:r w:rsidRPr="00897643">
        <w:rPr>
          <w:rFonts w:ascii="Times New Roman" w:hAnsi="Times New Roman" w:cs="Times New Roman"/>
          <w:b/>
          <w:bCs/>
          <w:color w:val="000000" w:themeColor="text1"/>
          <w:szCs w:val="24"/>
        </w:rPr>
        <w:t>internal resources and capabilities are critical for sustaining competitive advantage</w:t>
      </w:r>
      <w:r w:rsidRPr="00897643">
        <w:rPr>
          <w:rFonts w:ascii="Times New Roman" w:hAnsi="Times New Roman" w:cs="Times New Roman"/>
          <w:color w:val="000000" w:themeColor="text1"/>
          <w:szCs w:val="24"/>
        </w:rPr>
        <w:t xml:space="preserve">. The RBV framework shows that firms achieve long-term success when </w:t>
      </w:r>
      <w:r w:rsidRPr="00897643">
        <w:rPr>
          <w:rFonts w:ascii="Times New Roman" w:hAnsi="Times New Roman" w:cs="Times New Roman"/>
          <w:color w:val="000000" w:themeColor="text1"/>
          <w:szCs w:val="24"/>
        </w:rPr>
        <w:lastRenderedPageBreak/>
        <w:t xml:space="preserve">they possess resources that are valuable, rare, inimitable, and non-substitutable (Barney, 1991; </w:t>
      </w:r>
      <w:proofErr w:type="spellStart"/>
      <w:r w:rsidRPr="00897643">
        <w:rPr>
          <w:rFonts w:ascii="Times New Roman" w:hAnsi="Times New Roman" w:cs="Times New Roman"/>
          <w:color w:val="000000" w:themeColor="text1"/>
          <w:szCs w:val="24"/>
        </w:rPr>
        <w:t>Peteraf</w:t>
      </w:r>
      <w:proofErr w:type="spellEnd"/>
      <w:r w:rsidRPr="00897643">
        <w:rPr>
          <w:rFonts w:ascii="Times New Roman" w:hAnsi="Times New Roman" w:cs="Times New Roman"/>
          <w:color w:val="000000" w:themeColor="text1"/>
          <w:szCs w:val="24"/>
        </w:rPr>
        <w:t>, 1993).</w:t>
      </w:r>
    </w:p>
    <w:p w14:paraId="0BA9F2C5"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For instance:</w:t>
      </w:r>
    </w:p>
    <w:p w14:paraId="11D32B23" w14:textId="77777777" w:rsidR="00897643" w:rsidRPr="00897643" w:rsidRDefault="00897643" w:rsidP="00897643">
      <w:pPr>
        <w:numPr>
          <w:ilvl w:val="0"/>
          <w:numId w:val="12"/>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Apple’s innovation capability</w:t>
      </w:r>
      <w:r w:rsidRPr="00897643">
        <w:rPr>
          <w:rFonts w:ascii="Times New Roman" w:hAnsi="Times New Roman" w:cs="Times New Roman"/>
          <w:color w:val="000000" w:themeColor="text1"/>
          <w:szCs w:val="24"/>
        </w:rPr>
        <w:t xml:space="preserve"> and ecosystem integration provide a strong competitive advantage. </w:t>
      </w:r>
    </w:p>
    <w:p w14:paraId="6D2AA0B3" w14:textId="77777777" w:rsidR="00897643" w:rsidRPr="00897643" w:rsidRDefault="00897643" w:rsidP="00897643">
      <w:pPr>
        <w:numPr>
          <w:ilvl w:val="0"/>
          <w:numId w:val="12"/>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Google’s data and technological capabilities</w:t>
      </w:r>
      <w:r w:rsidRPr="00897643">
        <w:rPr>
          <w:rFonts w:ascii="Times New Roman" w:hAnsi="Times New Roman" w:cs="Times New Roman"/>
          <w:color w:val="000000" w:themeColor="text1"/>
          <w:szCs w:val="24"/>
        </w:rPr>
        <w:t xml:space="preserve"> enable continuous innovation and market leadership. </w:t>
      </w:r>
    </w:p>
    <w:p w14:paraId="1763DBB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study also finds that </w:t>
      </w:r>
      <w:r w:rsidRPr="00897643">
        <w:rPr>
          <w:rFonts w:ascii="Times New Roman" w:hAnsi="Times New Roman" w:cs="Times New Roman"/>
          <w:b/>
          <w:bCs/>
          <w:color w:val="000000" w:themeColor="text1"/>
          <w:szCs w:val="24"/>
        </w:rPr>
        <w:t>dynamic capabilities</w:t>
      </w:r>
      <w:r w:rsidRPr="00897643">
        <w:rPr>
          <w:rFonts w:ascii="Times New Roman" w:hAnsi="Times New Roman" w:cs="Times New Roman"/>
          <w:color w:val="000000" w:themeColor="text1"/>
          <w:szCs w:val="24"/>
        </w:rPr>
        <w:t>—the ability to adapt and reconfigure resources—are essential in rapidly changing environments (Teece et al., 1997; Eisenhardt &amp; Martin, 2000).</w:t>
      </w:r>
    </w:p>
    <w:p w14:paraId="6CF058C9"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Blue Ocean Strategy and Market Creation</w:t>
      </w:r>
    </w:p>
    <w:p w14:paraId="5B8B136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Another key finding is that </w:t>
      </w:r>
      <w:r w:rsidRPr="00897643">
        <w:rPr>
          <w:rFonts w:ascii="Times New Roman" w:hAnsi="Times New Roman" w:cs="Times New Roman"/>
          <w:b/>
          <w:bCs/>
          <w:color w:val="000000" w:themeColor="text1"/>
          <w:szCs w:val="24"/>
        </w:rPr>
        <w:t>Blue Ocean Strategy enables firms to create new market spaces and avoid direct competition</w:t>
      </w:r>
      <w:r w:rsidRPr="00897643">
        <w:rPr>
          <w:rFonts w:ascii="Times New Roman" w:hAnsi="Times New Roman" w:cs="Times New Roman"/>
          <w:color w:val="000000" w:themeColor="text1"/>
          <w:szCs w:val="24"/>
        </w:rPr>
        <w:t>. Companies that pursue value innovation can simultaneously reduce costs and increase customer value (Kim &amp; Mauborgne, 2005).</w:t>
      </w:r>
    </w:p>
    <w:p w14:paraId="01741DFB"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Examples include:</w:t>
      </w:r>
    </w:p>
    <w:p w14:paraId="5EAEC534" w14:textId="77777777" w:rsidR="00897643" w:rsidRPr="00897643" w:rsidRDefault="00897643" w:rsidP="00897643">
      <w:pPr>
        <w:numPr>
          <w:ilvl w:val="0"/>
          <w:numId w:val="13"/>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Netflix</w:t>
      </w:r>
      <w:r w:rsidRPr="00897643">
        <w:rPr>
          <w:rFonts w:ascii="Times New Roman" w:hAnsi="Times New Roman" w:cs="Times New Roman"/>
          <w:color w:val="000000" w:themeColor="text1"/>
          <w:szCs w:val="24"/>
        </w:rPr>
        <w:t xml:space="preserve">, which transformed the entertainment industry through streaming services </w:t>
      </w:r>
    </w:p>
    <w:p w14:paraId="71D03D5F" w14:textId="77777777" w:rsidR="00897643" w:rsidRPr="00897643" w:rsidRDefault="00897643" w:rsidP="00897643">
      <w:pPr>
        <w:numPr>
          <w:ilvl w:val="0"/>
          <w:numId w:val="13"/>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Cirque du Soleil</w:t>
      </w:r>
      <w:r w:rsidRPr="00897643">
        <w:rPr>
          <w:rFonts w:ascii="Times New Roman" w:hAnsi="Times New Roman" w:cs="Times New Roman"/>
          <w:color w:val="000000" w:themeColor="text1"/>
          <w:szCs w:val="24"/>
        </w:rPr>
        <w:t xml:space="preserve">, which created a new entertainment category by combining circus and theatre </w:t>
      </w:r>
    </w:p>
    <w:p w14:paraId="5CCF56E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However, sustaining a blue ocean is challenging, as competitors may imitate successful innovations over time (Kim &amp; Mauborgne, 2015).</w:t>
      </w:r>
    </w:p>
    <w:p w14:paraId="1944C8D6"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Integration of Frameworks</w:t>
      </w:r>
    </w:p>
    <w:p w14:paraId="7ED97E13"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lastRenderedPageBreak/>
        <w:t xml:space="preserve">The findings suggest that </w:t>
      </w:r>
      <w:r w:rsidRPr="00897643">
        <w:rPr>
          <w:rFonts w:ascii="Times New Roman" w:hAnsi="Times New Roman" w:cs="Times New Roman"/>
          <w:b/>
          <w:bCs/>
          <w:color w:val="000000" w:themeColor="text1"/>
          <w:szCs w:val="24"/>
        </w:rPr>
        <w:t>no single framework is sufficient on its own</w:t>
      </w:r>
      <w:r w:rsidRPr="00897643">
        <w:rPr>
          <w:rFonts w:ascii="Times New Roman" w:hAnsi="Times New Roman" w:cs="Times New Roman"/>
          <w:color w:val="000000" w:themeColor="text1"/>
          <w:szCs w:val="24"/>
        </w:rPr>
        <w:t>. Firms that integrate:</w:t>
      </w:r>
    </w:p>
    <w:p w14:paraId="78C691EA" w14:textId="77777777" w:rsidR="00897643" w:rsidRPr="00897643" w:rsidRDefault="00897643" w:rsidP="00897643">
      <w:pPr>
        <w:numPr>
          <w:ilvl w:val="0"/>
          <w:numId w:val="14"/>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External positioning (Porter) </w:t>
      </w:r>
    </w:p>
    <w:p w14:paraId="74D8B750" w14:textId="77777777" w:rsidR="00897643" w:rsidRPr="00897643" w:rsidRDefault="00897643" w:rsidP="00897643">
      <w:pPr>
        <w:numPr>
          <w:ilvl w:val="0"/>
          <w:numId w:val="14"/>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Internal capabilities (RBV) </w:t>
      </w:r>
    </w:p>
    <w:p w14:paraId="38FD7B43" w14:textId="77777777" w:rsidR="00897643" w:rsidRPr="00897643" w:rsidRDefault="00897643" w:rsidP="00897643">
      <w:pPr>
        <w:numPr>
          <w:ilvl w:val="0"/>
          <w:numId w:val="14"/>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Innovation strategies (Blue Ocean) </w:t>
      </w:r>
    </w:p>
    <w:p w14:paraId="6F6E954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are more likely to achieve sustainable competitive advantage (Grant, 1991; Barney, 2001).</w:t>
      </w:r>
    </w:p>
    <w:p w14:paraId="006199C4"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Challenges in Sustaining Competitive Advantage</w:t>
      </w:r>
    </w:p>
    <w:p w14:paraId="3B54A71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analysis identifies several challenges:</w:t>
      </w:r>
    </w:p>
    <w:p w14:paraId="399A90EB" w14:textId="77777777" w:rsidR="00897643" w:rsidRPr="00897643" w:rsidRDefault="00897643" w:rsidP="00897643">
      <w:pPr>
        <w:numPr>
          <w:ilvl w:val="0"/>
          <w:numId w:val="15"/>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Rapid technological change </w:t>
      </w:r>
    </w:p>
    <w:p w14:paraId="79B669C0" w14:textId="77777777" w:rsidR="00897643" w:rsidRPr="00897643" w:rsidRDefault="00897643" w:rsidP="00897643">
      <w:pPr>
        <w:numPr>
          <w:ilvl w:val="0"/>
          <w:numId w:val="15"/>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Global competition </w:t>
      </w:r>
    </w:p>
    <w:p w14:paraId="6603D78B" w14:textId="77777777" w:rsidR="00897643" w:rsidRPr="00897643" w:rsidRDefault="00897643" w:rsidP="00897643">
      <w:pPr>
        <w:numPr>
          <w:ilvl w:val="0"/>
          <w:numId w:val="15"/>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Imitation of successful strategies </w:t>
      </w:r>
    </w:p>
    <w:p w14:paraId="3C70E5CF" w14:textId="77777777" w:rsidR="00897643" w:rsidRPr="00897643" w:rsidRDefault="00897643" w:rsidP="00897643">
      <w:pPr>
        <w:numPr>
          <w:ilvl w:val="0"/>
          <w:numId w:val="15"/>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Changing customer preferences (Teece et al., 1997; Eisenhardt &amp; Martin, 2000) </w:t>
      </w:r>
    </w:p>
    <w:p w14:paraId="522D08C5"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These challenges highlight the need for continuous innovation and strategic adaptation.</w:t>
      </w:r>
    </w:p>
    <w:p w14:paraId="554BEC69" w14:textId="77777777" w:rsidR="00D318B0" w:rsidRDefault="00D318B0" w:rsidP="00897643">
      <w:pPr>
        <w:spacing w:line="480" w:lineRule="auto"/>
        <w:rPr>
          <w:rFonts w:ascii="Times New Roman" w:hAnsi="Times New Roman" w:cs="Times New Roman"/>
          <w:color w:val="000000" w:themeColor="text1"/>
          <w:szCs w:val="24"/>
        </w:rPr>
      </w:pPr>
    </w:p>
    <w:p w14:paraId="7C3B017C" w14:textId="77777777" w:rsidR="00897643" w:rsidRDefault="00897643" w:rsidP="00897643">
      <w:pPr>
        <w:spacing w:line="480" w:lineRule="auto"/>
        <w:rPr>
          <w:rFonts w:ascii="Times New Roman" w:hAnsi="Times New Roman" w:cs="Times New Roman"/>
          <w:color w:val="000000" w:themeColor="text1"/>
          <w:szCs w:val="24"/>
        </w:rPr>
      </w:pPr>
    </w:p>
    <w:p w14:paraId="008D1E1B" w14:textId="77777777" w:rsidR="00897643" w:rsidRDefault="00897643" w:rsidP="00897643">
      <w:pPr>
        <w:spacing w:line="480" w:lineRule="auto"/>
        <w:rPr>
          <w:rFonts w:ascii="Times New Roman" w:hAnsi="Times New Roman" w:cs="Times New Roman"/>
          <w:color w:val="000000" w:themeColor="text1"/>
          <w:szCs w:val="24"/>
        </w:rPr>
      </w:pPr>
    </w:p>
    <w:p w14:paraId="6AB9475D" w14:textId="77777777" w:rsidR="00897643" w:rsidRDefault="00897643" w:rsidP="00897643">
      <w:pPr>
        <w:spacing w:line="480" w:lineRule="auto"/>
        <w:rPr>
          <w:rFonts w:ascii="Times New Roman" w:hAnsi="Times New Roman" w:cs="Times New Roman"/>
          <w:color w:val="000000" w:themeColor="text1"/>
          <w:szCs w:val="24"/>
        </w:rPr>
      </w:pPr>
    </w:p>
    <w:p w14:paraId="019B6A9D" w14:textId="77777777" w:rsidR="00897643" w:rsidRDefault="00897643" w:rsidP="00897643">
      <w:pPr>
        <w:spacing w:line="480" w:lineRule="auto"/>
        <w:rPr>
          <w:rFonts w:ascii="Times New Roman" w:hAnsi="Times New Roman" w:cs="Times New Roman"/>
          <w:color w:val="000000" w:themeColor="text1"/>
          <w:szCs w:val="24"/>
        </w:rPr>
      </w:pPr>
    </w:p>
    <w:p w14:paraId="6B67BF34" w14:textId="77777777" w:rsidR="00897643" w:rsidRPr="009D5A31" w:rsidRDefault="00897643" w:rsidP="00897643">
      <w:pPr>
        <w:spacing w:line="480" w:lineRule="auto"/>
        <w:rPr>
          <w:rFonts w:ascii="Times New Roman" w:hAnsi="Times New Roman" w:cs="Times New Roman"/>
          <w:color w:val="000000" w:themeColor="text1"/>
          <w:szCs w:val="24"/>
        </w:rPr>
      </w:pPr>
    </w:p>
    <w:p w14:paraId="5CB96397" w14:textId="77777777" w:rsidR="00D318B0" w:rsidRPr="00897643" w:rsidRDefault="00D318B0"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Discussion</w:t>
      </w:r>
    </w:p>
    <w:p w14:paraId="277F2AF9"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findings demonstrate that competitive advantage is a </w:t>
      </w:r>
      <w:r w:rsidRPr="00897643">
        <w:rPr>
          <w:rFonts w:ascii="Times New Roman" w:hAnsi="Times New Roman" w:cs="Times New Roman"/>
          <w:b/>
          <w:bCs/>
          <w:color w:val="000000" w:themeColor="text1"/>
          <w:szCs w:val="24"/>
        </w:rPr>
        <w:t>dynamic and multifaceted concept</w:t>
      </w:r>
      <w:r w:rsidRPr="00897643">
        <w:rPr>
          <w:rFonts w:ascii="Times New Roman" w:hAnsi="Times New Roman" w:cs="Times New Roman"/>
          <w:color w:val="000000" w:themeColor="text1"/>
          <w:szCs w:val="24"/>
        </w:rPr>
        <w:t>, requiring both strategic positioning and internal capability development.</w:t>
      </w:r>
    </w:p>
    <w:p w14:paraId="54A06879"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Comparative Analysis of Strategic Frameworks</w:t>
      </w:r>
    </w:p>
    <w:p w14:paraId="28D4D7E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discussion reveals that each framework offers a unique perspective:</w:t>
      </w:r>
    </w:p>
    <w:p w14:paraId="086A9820" w14:textId="77777777" w:rsidR="00897643" w:rsidRPr="00897643" w:rsidRDefault="00897643" w:rsidP="00897643">
      <w:pPr>
        <w:numPr>
          <w:ilvl w:val="0"/>
          <w:numId w:val="16"/>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Porter’s Generic Strategies</w:t>
      </w:r>
      <w:r w:rsidRPr="00897643">
        <w:rPr>
          <w:rFonts w:ascii="Times New Roman" w:hAnsi="Times New Roman" w:cs="Times New Roman"/>
          <w:color w:val="000000" w:themeColor="text1"/>
          <w:szCs w:val="24"/>
        </w:rPr>
        <w:t xml:space="preserve"> focus on external market positioning and industry structure (Porter, 1985) </w:t>
      </w:r>
    </w:p>
    <w:p w14:paraId="7C5ABEBD" w14:textId="77777777" w:rsidR="00897643" w:rsidRPr="00897643" w:rsidRDefault="00897643" w:rsidP="00897643">
      <w:pPr>
        <w:numPr>
          <w:ilvl w:val="0"/>
          <w:numId w:val="16"/>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RBV</w:t>
      </w:r>
      <w:r w:rsidRPr="00897643">
        <w:rPr>
          <w:rFonts w:ascii="Times New Roman" w:hAnsi="Times New Roman" w:cs="Times New Roman"/>
          <w:color w:val="000000" w:themeColor="text1"/>
          <w:szCs w:val="24"/>
        </w:rPr>
        <w:t xml:space="preserve"> emphasizes internal resources and capabilities (Barney, 1991) </w:t>
      </w:r>
    </w:p>
    <w:p w14:paraId="405464ED" w14:textId="77777777" w:rsidR="00897643" w:rsidRPr="00897643" w:rsidRDefault="00897643" w:rsidP="00897643">
      <w:pPr>
        <w:numPr>
          <w:ilvl w:val="0"/>
          <w:numId w:val="16"/>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Blue Ocean Strategy</w:t>
      </w:r>
      <w:r w:rsidRPr="00897643">
        <w:rPr>
          <w:rFonts w:ascii="Times New Roman" w:hAnsi="Times New Roman" w:cs="Times New Roman"/>
          <w:color w:val="000000" w:themeColor="text1"/>
          <w:szCs w:val="24"/>
        </w:rPr>
        <w:t xml:space="preserve"> focuses on innovation and market creation (Kim &amp; Mauborgne, 2005) </w:t>
      </w:r>
    </w:p>
    <w:p w14:paraId="00B0B32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Rather than being mutually exclusive, these frameworks are complementary. Firms that combine these approaches can achieve stronger and more sustainable competitive advantage (Grant, 1991).</w:t>
      </w:r>
    </w:p>
    <w:p w14:paraId="15D513CB"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Importance of Strategic Alignment</w:t>
      </w:r>
    </w:p>
    <w:p w14:paraId="2A65109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A key insight is the importance of </w:t>
      </w:r>
      <w:r w:rsidRPr="00897643">
        <w:rPr>
          <w:rFonts w:ascii="Times New Roman" w:hAnsi="Times New Roman" w:cs="Times New Roman"/>
          <w:b/>
          <w:bCs/>
          <w:color w:val="000000" w:themeColor="text1"/>
          <w:szCs w:val="24"/>
        </w:rPr>
        <w:t>aligning strategy with both internal capabilities and external market conditions</w:t>
      </w:r>
      <w:r w:rsidRPr="00897643">
        <w:rPr>
          <w:rFonts w:ascii="Times New Roman" w:hAnsi="Times New Roman" w:cs="Times New Roman"/>
          <w:color w:val="000000" w:themeColor="text1"/>
          <w:szCs w:val="24"/>
        </w:rPr>
        <w:t>. Firms that fail to align these elements may struggle to sustain competitive advantage (Barney, 2001).</w:t>
      </w:r>
    </w:p>
    <w:p w14:paraId="0239440A"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For example:</w:t>
      </w:r>
    </w:p>
    <w:p w14:paraId="69F3D5AF" w14:textId="77777777" w:rsidR="00897643" w:rsidRPr="00897643" w:rsidRDefault="00897643" w:rsidP="00897643">
      <w:pPr>
        <w:numPr>
          <w:ilvl w:val="0"/>
          <w:numId w:val="17"/>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A cost leadership strategy requires efficient operations and strong supply chain capabilities </w:t>
      </w:r>
    </w:p>
    <w:p w14:paraId="4A599CEA" w14:textId="77777777" w:rsidR="00897643" w:rsidRPr="00897643" w:rsidRDefault="00897643" w:rsidP="00897643">
      <w:pPr>
        <w:numPr>
          <w:ilvl w:val="0"/>
          <w:numId w:val="17"/>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lastRenderedPageBreak/>
        <w:t xml:space="preserve">A differentiation strategy requires innovation and brand development </w:t>
      </w:r>
    </w:p>
    <w:p w14:paraId="6AE5993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Role of Innovation and Dynamic Capabilities</w:t>
      </w:r>
    </w:p>
    <w:p w14:paraId="0534D05F"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 discussion highlights the critical role of </w:t>
      </w:r>
      <w:r w:rsidRPr="00897643">
        <w:rPr>
          <w:rFonts w:ascii="Times New Roman" w:hAnsi="Times New Roman" w:cs="Times New Roman"/>
          <w:b/>
          <w:bCs/>
          <w:color w:val="000000" w:themeColor="text1"/>
          <w:szCs w:val="24"/>
        </w:rPr>
        <w:t>innovation and dynamic capabilities</w:t>
      </w:r>
      <w:r w:rsidRPr="00897643">
        <w:rPr>
          <w:rFonts w:ascii="Times New Roman" w:hAnsi="Times New Roman" w:cs="Times New Roman"/>
          <w:color w:val="000000" w:themeColor="text1"/>
          <w:szCs w:val="24"/>
        </w:rPr>
        <w:t xml:space="preserve"> in sustaining competitive advantage. In rapidly changing industries, firms must continuously adapt and innovate to remain competitive (Teece et al., 1997).</w:t>
      </w:r>
    </w:p>
    <w:p w14:paraId="562A6EE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Dynamic capabilities enable firms to:</w:t>
      </w:r>
    </w:p>
    <w:p w14:paraId="34ED7C12" w14:textId="77777777" w:rsidR="00897643" w:rsidRPr="00897643" w:rsidRDefault="00897643" w:rsidP="00897643">
      <w:pPr>
        <w:numPr>
          <w:ilvl w:val="0"/>
          <w:numId w:val="18"/>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Respond to technological changes </w:t>
      </w:r>
    </w:p>
    <w:p w14:paraId="15BD8473" w14:textId="77777777" w:rsidR="00897643" w:rsidRPr="00897643" w:rsidRDefault="00897643" w:rsidP="00897643">
      <w:pPr>
        <w:numPr>
          <w:ilvl w:val="0"/>
          <w:numId w:val="18"/>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Enter new markets </w:t>
      </w:r>
    </w:p>
    <w:p w14:paraId="228EF550" w14:textId="77777777" w:rsidR="00897643" w:rsidRPr="00897643" w:rsidRDefault="00897643" w:rsidP="00897643">
      <w:pPr>
        <w:numPr>
          <w:ilvl w:val="0"/>
          <w:numId w:val="18"/>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Reconfigure resources effectively </w:t>
      </w:r>
    </w:p>
    <w:p w14:paraId="6165C71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Strategic Positioning in Real-World Industries</w:t>
      </w:r>
    </w:p>
    <w:p w14:paraId="1894A79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analysis of real-world companies demonstrates that successful firms:</w:t>
      </w:r>
    </w:p>
    <w:p w14:paraId="19ECF4BD" w14:textId="77777777" w:rsidR="00897643" w:rsidRPr="00897643" w:rsidRDefault="00897643" w:rsidP="00897643">
      <w:pPr>
        <w:numPr>
          <w:ilvl w:val="0"/>
          <w:numId w:val="19"/>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Combine multiple strategic approaches </w:t>
      </w:r>
    </w:p>
    <w:p w14:paraId="3275BDB1" w14:textId="77777777" w:rsidR="00897643" w:rsidRPr="00897643" w:rsidRDefault="00897643" w:rsidP="00897643">
      <w:pPr>
        <w:numPr>
          <w:ilvl w:val="0"/>
          <w:numId w:val="19"/>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Continuously innovate </w:t>
      </w:r>
    </w:p>
    <w:p w14:paraId="69FB10A1" w14:textId="77777777" w:rsidR="00897643" w:rsidRPr="00897643" w:rsidRDefault="00897643" w:rsidP="00897643">
      <w:pPr>
        <w:numPr>
          <w:ilvl w:val="0"/>
          <w:numId w:val="19"/>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Leverage unique capabilities </w:t>
      </w:r>
    </w:p>
    <w:p w14:paraId="5FB9EED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For example:</w:t>
      </w:r>
    </w:p>
    <w:p w14:paraId="7B0BAB34" w14:textId="77777777" w:rsidR="00897643" w:rsidRPr="00897643" w:rsidRDefault="00897643" w:rsidP="00897643">
      <w:pPr>
        <w:numPr>
          <w:ilvl w:val="0"/>
          <w:numId w:val="20"/>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Amazon</w:t>
      </w:r>
      <w:r w:rsidRPr="00897643">
        <w:rPr>
          <w:rFonts w:ascii="Times New Roman" w:hAnsi="Times New Roman" w:cs="Times New Roman"/>
          <w:color w:val="000000" w:themeColor="text1"/>
          <w:szCs w:val="24"/>
        </w:rPr>
        <w:t xml:space="preserve"> combines cost leadership, differentiation, and innovation </w:t>
      </w:r>
    </w:p>
    <w:p w14:paraId="09B3DD95" w14:textId="77777777" w:rsidR="00897643" w:rsidRPr="00897643" w:rsidRDefault="00897643" w:rsidP="00897643">
      <w:pPr>
        <w:numPr>
          <w:ilvl w:val="0"/>
          <w:numId w:val="20"/>
        </w:numPr>
        <w:spacing w:line="480" w:lineRule="auto"/>
        <w:rPr>
          <w:rFonts w:ascii="Times New Roman" w:hAnsi="Times New Roman" w:cs="Times New Roman"/>
          <w:color w:val="000000" w:themeColor="text1"/>
          <w:szCs w:val="24"/>
        </w:rPr>
      </w:pPr>
      <w:r w:rsidRPr="00897643">
        <w:rPr>
          <w:rFonts w:ascii="Times New Roman" w:hAnsi="Times New Roman" w:cs="Times New Roman"/>
          <w:b/>
          <w:bCs/>
          <w:color w:val="000000" w:themeColor="text1"/>
          <w:szCs w:val="24"/>
        </w:rPr>
        <w:t>Tesla</w:t>
      </w:r>
      <w:r w:rsidRPr="00897643">
        <w:rPr>
          <w:rFonts w:ascii="Times New Roman" w:hAnsi="Times New Roman" w:cs="Times New Roman"/>
          <w:color w:val="000000" w:themeColor="text1"/>
          <w:szCs w:val="24"/>
        </w:rPr>
        <w:t xml:space="preserve"> uses differentiation and Blue Ocean Strategy to redefine the automotive industry </w:t>
      </w:r>
    </w:p>
    <w:p w14:paraId="544861FD"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Critical Evaluation of Frameworks</w:t>
      </w:r>
    </w:p>
    <w:p w14:paraId="77E3FDF9"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While these frameworks are highly valuable, they also have limitations:</w:t>
      </w:r>
    </w:p>
    <w:p w14:paraId="00933C36" w14:textId="77777777" w:rsidR="00897643" w:rsidRPr="00897643" w:rsidRDefault="00897643" w:rsidP="00897643">
      <w:pPr>
        <w:numPr>
          <w:ilvl w:val="0"/>
          <w:numId w:val="21"/>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lastRenderedPageBreak/>
        <w:t xml:space="preserve">Porter’s model may oversimplify competitive strategies </w:t>
      </w:r>
    </w:p>
    <w:p w14:paraId="2B7995BF" w14:textId="77777777" w:rsidR="00897643" w:rsidRPr="00897643" w:rsidRDefault="00897643" w:rsidP="00897643">
      <w:pPr>
        <w:numPr>
          <w:ilvl w:val="0"/>
          <w:numId w:val="21"/>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RBV may overlook external market conditions </w:t>
      </w:r>
    </w:p>
    <w:p w14:paraId="727287B8" w14:textId="77777777" w:rsidR="00897643" w:rsidRPr="00897643" w:rsidRDefault="00897643" w:rsidP="00897643">
      <w:pPr>
        <w:numPr>
          <w:ilvl w:val="0"/>
          <w:numId w:val="21"/>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Blue Ocean Strategy may be difficult to sustain </w:t>
      </w:r>
    </w:p>
    <w:p w14:paraId="2ECD803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Therefore, organizations must adopt a </w:t>
      </w:r>
      <w:r w:rsidRPr="00897643">
        <w:rPr>
          <w:rFonts w:ascii="Times New Roman" w:hAnsi="Times New Roman" w:cs="Times New Roman"/>
          <w:b/>
          <w:bCs/>
          <w:color w:val="000000" w:themeColor="text1"/>
          <w:szCs w:val="24"/>
        </w:rPr>
        <w:t>flexible and integrated approach</w:t>
      </w:r>
      <w:r w:rsidRPr="00897643">
        <w:rPr>
          <w:rFonts w:ascii="Times New Roman" w:hAnsi="Times New Roman" w:cs="Times New Roman"/>
          <w:color w:val="000000" w:themeColor="text1"/>
          <w:szCs w:val="24"/>
        </w:rPr>
        <w:t xml:space="preserve"> to strategy.</w:t>
      </w:r>
    </w:p>
    <w:p w14:paraId="1CBB87AF"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Implications for Managers</w:t>
      </w:r>
    </w:p>
    <w:p w14:paraId="6150FAAC"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findings suggest several implications:</w:t>
      </w:r>
    </w:p>
    <w:p w14:paraId="7AAD77DD" w14:textId="77777777" w:rsidR="00897643" w:rsidRPr="00897643" w:rsidRDefault="00897643" w:rsidP="00897643">
      <w:pPr>
        <w:numPr>
          <w:ilvl w:val="0"/>
          <w:numId w:val="22"/>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Firms should avoid relying on a single strategy </w:t>
      </w:r>
    </w:p>
    <w:p w14:paraId="6BDC6240" w14:textId="77777777" w:rsidR="00897643" w:rsidRPr="00897643" w:rsidRDefault="00897643" w:rsidP="00897643">
      <w:pPr>
        <w:numPr>
          <w:ilvl w:val="0"/>
          <w:numId w:val="22"/>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Continuous innovation is essential </w:t>
      </w:r>
    </w:p>
    <w:p w14:paraId="00B232F4" w14:textId="77777777" w:rsidR="00897643" w:rsidRPr="00897643" w:rsidRDefault="00897643" w:rsidP="00897643">
      <w:pPr>
        <w:numPr>
          <w:ilvl w:val="0"/>
          <w:numId w:val="22"/>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Strategic flexibility enhances resilience </w:t>
      </w:r>
    </w:p>
    <w:p w14:paraId="4F597E4D" w14:textId="77777777" w:rsidR="00897643" w:rsidRPr="00897643" w:rsidRDefault="00897643" w:rsidP="00897643">
      <w:pPr>
        <w:numPr>
          <w:ilvl w:val="0"/>
          <w:numId w:val="22"/>
        </w:num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Integration of frameworks leads to better outcomes </w:t>
      </w:r>
    </w:p>
    <w:p w14:paraId="374F2AA3"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Limitations and Critical Perspective</w:t>
      </w:r>
    </w:p>
    <w:p w14:paraId="73238C4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Despite their effectiveness, strategic frameworks cannot guarantee success. External factors such as economic conditions, technological disruptions, and regulatory changes can impact competitive advantage.</w:t>
      </w:r>
    </w:p>
    <w:p w14:paraId="35C94A33"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must therefore remain adaptive and continuously evaluate their strategies.</w:t>
      </w:r>
    </w:p>
    <w:p w14:paraId="195C1D13" w14:textId="77777777" w:rsidR="00D318B0" w:rsidRDefault="00D318B0" w:rsidP="00897643">
      <w:pPr>
        <w:spacing w:line="480" w:lineRule="auto"/>
        <w:rPr>
          <w:rFonts w:ascii="Times New Roman" w:hAnsi="Times New Roman" w:cs="Times New Roman"/>
          <w:color w:val="000000" w:themeColor="text1"/>
          <w:szCs w:val="24"/>
        </w:rPr>
      </w:pPr>
    </w:p>
    <w:p w14:paraId="51277636" w14:textId="77777777" w:rsidR="00897643" w:rsidRDefault="00897643" w:rsidP="00897643">
      <w:pPr>
        <w:spacing w:line="480" w:lineRule="auto"/>
        <w:rPr>
          <w:rFonts w:ascii="Times New Roman" w:hAnsi="Times New Roman" w:cs="Times New Roman"/>
          <w:color w:val="000000" w:themeColor="text1"/>
          <w:szCs w:val="24"/>
        </w:rPr>
      </w:pPr>
    </w:p>
    <w:p w14:paraId="737C7772" w14:textId="77777777" w:rsidR="00897643" w:rsidRDefault="00897643" w:rsidP="00897643">
      <w:pPr>
        <w:spacing w:line="480" w:lineRule="auto"/>
        <w:rPr>
          <w:rFonts w:ascii="Times New Roman" w:hAnsi="Times New Roman" w:cs="Times New Roman"/>
          <w:color w:val="000000" w:themeColor="text1"/>
          <w:szCs w:val="24"/>
        </w:rPr>
      </w:pPr>
    </w:p>
    <w:p w14:paraId="457412C4" w14:textId="77777777" w:rsidR="00897643" w:rsidRPr="009D5A31" w:rsidRDefault="00897643" w:rsidP="00897643">
      <w:pPr>
        <w:spacing w:line="480" w:lineRule="auto"/>
        <w:rPr>
          <w:rFonts w:ascii="Times New Roman" w:hAnsi="Times New Roman" w:cs="Times New Roman"/>
          <w:color w:val="000000" w:themeColor="text1"/>
          <w:szCs w:val="24"/>
        </w:rPr>
      </w:pPr>
    </w:p>
    <w:p w14:paraId="3A62750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Recommendations</w:t>
      </w:r>
    </w:p>
    <w:p w14:paraId="6E316F6D"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Based on the analysis of competitive advantage and strategic positioning, the following strategic recommendations are proposed:</w:t>
      </w:r>
    </w:p>
    <w:p w14:paraId="798CA48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Adopt an Integrated Strategic Approach</w:t>
      </w:r>
    </w:p>
    <w:p w14:paraId="2390B9AB"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should combine Porter’s positioning strategies, RBV, and Blue Ocean Strategy rather than relying on a single framework. This integrated approach enables firms to align internal capabilities with external market opportunities (Barney, 2001; Grant, 1991).</w:t>
      </w:r>
    </w:p>
    <w:p w14:paraId="022F9AE2"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Strengthen Unique Internal Capabilities</w:t>
      </w:r>
    </w:p>
    <w:p w14:paraId="775587B2"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Firms should invest in developing VRIN resources such as innovation, brand equity, and technological capabilities. These resources are critical for sustaining competitive advantage (Barney, 1991; </w:t>
      </w:r>
      <w:proofErr w:type="spellStart"/>
      <w:r w:rsidRPr="00897643">
        <w:rPr>
          <w:rFonts w:ascii="Times New Roman" w:hAnsi="Times New Roman" w:cs="Times New Roman"/>
          <w:color w:val="000000" w:themeColor="text1"/>
          <w:szCs w:val="24"/>
        </w:rPr>
        <w:t>Peteraf</w:t>
      </w:r>
      <w:proofErr w:type="spellEnd"/>
      <w:r w:rsidRPr="00897643">
        <w:rPr>
          <w:rFonts w:ascii="Times New Roman" w:hAnsi="Times New Roman" w:cs="Times New Roman"/>
          <w:color w:val="000000" w:themeColor="text1"/>
          <w:szCs w:val="24"/>
        </w:rPr>
        <w:t>, 1993).</w:t>
      </w:r>
    </w:p>
    <w:p w14:paraId="2743AF5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Focus on Continuous Innovation</w:t>
      </w:r>
    </w:p>
    <w:p w14:paraId="6AA9F71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should prioritize innovation and value creation to remain competitive. Blue Ocean Strategy highlights the importance of creating new market spaces rather than competing in saturated markets (Kim &amp; Mauborgne, 2005).</w:t>
      </w:r>
    </w:p>
    <w:p w14:paraId="157820F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Maintain Clear Strategic Positioning</w:t>
      </w:r>
    </w:p>
    <w:p w14:paraId="3C94884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Companies should adopt a clear and consistent strategic position (cost leadership, differentiation, or focus) to avoid being “stuck in the middle” (Porter, 1985; Porter, 2008).</w:t>
      </w:r>
    </w:p>
    <w:p w14:paraId="293C032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Develop Dynamic Capabilities</w:t>
      </w:r>
    </w:p>
    <w:p w14:paraId="7E50B079"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lastRenderedPageBreak/>
        <w:t>Firms must build dynamic capabilities to adapt to changing environments. This includes the ability to reconfigure resources, adopt new technologies, and respond to market changes (Teece et al., 1997; Eisenhardt &amp; Martin, 2000).</w:t>
      </w:r>
    </w:p>
    <w:p w14:paraId="788F079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Leverage Digital Transformation</w:t>
      </w:r>
    </w:p>
    <w:p w14:paraId="222332F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should utilize digital technologies such as AI, data analytics, and automation to enhance competitiveness and innovation.</w:t>
      </w:r>
    </w:p>
    <w:p w14:paraId="3B66814C"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Monitor Industry Forces</w:t>
      </w:r>
    </w:p>
    <w:p w14:paraId="667B257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 xml:space="preserve">Firms should continuously </w:t>
      </w:r>
      <w:proofErr w:type="spellStart"/>
      <w:r w:rsidRPr="00897643">
        <w:rPr>
          <w:rFonts w:ascii="Times New Roman" w:hAnsi="Times New Roman" w:cs="Times New Roman"/>
          <w:color w:val="000000" w:themeColor="text1"/>
          <w:szCs w:val="24"/>
        </w:rPr>
        <w:t>analyze</w:t>
      </w:r>
      <w:proofErr w:type="spellEnd"/>
      <w:r w:rsidRPr="00897643">
        <w:rPr>
          <w:rFonts w:ascii="Times New Roman" w:hAnsi="Times New Roman" w:cs="Times New Roman"/>
          <w:color w:val="000000" w:themeColor="text1"/>
          <w:szCs w:val="24"/>
        </w:rPr>
        <w:t xml:space="preserve"> Porter’s Five Forces to identify threats and opportunities and adjust strategies accordingly (Porter, 2008).</w:t>
      </w:r>
    </w:p>
    <w:p w14:paraId="1D590C71"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Invest in Strategic Leadership</w:t>
      </w:r>
    </w:p>
    <w:p w14:paraId="7C3F061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Leadership plays a critical role in aligning strategy with organizational goals. Strong leadership ensures effective implementation of competitive strategies.</w:t>
      </w:r>
    </w:p>
    <w:p w14:paraId="18D9A5A8"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Enhance Customer Value Proposition</w:t>
      </w:r>
    </w:p>
    <w:p w14:paraId="70B4D6E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Organizations should focus on delivering superior value to customers through quality, innovation, and customer experience.</w:t>
      </w:r>
    </w:p>
    <w:p w14:paraId="64A53096"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Ensure Strategic Flexibility</w:t>
      </w:r>
    </w:p>
    <w:p w14:paraId="3045CE39" w14:textId="77777777" w:rsid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Firms should remain flexible and adaptable, continuously evaluating and updating their strategies in response to market changes.</w:t>
      </w:r>
    </w:p>
    <w:p w14:paraId="55EA9847" w14:textId="77777777" w:rsidR="00897643" w:rsidRPr="00897643" w:rsidRDefault="00897643" w:rsidP="00897643">
      <w:pPr>
        <w:spacing w:line="480" w:lineRule="auto"/>
        <w:rPr>
          <w:rFonts w:ascii="Times New Roman" w:hAnsi="Times New Roman" w:cs="Times New Roman"/>
          <w:color w:val="000000" w:themeColor="text1"/>
          <w:szCs w:val="24"/>
        </w:rPr>
      </w:pPr>
    </w:p>
    <w:p w14:paraId="0105317C" w14:textId="79731A0C" w:rsidR="00897643" w:rsidRPr="00897643" w:rsidRDefault="00897643" w:rsidP="00897643">
      <w:pPr>
        <w:spacing w:line="480" w:lineRule="auto"/>
        <w:rPr>
          <w:rFonts w:ascii="Times New Roman" w:hAnsi="Times New Roman" w:cs="Times New Roman"/>
          <w:b/>
          <w:bCs/>
          <w:color w:val="000000" w:themeColor="text1"/>
          <w:szCs w:val="24"/>
        </w:rPr>
      </w:pPr>
    </w:p>
    <w:p w14:paraId="3F480E2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Conclusion</w:t>
      </w:r>
    </w:p>
    <w:p w14:paraId="4A54D407"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This report has critically examined how organizations create and sustain competitive advantage through strategic positioning frameworks, including Porter’s Generic Strategies, the Resource-Based View (RBV), and Blue Ocean Strategy.</w:t>
      </w:r>
    </w:p>
    <w:p w14:paraId="3356E344"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analysis demonstrates that competitive advantage is achieved through both external positioning and internal capabilities. Porter’s framework emphasizes market positioning, while RBV highlights the importance of unique resources, and Blue Ocean Strategy focuses on innovation and market creation (Porter, 1985; Barney, 1991; Kim &amp; Mauborgne, 2005).</w:t>
      </w:r>
    </w:p>
    <w:p w14:paraId="27596F90"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A key conclusion is that no single framework is sufficient on its own. Organizations that integrate multiple strategic approaches are more likely to achieve sustainable competitive advantage (Grant, 1991; Barney, 2001). Additionally, the role of dynamic capabilities is critical in enabling firms to adapt to changing environments and maintain competitiveness (Teece et al., 1997).</w:t>
      </w:r>
    </w:p>
    <w:p w14:paraId="2D19A235" w14:textId="77777777" w:rsidR="00897643" w:rsidRP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The report also highlights that sustaining competitive advantage is increasingly challenging due to globalization, technological change, and market saturation. Firms must continuously innovate, adapt, and align their strategies with both internal capabilities and external conditions.</w:t>
      </w:r>
    </w:p>
    <w:p w14:paraId="38B100A9" w14:textId="23E0BC9A" w:rsidR="00897643" w:rsidRDefault="00897643" w:rsidP="00897643">
      <w:pPr>
        <w:spacing w:line="480" w:lineRule="auto"/>
        <w:rPr>
          <w:rFonts w:ascii="Times New Roman" w:hAnsi="Times New Roman" w:cs="Times New Roman"/>
          <w:color w:val="000000" w:themeColor="text1"/>
          <w:szCs w:val="24"/>
        </w:rPr>
      </w:pPr>
      <w:r w:rsidRPr="00897643">
        <w:rPr>
          <w:rFonts w:ascii="Times New Roman" w:hAnsi="Times New Roman" w:cs="Times New Roman"/>
          <w:color w:val="000000" w:themeColor="text1"/>
          <w:szCs w:val="24"/>
        </w:rPr>
        <w:t>In conclusion, competitive advantage is a dynamic process that requires strategic alignment, innovation, and continuous improvement. Organizations that effectively combine strategic positioning with strong internal capabilities are better positioned to achieve long-term profitability and success in highly competitive industries.</w:t>
      </w:r>
    </w:p>
    <w:p w14:paraId="24CE3AE7" w14:textId="77777777" w:rsidR="00897643" w:rsidRPr="00897643" w:rsidRDefault="00897643" w:rsidP="00897643">
      <w:pPr>
        <w:spacing w:line="480" w:lineRule="auto"/>
        <w:rPr>
          <w:rFonts w:ascii="Times New Roman" w:hAnsi="Times New Roman" w:cs="Times New Roman"/>
          <w:color w:val="000000" w:themeColor="text1"/>
          <w:szCs w:val="24"/>
        </w:rPr>
      </w:pPr>
    </w:p>
    <w:p w14:paraId="0B9C159F"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References (APA 7th Edition – 22+ DOI Sources)</w:t>
      </w:r>
    </w:p>
    <w:p w14:paraId="7DF63D24"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Barney, J. (1991). Firm resources and sustained competitive advantage. </w:t>
      </w:r>
      <w:r w:rsidRPr="00897643">
        <w:rPr>
          <w:rFonts w:ascii="Times New Roman" w:hAnsi="Times New Roman" w:cs="Times New Roman"/>
          <w:b/>
          <w:bCs/>
          <w:i/>
          <w:iCs/>
          <w:color w:val="000000" w:themeColor="text1"/>
          <w:szCs w:val="24"/>
        </w:rPr>
        <w:t>Journal of Management, 17</w:t>
      </w:r>
      <w:r w:rsidRPr="00897643">
        <w:rPr>
          <w:rFonts w:ascii="Times New Roman" w:hAnsi="Times New Roman" w:cs="Times New Roman"/>
          <w:b/>
          <w:bCs/>
          <w:color w:val="000000" w:themeColor="text1"/>
          <w:szCs w:val="24"/>
        </w:rPr>
        <w:t xml:space="preserve">(1), 99–120. </w:t>
      </w:r>
      <w:hyperlink r:id="rId6" w:tgtFrame="_new" w:history="1">
        <w:r w:rsidRPr="00897643">
          <w:rPr>
            <w:rStyle w:val="Hyperlink"/>
            <w:rFonts w:ascii="Times New Roman" w:hAnsi="Times New Roman" w:cs="Times New Roman"/>
            <w:b/>
            <w:bCs/>
            <w:szCs w:val="24"/>
          </w:rPr>
          <w:t>https://doi.org/10.1177/014920639101700108</w:t>
        </w:r>
      </w:hyperlink>
    </w:p>
    <w:p w14:paraId="6A9479BF"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Barney, J. (2001). Is the resource-based “view” a useful perspective? </w:t>
      </w:r>
      <w:r w:rsidRPr="00897643">
        <w:rPr>
          <w:rFonts w:ascii="Times New Roman" w:hAnsi="Times New Roman" w:cs="Times New Roman"/>
          <w:b/>
          <w:bCs/>
          <w:i/>
          <w:iCs/>
          <w:color w:val="000000" w:themeColor="text1"/>
          <w:szCs w:val="24"/>
        </w:rPr>
        <w:t>Academy of Management Review, 26</w:t>
      </w:r>
      <w:r w:rsidRPr="00897643">
        <w:rPr>
          <w:rFonts w:ascii="Times New Roman" w:hAnsi="Times New Roman" w:cs="Times New Roman"/>
          <w:b/>
          <w:bCs/>
          <w:color w:val="000000" w:themeColor="text1"/>
          <w:szCs w:val="24"/>
        </w:rPr>
        <w:t>(1), 41–56. https://doi.org/10.5465/amr.2001.4011938</w:t>
      </w:r>
    </w:p>
    <w:p w14:paraId="5D0F9556"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Braun, V., &amp; Clarke, V. (2006). Using thematic analysis in psychology. </w:t>
      </w:r>
      <w:r w:rsidRPr="00897643">
        <w:rPr>
          <w:rFonts w:ascii="Times New Roman" w:hAnsi="Times New Roman" w:cs="Times New Roman"/>
          <w:b/>
          <w:bCs/>
          <w:i/>
          <w:iCs/>
          <w:color w:val="000000" w:themeColor="text1"/>
          <w:szCs w:val="24"/>
        </w:rPr>
        <w:t>Qualitative Research in Psychology, 3</w:t>
      </w:r>
      <w:r w:rsidRPr="00897643">
        <w:rPr>
          <w:rFonts w:ascii="Times New Roman" w:hAnsi="Times New Roman" w:cs="Times New Roman"/>
          <w:b/>
          <w:bCs/>
          <w:color w:val="000000" w:themeColor="text1"/>
          <w:szCs w:val="24"/>
        </w:rPr>
        <w:t xml:space="preserve">(2), 77–101. </w:t>
      </w:r>
      <w:hyperlink r:id="rId7" w:tgtFrame="_new" w:history="1">
        <w:r w:rsidRPr="00897643">
          <w:rPr>
            <w:rStyle w:val="Hyperlink"/>
            <w:rFonts w:ascii="Times New Roman" w:hAnsi="Times New Roman" w:cs="Times New Roman"/>
            <w:b/>
            <w:bCs/>
            <w:szCs w:val="24"/>
          </w:rPr>
          <w:t>https://doi.org/10.1191/1478088706qp063oa</w:t>
        </w:r>
      </w:hyperlink>
    </w:p>
    <w:p w14:paraId="39E0F53C"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Creswell, J. W., &amp; Creswell, J. D. (2018). </w:t>
      </w:r>
      <w:r w:rsidRPr="00897643">
        <w:rPr>
          <w:rFonts w:ascii="Times New Roman" w:hAnsi="Times New Roman" w:cs="Times New Roman"/>
          <w:b/>
          <w:bCs/>
          <w:i/>
          <w:iCs/>
          <w:color w:val="000000" w:themeColor="text1"/>
          <w:szCs w:val="24"/>
        </w:rPr>
        <w:t>Research design</w:t>
      </w:r>
      <w:r w:rsidRPr="00897643">
        <w:rPr>
          <w:rFonts w:ascii="Times New Roman" w:hAnsi="Times New Roman" w:cs="Times New Roman"/>
          <w:b/>
          <w:bCs/>
          <w:color w:val="000000" w:themeColor="text1"/>
          <w:szCs w:val="24"/>
        </w:rPr>
        <w:t xml:space="preserve"> (5th ed.). Sage.</w:t>
      </w:r>
    </w:p>
    <w:p w14:paraId="062CD558"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Eisenhardt, K. M., &amp; Martin, J. A. (2000). Dynamic capabilities. </w:t>
      </w:r>
      <w:r w:rsidRPr="00897643">
        <w:rPr>
          <w:rFonts w:ascii="Times New Roman" w:hAnsi="Times New Roman" w:cs="Times New Roman"/>
          <w:b/>
          <w:bCs/>
          <w:i/>
          <w:iCs/>
          <w:color w:val="000000" w:themeColor="text1"/>
          <w:szCs w:val="24"/>
        </w:rPr>
        <w:t>Strategic Management Journal, 21</w:t>
      </w:r>
      <w:r w:rsidRPr="00897643">
        <w:rPr>
          <w:rFonts w:ascii="Times New Roman" w:hAnsi="Times New Roman" w:cs="Times New Roman"/>
          <w:b/>
          <w:bCs/>
          <w:color w:val="000000" w:themeColor="text1"/>
          <w:szCs w:val="24"/>
        </w:rPr>
        <w:t>(10–11), 1105–1121. https://doi.org/10.1002/1097-0266(200010/11)21:10/11&lt;</w:t>
      </w:r>
      <w:proofErr w:type="gramStart"/>
      <w:r w:rsidRPr="00897643">
        <w:rPr>
          <w:rFonts w:ascii="Times New Roman" w:hAnsi="Times New Roman" w:cs="Times New Roman"/>
          <w:b/>
          <w:bCs/>
          <w:color w:val="000000" w:themeColor="text1"/>
          <w:szCs w:val="24"/>
        </w:rPr>
        <w:t>1105::</w:t>
      </w:r>
      <w:proofErr w:type="gramEnd"/>
      <w:r w:rsidRPr="00897643">
        <w:rPr>
          <w:rFonts w:ascii="Times New Roman" w:hAnsi="Times New Roman" w:cs="Times New Roman"/>
          <w:b/>
          <w:bCs/>
          <w:color w:val="000000" w:themeColor="text1"/>
          <w:szCs w:val="24"/>
        </w:rPr>
        <w:t>AID-SMJ133&gt;3.0.CO;2-E</w:t>
      </w:r>
    </w:p>
    <w:p w14:paraId="01013C95"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Grant, R. M. (1991). The resource-based theory of competitive advantage. </w:t>
      </w:r>
      <w:r w:rsidRPr="00897643">
        <w:rPr>
          <w:rFonts w:ascii="Times New Roman" w:hAnsi="Times New Roman" w:cs="Times New Roman"/>
          <w:b/>
          <w:bCs/>
          <w:i/>
          <w:iCs/>
          <w:color w:val="000000" w:themeColor="text1"/>
          <w:szCs w:val="24"/>
        </w:rPr>
        <w:t>California Management Review, 33</w:t>
      </w:r>
      <w:r w:rsidRPr="00897643">
        <w:rPr>
          <w:rFonts w:ascii="Times New Roman" w:hAnsi="Times New Roman" w:cs="Times New Roman"/>
          <w:b/>
          <w:bCs/>
          <w:color w:val="000000" w:themeColor="text1"/>
          <w:szCs w:val="24"/>
        </w:rPr>
        <w:t xml:space="preserve">(3), 114–135. </w:t>
      </w:r>
      <w:hyperlink r:id="rId8" w:tgtFrame="_new" w:history="1">
        <w:r w:rsidRPr="00897643">
          <w:rPr>
            <w:rStyle w:val="Hyperlink"/>
            <w:rFonts w:ascii="Times New Roman" w:hAnsi="Times New Roman" w:cs="Times New Roman"/>
            <w:b/>
            <w:bCs/>
            <w:szCs w:val="24"/>
          </w:rPr>
          <w:t>https://doi.org/10.2307/41166664</w:t>
        </w:r>
      </w:hyperlink>
    </w:p>
    <w:p w14:paraId="277DC8AB"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Kim, W. C., &amp; Mauborgne, R. (2005). Blue ocean strategy. </w:t>
      </w:r>
      <w:r w:rsidRPr="00897643">
        <w:rPr>
          <w:rFonts w:ascii="Times New Roman" w:hAnsi="Times New Roman" w:cs="Times New Roman"/>
          <w:b/>
          <w:bCs/>
          <w:i/>
          <w:iCs/>
          <w:color w:val="000000" w:themeColor="text1"/>
          <w:szCs w:val="24"/>
        </w:rPr>
        <w:t>Harvard Business Review, 82</w:t>
      </w:r>
      <w:r w:rsidRPr="00897643">
        <w:rPr>
          <w:rFonts w:ascii="Times New Roman" w:hAnsi="Times New Roman" w:cs="Times New Roman"/>
          <w:b/>
          <w:bCs/>
          <w:color w:val="000000" w:themeColor="text1"/>
          <w:szCs w:val="24"/>
        </w:rPr>
        <w:t>(10), 76–84.</w:t>
      </w:r>
    </w:p>
    <w:p w14:paraId="1F8805DE"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Kim, W. C., &amp; Mauborgne, R. (2015). Blue ocean strategy (expanded ed.). Harvard Business Review Press.</w:t>
      </w:r>
    </w:p>
    <w:p w14:paraId="4055C80A"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Kim, E., Nam, D., &amp; Stimpert, J. (2004). Testing Porter’s model. </w:t>
      </w:r>
      <w:r w:rsidRPr="00897643">
        <w:rPr>
          <w:rFonts w:ascii="Times New Roman" w:hAnsi="Times New Roman" w:cs="Times New Roman"/>
          <w:b/>
          <w:bCs/>
          <w:i/>
          <w:iCs/>
          <w:color w:val="000000" w:themeColor="text1"/>
          <w:szCs w:val="24"/>
        </w:rPr>
        <w:t>Journal of Business Research, 57</w:t>
      </w:r>
      <w:r w:rsidRPr="00897643">
        <w:rPr>
          <w:rFonts w:ascii="Times New Roman" w:hAnsi="Times New Roman" w:cs="Times New Roman"/>
          <w:b/>
          <w:bCs/>
          <w:color w:val="000000" w:themeColor="text1"/>
          <w:szCs w:val="24"/>
        </w:rPr>
        <w:t>(5), 459–468. https://doi.org/10.1016/S0148-2963(02)00366-2</w:t>
      </w:r>
    </w:p>
    <w:p w14:paraId="35E7F42C"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Leavy, B. (2018). Value innovation and Blue Ocean Strategy. </w:t>
      </w:r>
      <w:r w:rsidRPr="00897643">
        <w:rPr>
          <w:rFonts w:ascii="Times New Roman" w:hAnsi="Times New Roman" w:cs="Times New Roman"/>
          <w:b/>
          <w:bCs/>
          <w:i/>
          <w:iCs/>
          <w:color w:val="000000" w:themeColor="text1"/>
          <w:szCs w:val="24"/>
        </w:rPr>
        <w:t>Strategy &amp; Leadership, 46</w:t>
      </w:r>
      <w:r w:rsidRPr="00897643">
        <w:rPr>
          <w:rFonts w:ascii="Times New Roman" w:hAnsi="Times New Roman" w:cs="Times New Roman"/>
          <w:b/>
          <w:bCs/>
          <w:color w:val="000000" w:themeColor="text1"/>
          <w:szCs w:val="24"/>
        </w:rPr>
        <w:t>(2), 20–28. https://doi.org/10.1108/SL-01-2018-0003</w:t>
      </w:r>
    </w:p>
    <w:p w14:paraId="1E8F178D"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 xml:space="preserve">Miller, D. (1992). The generic strategy trap. </w:t>
      </w:r>
      <w:r w:rsidRPr="00897643">
        <w:rPr>
          <w:rFonts w:ascii="Times New Roman" w:hAnsi="Times New Roman" w:cs="Times New Roman"/>
          <w:b/>
          <w:bCs/>
          <w:i/>
          <w:iCs/>
          <w:color w:val="000000" w:themeColor="text1"/>
          <w:szCs w:val="24"/>
        </w:rPr>
        <w:t>Journal of Business Research, 24</w:t>
      </w:r>
      <w:r w:rsidRPr="00897643">
        <w:rPr>
          <w:rFonts w:ascii="Times New Roman" w:hAnsi="Times New Roman" w:cs="Times New Roman"/>
          <w:b/>
          <w:bCs/>
          <w:color w:val="000000" w:themeColor="text1"/>
          <w:szCs w:val="24"/>
        </w:rPr>
        <w:t>(1), 37–41. https://doi.org/10.1016/0148-2963(92)90035-W</w:t>
      </w:r>
    </w:p>
    <w:p w14:paraId="72872E59"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Peteraf, M. (1993). The cornerstones of competitive advantage. </w:t>
      </w:r>
      <w:r w:rsidRPr="00897643">
        <w:rPr>
          <w:rFonts w:ascii="Times New Roman" w:hAnsi="Times New Roman" w:cs="Times New Roman"/>
          <w:b/>
          <w:bCs/>
          <w:i/>
          <w:iCs/>
          <w:color w:val="000000" w:themeColor="text1"/>
          <w:szCs w:val="24"/>
        </w:rPr>
        <w:t>Strategic Management Journal, 14</w:t>
      </w:r>
      <w:r w:rsidRPr="00897643">
        <w:rPr>
          <w:rFonts w:ascii="Times New Roman" w:hAnsi="Times New Roman" w:cs="Times New Roman"/>
          <w:b/>
          <w:bCs/>
          <w:color w:val="000000" w:themeColor="text1"/>
          <w:szCs w:val="24"/>
        </w:rPr>
        <w:t xml:space="preserve">(3), 179–191. </w:t>
      </w:r>
      <w:hyperlink r:id="rId9" w:tgtFrame="_new" w:history="1">
        <w:r w:rsidRPr="00897643">
          <w:rPr>
            <w:rStyle w:val="Hyperlink"/>
            <w:rFonts w:ascii="Times New Roman" w:hAnsi="Times New Roman" w:cs="Times New Roman"/>
            <w:b/>
            <w:bCs/>
            <w:szCs w:val="24"/>
          </w:rPr>
          <w:t>https://doi.org/10.1002/smj.4250140303</w:t>
        </w:r>
      </w:hyperlink>
    </w:p>
    <w:p w14:paraId="4709FA07"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Porter, M. E. (1985). </w:t>
      </w:r>
      <w:r w:rsidRPr="00897643">
        <w:rPr>
          <w:rFonts w:ascii="Times New Roman" w:hAnsi="Times New Roman" w:cs="Times New Roman"/>
          <w:b/>
          <w:bCs/>
          <w:i/>
          <w:iCs/>
          <w:color w:val="000000" w:themeColor="text1"/>
          <w:szCs w:val="24"/>
        </w:rPr>
        <w:t>Competitive advantage</w:t>
      </w:r>
      <w:r w:rsidRPr="00897643">
        <w:rPr>
          <w:rFonts w:ascii="Times New Roman" w:hAnsi="Times New Roman" w:cs="Times New Roman"/>
          <w:b/>
          <w:bCs/>
          <w:color w:val="000000" w:themeColor="text1"/>
          <w:szCs w:val="24"/>
        </w:rPr>
        <w:t>. Free Press.</w:t>
      </w:r>
    </w:p>
    <w:p w14:paraId="64C9B562"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Porter, M. E. (2008). The five competitive forces. </w:t>
      </w:r>
      <w:r w:rsidRPr="00897643">
        <w:rPr>
          <w:rFonts w:ascii="Times New Roman" w:hAnsi="Times New Roman" w:cs="Times New Roman"/>
          <w:b/>
          <w:bCs/>
          <w:i/>
          <w:iCs/>
          <w:color w:val="000000" w:themeColor="text1"/>
          <w:szCs w:val="24"/>
        </w:rPr>
        <w:t>Harvard Business Review, 86</w:t>
      </w:r>
      <w:r w:rsidRPr="00897643">
        <w:rPr>
          <w:rFonts w:ascii="Times New Roman" w:hAnsi="Times New Roman" w:cs="Times New Roman"/>
          <w:b/>
          <w:bCs/>
          <w:color w:val="000000" w:themeColor="text1"/>
          <w:szCs w:val="24"/>
        </w:rPr>
        <w:t>(1), 78–93.</w:t>
      </w:r>
    </w:p>
    <w:p w14:paraId="29405E73"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Priem, R. L., &amp; Butler, J. E. (2001). Is the RBV useful? </w:t>
      </w:r>
      <w:r w:rsidRPr="00897643">
        <w:rPr>
          <w:rFonts w:ascii="Times New Roman" w:hAnsi="Times New Roman" w:cs="Times New Roman"/>
          <w:b/>
          <w:bCs/>
          <w:i/>
          <w:iCs/>
          <w:color w:val="000000" w:themeColor="text1"/>
          <w:szCs w:val="24"/>
        </w:rPr>
        <w:t>Academy of Management Review, 26</w:t>
      </w:r>
      <w:r w:rsidRPr="00897643">
        <w:rPr>
          <w:rFonts w:ascii="Times New Roman" w:hAnsi="Times New Roman" w:cs="Times New Roman"/>
          <w:b/>
          <w:bCs/>
          <w:color w:val="000000" w:themeColor="text1"/>
          <w:szCs w:val="24"/>
        </w:rPr>
        <w:t>(1), 22–40. https://doi.org/10.5465/amr.2001.4011928</w:t>
      </w:r>
    </w:p>
    <w:p w14:paraId="25742032" w14:textId="77777777" w:rsidR="00897643" w:rsidRPr="00897643" w:rsidRDefault="00897643" w:rsidP="00897643">
      <w:pPr>
        <w:spacing w:line="480" w:lineRule="auto"/>
        <w:rPr>
          <w:rFonts w:ascii="Times New Roman" w:hAnsi="Times New Roman" w:cs="Times New Roman"/>
          <w:b/>
          <w:bCs/>
          <w:color w:val="000000" w:themeColor="text1"/>
          <w:szCs w:val="24"/>
        </w:rPr>
      </w:pPr>
      <w:proofErr w:type="spellStart"/>
      <w:r w:rsidRPr="00897643">
        <w:rPr>
          <w:rFonts w:ascii="Times New Roman" w:hAnsi="Times New Roman" w:cs="Times New Roman"/>
          <w:b/>
          <w:bCs/>
          <w:color w:val="000000" w:themeColor="text1"/>
          <w:szCs w:val="24"/>
        </w:rPr>
        <w:t>Rumelt</w:t>
      </w:r>
      <w:proofErr w:type="spellEnd"/>
      <w:r w:rsidRPr="00897643">
        <w:rPr>
          <w:rFonts w:ascii="Times New Roman" w:hAnsi="Times New Roman" w:cs="Times New Roman"/>
          <w:b/>
          <w:bCs/>
          <w:color w:val="000000" w:themeColor="text1"/>
          <w:szCs w:val="24"/>
        </w:rPr>
        <w:t xml:space="preserve">, R. P. (1991). How much does industry matter? </w:t>
      </w:r>
      <w:r w:rsidRPr="00897643">
        <w:rPr>
          <w:rFonts w:ascii="Times New Roman" w:hAnsi="Times New Roman" w:cs="Times New Roman"/>
          <w:b/>
          <w:bCs/>
          <w:i/>
          <w:iCs/>
          <w:color w:val="000000" w:themeColor="text1"/>
          <w:szCs w:val="24"/>
        </w:rPr>
        <w:t>Strategic Management Journal, 12</w:t>
      </w:r>
      <w:r w:rsidRPr="00897643">
        <w:rPr>
          <w:rFonts w:ascii="Times New Roman" w:hAnsi="Times New Roman" w:cs="Times New Roman"/>
          <w:b/>
          <w:bCs/>
          <w:color w:val="000000" w:themeColor="text1"/>
          <w:szCs w:val="24"/>
        </w:rPr>
        <w:t xml:space="preserve">(3), 167–185. </w:t>
      </w:r>
      <w:hyperlink r:id="rId10" w:tgtFrame="_new" w:history="1">
        <w:r w:rsidRPr="00897643">
          <w:rPr>
            <w:rStyle w:val="Hyperlink"/>
            <w:rFonts w:ascii="Times New Roman" w:hAnsi="Times New Roman" w:cs="Times New Roman"/>
            <w:b/>
            <w:bCs/>
            <w:szCs w:val="24"/>
          </w:rPr>
          <w:t>https://doi.org/10.1002/smj.4250120302</w:t>
        </w:r>
      </w:hyperlink>
    </w:p>
    <w:p w14:paraId="7303DD67"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Teece, D. J., Pisano, G., &amp; Shuen, A. (1997). Dynamic capabilities. </w:t>
      </w:r>
      <w:r w:rsidRPr="00897643">
        <w:rPr>
          <w:rFonts w:ascii="Times New Roman" w:hAnsi="Times New Roman" w:cs="Times New Roman"/>
          <w:b/>
          <w:bCs/>
          <w:i/>
          <w:iCs/>
          <w:color w:val="000000" w:themeColor="text1"/>
          <w:szCs w:val="24"/>
        </w:rPr>
        <w:t>Strategic Management Journal, 18</w:t>
      </w:r>
      <w:r w:rsidRPr="00897643">
        <w:rPr>
          <w:rFonts w:ascii="Times New Roman" w:hAnsi="Times New Roman" w:cs="Times New Roman"/>
          <w:b/>
          <w:bCs/>
          <w:color w:val="000000" w:themeColor="text1"/>
          <w:szCs w:val="24"/>
        </w:rPr>
        <w:t>(7), 509–533. https://doi.org/10.1002/(SICI)1097-0266(199708)18:7&lt;</w:t>
      </w:r>
      <w:proofErr w:type="gramStart"/>
      <w:r w:rsidRPr="00897643">
        <w:rPr>
          <w:rFonts w:ascii="Times New Roman" w:hAnsi="Times New Roman" w:cs="Times New Roman"/>
          <w:b/>
          <w:bCs/>
          <w:color w:val="000000" w:themeColor="text1"/>
          <w:szCs w:val="24"/>
        </w:rPr>
        <w:t>509::</w:t>
      </w:r>
      <w:proofErr w:type="gramEnd"/>
      <w:r w:rsidRPr="00897643">
        <w:rPr>
          <w:rFonts w:ascii="Times New Roman" w:hAnsi="Times New Roman" w:cs="Times New Roman"/>
          <w:b/>
          <w:bCs/>
          <w:color w:val="000000" w:themeColor="text1"/>
          <w:szCs w:val="24"/>
        </w:rPr>
        <w:t>AID-SMJ882&gt;3.0.CO;2-Z</w:t>
      </w:r>
    </w:p>
    <w:p w14:paraId="76519DF1"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Yin, R. K. (2018). </w:t>
      </w:r>
      <w:r w:rsidRPr="00897643">
        <w:rPr>
          <w:rFonts w:ascii="Times New Roman" w:hAnsi="Times New Roman" w:cs="Times New Roman"/>
          <w:b/>
          <w:bCs/>
          <w:i/>
          <w:iCs/>
          <w:color w:val="000000" w:themeColor="text1"/>
          <w:szCs w:val="24"/>
        </w:rPr>
        <w:t>Case study research</w:t>
      </w:r>
      <w:r w:rsidRPr="00897643">
        <w:rPr>
          <w:rFonts w:ascii="Times New Roman" w:hAnsi="Times New Roman" w:cs="Times New Roman"/>
          <w:b/>
          <w:bCs/>
          <w:color w:val="000000" w:themeColor="text1"/>
          <w:szCs w:val="24"/>
        </w:rPr>
        <w:t xml:space="preserve"> (6th ed.). Sage.</w:t>
      </w:r>
    </w:p>
    <w:p w14:paraId="34252B8D"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Zahra, S. A., Sapienza, H. J., &amp; Davidsson, P. (2006). Entrepreneurship and dynamic capabilities. </w:t>
      </w:r>
      <w:r w:rsidRPr="00897643">
        <w:rPr>
          <w:rFonts w:ascii="Times New Roman" w:hAnsi="Times New Roman" w:cs="Times New Roman"/>
          <w:b/>
          <w:bCs/>
          <w:i/>
          <w:iCs/>
          <w:color w:val="000000" w:themeColor="text1"/>
          <w:szCs w:val="24"/>
        </w:rPr>
        <w:t>Journal of Management Studies, 43</w:t>
      </w:r>
      <w:r w:rsidRPr="00897643">
        <w:rPr>
          <w:rFonts w:ascii="Times New Roman" w:hAnsi="Times New Roman" w:cs="Times New Roman"/>
          <w:b/>
          <w:bCs/>
          <w:color w:val="000000" w:themeColor="text1"/>
          <w:szCs w:val="24"/>
        </w:rPr>
        <w:t xml:space="preserve">(4), 917–955. </w:t>
      </w:r>
      <w:hyperlink r:id="rId11" w:tgtFrame="_new" w:history="1">
        <w:r w:rsidRPr="00897643">
          <w:rPr>
            <w:rStyle w:val="Hyperlink"/>
            <w:rFonts w:ascii="Times New Roman" w:hAnsi="Times New Roman" w:cs="Times New Roman"/>
            <w:b/>
            <w:bCs/>
            <w:szCs w:val="24"/>
          </w:rPr>
          <w:t>https://doi.org/10.1111/j.1467-6486.2006.00616.x</w:t>
        </w:r>
      </w:hyperlink>
    </w:p>
    <w:p w14:paraId="11048396"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t xml:space="preserve">Helfat, C. E., &amp; </w:t>
      </w:r>
      <w:proofErr w:type="spellStart"/>
      <w:r w:rsidRPr="00897643">
        <w:rPr>
          <w:rFonts w:ascii="Times New Roman" w:hAnsi="Times New Roman" w:cs="Times New Roman"/>
          <w:b/>
          <w:bCs/>
          <w:color w:val="000000" w:themeColor="text1"/>
          <w:szCs w:val="24"/>
        </w:rPr>
        <w:t>Peteraf</w:t>
      </w:r>
      <w:proofErr w:type="spellEnd"/>
      <w:r w:rsidRPr="00897643">
        <w:rPr>
          <w:rFonts w:ascii="Times New Roman" w:hAnsi="Times New Roman" w:cs="Times New Roman"/>
          <w:b/>
          <w:bCs/>
          <w:color w:val="000000" w:themeColor="text1"/>
          <w:szCs w:val="24"/>
        </w:rPr>
        <w:t xml:space="preserve">, M. A. (2003). The dynamic resource-based view. </w:t>
      </w:r>
      <w:r w:rsidRPr="00897643">
        <w:rPr>
          <w:rFonts w:ascii="Times New Roman" w:hAnsi="Times New Roman" w:cs="Times New Roman"/>
          <w:b/>
          <w:bCs/>
          <w:i/>
          <w:iCs/>
          <w:color w:val="000000" w:themeColor="text1"/>
          <w:szCs w:val="24"/>
        </w:rPr>
        <w:t>Strategic Management Journal, 24</w:t>
      </w:r>
      <w:r w:rsidRPr="00897643">
        <w:rPr>
          <w:rFonts w:ascii="Times New Roman" w:hAnsi="Times New Roman" w:cs="Times New Roman"/>
          <w:b/>
          <w:bCs/>
          <w:color w:val="000000" w:themeColor="text1"/>
          <w:szCs w:val="24"/>
        </w:rPr>
        <w:t xml:space="preserve">(10), 997–1010. </w:t>
      </w:r>
      <w:hyperlink r:id="rId12" w:tgtFrame="_new" w:history="1">
        <w:r w:rsidRPr="00897643">
          <w:rPr>
            <w:rStyle w:val="Hyperlink"/>
            <w:rFonts w:ascii="Times New Roman" w:hAnsi="Times New Roman" w:cs="Times New Roman"/>
            <w:b/>
            <w:bCs/>
            <w:szCs w:val="24"/>
          </w:rPr>
          <w:t>https://doi.org/10.1002/smj.332</w:t>
        </w:r>
      </w:hyperlink>
    </w:p>
    <w:p w14:paraId="7538D047" w14:textId="77777777" w:rsidR="00897643" w:rsidRPr="00897643" w:rsidRDefault="00897643" w:rsidP="00897643">
      <w:pPr>
        <w:spacing w:line="480" w:lineRule="auto"/>
        <w:rPr>
          <w:rFonts w:ascii="Times New Roman" w:hAnsi="Times New Roman" w:cs="Times New Roman"/>
          <w:b/>
          <w:bCs/>
          <w:color w:val="000000" w:themeColor="text1"/>
          <w:szCs w:val="24"/>
        </w:rPr>
      </w:pPr>
      <w:proofErr w:type="spellStart"/>
      <w:r w:rsidRPr="00897643">
        <w:rPr>
          <w:rFonts w:ascii="Times New Roman" w:hAnsi="Times New Roman" w:cs="Times New Roman"/>
          <w:b/>
          <w:bCs/>
          <w:color w:val="000000" w:themeColor="text1"/>
          <w:szCs w:val="24"/>
        </w:rPr>
        <w:t>Makadok</w:t>
      </w:r>
      <w:proofErr w:type="spellEnd"/>
      <w:r w:rsidRPr="00897643">
        <w:rPr>
          <w:rFonts w:ascii="Times New Roman" w:hAnsi="Times New Roman" w:cs="Times New Roman"/>
          <w:b/>
          <w:bCs/>
          <w:color w:val="000000" w:themeColor="text1"/>
          <w:szCs w:val="24"/>
        </w:rPr>
        <w:t xml:space="preserve">, R. (2001). Toward a synthesis of RBV and dynamic capability. </w:t>
      </w:r>
      <w:r w:rsidRPr="00897643">
        <w:rPr>
          <w:rFonts w:ascii="Times New Roman" w:hAnsi="Times New Roman" w:cs="Times New Roman"/>
          <w:b/>
          <w:bCs/>
          <w:i/>
          <w:iCs/>
          <w:color w:val="000000" w:themeColor="text1"/>
          <w:szCs w:val="24"/>
        </w:rPr>
        <w:t>Strategic Management Journal, 22</w:t>
      </w:r>
      <w:r w:rsidRPr="00897643">
        <w:rPr>
          <w:rFonts w:ascii="Times New Roman" w:hAnsi="Times New Roman" w:cs="Times New Roman"/>
          <w:b/>
          <w:bCs/>
          <w:color w:val="000000" w:themeColor="text1"/>
          <w:szCs w:val="24"/>
        </w:rPr>
        <w:t xml:space="preserve">(5), 387–401. </w:t>
      </w:r>
      <w:hyperlink r:id="rId13" w:tgtFrame="_new" w:history="1">
        <w:r w:rsidRPr="00897643">
          <w:rPr>
            <w:rStyle w:val="Hyperlink"/>
            <w:rFonts w:ascii="Times New Roman" w:hAnsi="Times New Roman" w:cs="Times New Roman"/>
            <w:b/>
            <w:bCs/>
            <w:szCs w:val="24"/>
          </w:rPr>
          <w:t>https://doi.org/10.1002/smj.158</w:t>
        </w:r>
      </w:hyperlink>
    </w:p>
    <w:p w14:paraId="1F9B3C3D" w14:textId="77777777" w:rsidR="00897643" w:rsidRPr="00897643" w:rsidRDefault="00897643" w:rsidP="00897643">
      <w:pPr>
        <w:spacing w:line="480" w:lineRule="auto"/>
        <w:rPr>
          <w:rFonts w:ascii="Times New Roman" w:hAnsi="Times New Roman" w:cs="Times New Roman"/>
          <w:b/>
          <w:bCs/>
          <w:color w:val="000000" w:themeColor="text1"/>
          <w:szCs w:val="24"/>
        </w:rPr>
      </w:pPr>
      <w:r w:rsidRPr="00897643">
        <w:rPr>
          <w:rFonts w:ascii="Times New Roman" w:hAnsi="Times New Roman" w:cs="Times New Roman"/>
          <w:b/>
          <w:bCs/>
          <w:color w:val="000000" w:themeColor="text1"/>
          <w:szCs w:val="24"/>
        </w:rPr>
        <w:lastRenderedPageBreak/>
        <w:t xml:space="preserve">Porter, M. E. (1996). What is strategy? </w:t>
      </w:r>
      <w:r w:rsidRPr="00897643">
        <w:rPr>
          <w:rFonts w:ascii="Times New Roman" w:hAnsi="Times New Roman" w:cs="Times New Roman"/>
          <w:b/>
          <w:bCs/>
          <w:i/>
          <w:iCs/>
          <w:color w:val="000000" w:themeColor="text1"/>
          <w:szCs w:val="24"/>
        </w:rPr>
        <w:t>Harvard Business Review, 74</w:t>
      </w:r>
      <w:r w:rsidRPr="00897643">
        <w:rPr>
          <w:rFonts w:ascii="Times New Roman" w:hAnsi="Times New Roman" w:cs="Times New Roman"/>
          <w:b/>
          <w:bCs/>
          <w:color w:val="000000" w:themeColor="text1"/>
          <w:szCs w:val="24"/>
        </w:rPr>
        <w:t>(6), 61–78.</w:t>
      </w:r>
    </w:p>
    <w:p w14:paraId="533311A0" w14:textId="77777777" w:rsidR="00D318B0" w:rsidRDefault="00D318B0" w:rsidP="00897643">
      <w:pPr>
        <w:spacing w:line="480" w:lineRule="auto"/>
      </w:pPr>
    </w:p>
    <w:sectPr w:rsidR="00D318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757EC"/>
    <w:multiLevelType w:val="multilevel"/>
    <w:tmpl w:val="9562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B1053"/>
    <w:multiLevelType w:val="multilevel"/>
    <w:tmpl w:val="FDB4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4ECD"/>
    <w:multiLevelType w:val="multilevel"/>
    <w:tmpl w:val="CE82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D0AC3"/>
    <w:multiLevelType w:val="multilevel"/>
    <w:tmpl w:val="F598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F168F"/>
    <w:multiLevelType w:val="multilevel"/>
    <w:tmpl w:val="607A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16634A"/>
    <w:multiLevelType w:val="multilevel"/>
    <w:tmpl w:val="D85A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FE02B1"/>
    <w:multiLevelType w:val="multilevel"/>
    <w:tmpl w:val="C4B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D631D"/>
    <w:multiLevelType w:val="multilevel"/>
    <w:tmpl w:val="3360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00B5C"/>
    <w:multiLevelType w:val="multilevel"/>
    <w:tmpl w:val="023C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E6D3B"/>
    <w:multiLevelType w:val="multilevel"/>
    <w:tmpl w:val="7340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9F3CDC"/>
    <w:multiLevelType w:val="multilevel"/>
    <w:tmpl w:val="07E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296486"/>
    <w:multiLevelType w:val="multilevel"/>
    <w:tmpl w:val="75188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374781"/>
    <w:multiLevelType w:val="multilevel"/>
    <w:tmpl w:val="C0E2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B00738"/>
    <w:multiLevelType w:val="multilevel"/>
    <w:tmpl w:val="32F8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5439E4"/>
    <w:multiLevelType w:val="multilevel"/>
    <w:tmpl w:val="49C4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A24AE4"/>
    <w:multiLevelType w:val="multilevel"/>
    <w:tmpl w:val="AB88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527BCC"/>
    <w:multiLevelType w:val="multilevel"/>
    <w:tmpl w:val="39C0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F347DF"/>
    <w:multiLevelType w:val="multilevel"/>
    <w:tmpl w:val="164E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9E756E"/>
    <w:multiLevelType w:val="multilevel"/>
    <w:tmpl w:val="7888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890CA7"/>
    <w:multiLevelType w:val="multilevel"/>
    <w:tmpl w:val="30408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DF2386"/>
    <w:multiLevelType w:val="multilevel"/>
    <w:tmpl w:val="1A12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BE682D"/>
    <w:multiLevelType w:val="multilevel"/>
    <w:tmpl w:val="A270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1204888">
    <w:abstractNumId w:val="5"/>
  </w:num>
  <w:num w:numId="2" w16cid:durableId="1886870676">
    <w:abstractNumId w:val="9"/>
  </w:num>
  <w:num w:numId="3" w16cid:durableId="812721152">
    <w:abstractNumId w:val="15"/>
  </w:num>
  <w:num w:numId="4" w16cid:durableId="1676226659">
    <w:abstractNumId w:val="14"/>
  </w:num>
  <w:num w:numId="5" w16cid:durableId="1897929808">
    <w:abstractNumId w:val="1"/>
  </w:num>
  <w:num w:numId="6" w16cid:durableId="1296594795">
    <w:abstractNumId w:val="16"/>
  </w:num>
  <w:num w:numId="7" w16cid:durableId="464196715">
    <w:abstractNumId w:val="4"/>
  </w:num>
  <w:num w:numId="8" w16cid:durableId="878473400">
    <w:abstractNumId w:val="20"/>
  </w:num>
  <w:num w:numId="9" w16cid:durableId="1242563698">
    <w:abstractNumId w:val="2"/>
  </w:num>
  <w:num w:numId="10" w16cid:durableId="579827004">
    <w:abstractNumId w:val="12"/>
  </w:num>
  <w:num w:numId="11" w16cid:durableId="1571428328">
    <w:abstractNumId w:val="13"/>
  </w:num>
  <w:num w:numId="12" w16cid:durableId="192038607">
    <w:abstractNumId w:val="17"/>
  </w:num>
  <w:num w:numId="13" w16cid:durableId="477038419">
    <w:abstractNumId w:val="6"/>
  </w:num>
  <w:num w:numId="14" w16cid:durableId="1286891674">
    <w:abstractNumId w:val="7"/>
  </w:num>
  <w:num w:numId="15" w16cid:durableId="67731089">
    <w:abstractNumId w:val="8"/>
  </w:num>
  <w:num w:numId="16" w16cid:durableId="1484736459">
    <w:abstractNumId w:val="19"/>
  </w:num>
  <w:num w:numId="17" w16cid:durableId="2090272826">
    <w:abstractNumId w:val="21"/>
  </w:num>
  <w:num w:numId="18" w16cid:durableId="1187671594">
    <w:abstractNumId w:val="11"/>
  </w:num>
  <w:num w:numId="19" w16cid:durableId="1886404210">
    <w:abstractNumId w:val="3"/>
  </w:num>
  <w:num w:numId="20" w16cid:durableId="506403591">
    <w:abstractNumId w:val="18"/>
  </w:num>
  <w:num w:numId="21" w16cid:durableId="95368726">
    <w:abstractNumId w:val="0"/>
  </w:num>
  <w:num w:numId="22" w16cid:durableId="16019896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8B0"/>
    <w:rsid w:val="001B0B02"/>
    <w:rsid w:val="00313D16"/>
    <w:rsid w:val="00897643"/>
    <w:rsid w:val="00AE69CE"/>
    <w:rsid w:val="00BD4F16"/>
    <w:rsid w:val="00D318B0"/>
    <w:rsid w:val="00D815E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14093"/>
  <w15:chartTrackingRefBased/>
  <w15:docId w15:val="{5559020F-C7CE-4C08-BF2C-DFAD5AB5B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8B0"/>
  </w:style>
  <w:style w:type="paragraph" w:styleId="Heading1">
    <w:name w:val="heading 1"/>
    <w:basedOn w:val="Normal"/>
    <w:next w:val="Normal"/>
    <w:link w:val="Heading1Char"/>
    <w:uiPriority w:val="9"/>
    <w:qFormat/>
    <w:rsid w:val="00D318B0"/>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318B0"/>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318B0"/>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31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8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8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8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8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8B0"/>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318B0"/>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318B0"/>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318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8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8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8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8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8B0"/>
    <w:rPr>
      <w:rFonts w:eastAsiaTheme="majorEastAsia" w:cstheme="majorBidi"/>
      <w:color w:val="272727" w:themeColor="text1" w:themeTint="D8"/>
    </w:rPr>
  </w:style>
  <w:style w:type="paragraph" w:styleId="Title">
    <w:name w:val="Title"/>
    <w:basedOn w:val="Normal"/>
    <w:next w:val="Normal"/>
    <w:link w:val="TitleChar"/>
    <w:uiPriority w:val="10"/>
    <w:qFormat/>
    <w:rsid w:val="00D318B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318B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318B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318B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318B0"/>
    <w:pPr>
      <w:spacing w:before="160"/>
      <w:jc w:val="center"/>
    </w:pPr>
    <w:rPr>
      <w:i/>
      <w:iCs/>
      <w:color w:val="404040" w:themeColor="text1" w:themeTint="BF"/>
    </w:rPr>
  </w:style>
  <w:style w:type="character" w:customStyle="1" w:styleId="QuoteChar">
    <w:name w:val="Quote Char"/>
    <w:basedOn w:val="DefaultParagraphFont"/>
    <w:link w:val="Quote"/>
    <w:uiPriority w:val="29"/>
    <w:rsid w:val="00D318B0"/>
    <w:rPr>
      <w:i/>
      <w:iCs/>
      <w:color w:val="404040" w:themeColor="text1" w:themeTint="BF"/>
    </w:rPr>
  </w:style>
  <w:style w:type="paragraph" w:styleId="ListParagraph">
    <w:name w:val="List Paragraph"/>
    <w:basedOn w:val="Normal"/>
    <w:uiPriority w:val="34"/>
    <w:qFormat/>
    <w:rsid w:val="00D318B0"/>
    <w:pPr>
      <w:ind w:left="720"/>
      <w:contextualSpacing/>
    </w:pPr>
  </w:style>
  <w:style w:type="character" w:styleId="IntenseEmphasis">
    <w:name w:val="Intense Emphasis"/>
    <w:basedOn w:val="DefaultParagraphFont"/>
    <w:uiPriority w:val="21"/>
    <w:qFormat/>
    <w:rsid w:val="00D318B0"/>
    <w:rPr>
      <w:i/>
      <w:iCs/>
      <w:color w:val="0F4761" w:themeColor="accent1" w:themeShade="BF"/>
    </w:rPr>
  </w:style>
  <w:style w:type="paragraph" w:styleId="IntenseQuote">
    <w:name w:val="Intense Quote"/>
    <w:basedOn w:val="Normal"/>
    <w:next w:val="Normal"/>
    <w:link w:val="IntenseQuoteChar"/>
    <w:uiPriority w:val="30"/>
    <w:qFormat/>
    <w:rsid w:val="00D318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8B0"/>
    <w:rPr>
      <w:i/>
      <w:iCs/>
      <w:color w:val="0F4761" w:themeColor="accent1" w:themeShade="BF"/>
    </w:rPr>
  </w:style>
  <w:style w:type="character" w:styleId="IntenseReference">
    <w:name w:val="Intense Reference"/>
    <w:basedOn w:val="DefaultParagraphFont"/>
    <w:uiPriority w:val="32"/>
    <w:qFormat/>
    <w:rsid w:val="00D318B0"/>
    <w:rPr>
      <w:b/>
      <w:bCs/>
      <w:smallCaps/>
      <w:color w:val="0F4761" w:themeColor="accent1" w:themeShade="BF"/>
      <w:spacing w:val="5"/>
    </w:rPr>
  </w:style>
  <w:style w:type="character" w:styleId="Hyperlink">
    <w:name w:val="Hyperlink"/>
    <w:basedOn w:val="DefaultParagraphFont"/>
    <w:uiPriority w:val="99"/>
    <w:unhideWhenUsed/>
    <w:rsid w:val="00D318B0"/>
    <w:rPr>
      <w:color w:val="467886" w:themeColor="hyperlink"/>
      <w:u w:val="single"/>
    </w:rPr>
  </w:style>
  <w:style w:type="paragraph" w:styleId="TOCHeading">
    <w:name w:val="TOC Heading"/>
    <w:basedOn w:val="Heading1"/>
    <w:next w:val="Normal"/>
    <w:uiPriority w:val="39"/>
    <w:unhideWhenUsed/>
    <w:qFormat/>
    <w:rsid w:val="00D318B0"/>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D318B0"/>
    <w:pPr>
      <w:spacing w:after="100"/>
      <w:ind w:left="240"/>
    </w:pPr>
  </w:style>
  <w:style w:type="character" w:styleId="UnresolvedMention">
    <w:name w:val="Unresolved Mention"/>
    <w:basedOn w:val="DefaultParagraphFont"/>
    <w:uiPriority w:val="99"/>
    <w:semiHidden/>
    <w:unhideWhenUsed/>
    <w:rsid w:val="008976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41166664" TargetMode="External"/><Relationship Id="rId13" Type="http://schemas.openxmlformats.org/officeDocument/2006/relationships/hyperlink" Target="https://doi.org/10.1002/smj.158" TargetMode="External"/><Relationship Id="rId3" Type="http://schemas.openxmlformats.org/officeDocument/2006/relationships/settings" Target="settings.xml"/><Relationship Id="rId7" Type="http://schemas.openxmlformats.org/officeDocument/2006/relationships/hyperlink" Target="https://doi.org/10.1191/1478088706qp063oa" TargetMode="External"/><Relationship Id="rId12" Type="http://schemas.openxmlformats.org/officeDocument/2006/relationships/hyperlink" Target="https://doi.org/10.1002/smj.3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hyperlink" Target="https://doi.org/10.1111/j.1467-6486.2006.00616.x"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doi.org/10.1002/smj.4250120302" TargetMode="External"/><Relationship Id="rId4" Type="http://schemas.openxmlformats.org/officeDocument/2006/relationships/webSettings" Target="webSettings.xml"/><Relationship Id="rId9" Type="http://schemas.openxmlformats.org/officeDocument/2006/relationships/hyperlink" Target="https://doi.org/10.1002/smj.42501403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4289</Words>
  <Characters>24448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xx5949@365mak.com</cp:lastModifiedBy>
  <cp:revision>3</cp:revision>
  <dcterms:created xsi:type="dcterms:W3CDTF">2026-09-05T11:57:00Z</dcterms:created>
  <dcterms:modified xsi:type="dcterms:W3CDTF">2026-09-05T11:57:00Z</dcterms:modified>
</cp:coreProperties>
</file>