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C7B31" w14:textId="77777777" w:rsidR="00B571E9" w:rsidRDefault="00B571E9" w:rsidP="00B571E9">
      <w:pPr>
        <w:jc w:val="center"/>
        <w:rPr>
          <w:b/>
          <w:bCs/>
        </w:rPr>
      </w:pPr>
    </w:p>
    <w:p w14:paraId="67EB7B9F" w14:textId="77777777" w:rsidR="00B571E9" w:rsidRDefault="00B571E9" w:rsidP="00B571E9">
      <w:pPr>
        <w:jc w:val="center"/>
        <w:rPr>
          <w:b/>
          <w:bCs/>
        </w:rPr>
      </w:pPr>
    </w:p>
    <w:p w14:paraId="23218BBA" w14:textId="77777777" w:rsidR="00B571E9" w:rsidRDefault="00B571E9" w:rsidP="00B571E9">
      <w:pPr>
        <w:jc w:val="center"/>
        <w:rPr>
          <w:b/>
          <w:bCs/>
        </w:rPr>
      </w:pPr>
    </w:p>
    <w:p w14:paraId="0F872606" w14:textId="77777777" w:rsidR="00B571E9" w:rsidRDefault="00B571E9" w:rsidP="00B571E9">
      <w:pPr>
        <w:jc w:val="center"/>
        <w:rPr>
          <w:b/>
          <w:bCs/>
        </w:rPr>
      </w:pPr>
    </w:p>
    <w:p w14:paraId="4AE3D25C" w14:textId="77777777" w:rsidR="00B04D0F" w:rsidRDefault="00B04D0F" w:rsidP="00B04D0F">
      <w:pPr>
        <w:jc w:val="center"/>
      </w:pPr>
      <w:r>
        <w:rPr>
          <w:noProof/>
        </w:rPr>
        <w:drawing>
          <wp:inline distT="114300" distB="114300" distL="114300" distR="114300" wp14:anchorId="651FB355" wp14:editId="0C2FC3B6">
            <wp:extent cx="1828800" cy="1638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828800" cy="1638300"/>
                    </a:xfrm>
                    <a:prstGeom prst="rect">
                      <a:avLst/>
                    </a:prstGeom>
                    <a:ln/>
                  </pic:spPr>
                </pic:pic>
              </a:graphicData>
            </a:graphic>
          </wp:inline>
        </w:drawing>
      </w:r>
    </w:p>
    <w:p w14:paraId="210A00BF" w14:textId="77777777" w:rsidR="00B04D0F" w:rsidRDefault="00B04D0F" w:rsidP="00B04D0F">
      <w:pPr>
        <w:jc w:val="center"/>
      </w:pPr>
      <w:r>
        <w:t>Cultural Heritage Management</w:t>
      </w:r>
    </w:p>
    <w:p w14:paraId="17CB5364" w14:textId="28A1B0CA" w:rsidR="00B04D0F" w:rsidRDefault="00B04D0F" w:rsidP="00B04D0F">
      <w:pPr>
        <w:jc w:val="center"/>
      </w:pPr>
      <w:r>
        <w:t xml:space="preserve">Assignment </w:t>
      </w:r>
      <w:r>
        <w:t>3</w:t>
      </w:r>
    </w:p>
    <w:p w14:paraId="6E4AD90D" w14:textId="77777777" w:rsidR="00B04D0F" w:rsidRDefault="00B04D0F" w:rsidP="00B04D0F">
      <w:pPr>
        <w:jc w:val="center"/>
      </w:pPr>
      <w:r>
        <w:t>Student Name:</w:t>
      </w:r>
    </w:p>
    <w:p w14:paraId="44735B2A" w14:textId="4875AAA1" w:rsidR="00B571E9" w:rsidRDefault="00B04D0F" w:rsidP="00B04D0F">
      <w:pPr>
        <w:jc w:val="center"/>
        <w:rPr>
          <w:b/>
          <w:bCs/>
        </w:rPr>
      </w:pPr>
      <w:r>
        <w:t xml:space="preserve">Student ID: </w:t>
      </w:r>
    </w:p>
    <w:p w14:paraId="4773CAA9" w14:textId="77777777" w:rsidR="00F3162A" w:rsidRDefault="00F3162A">
      <w:pPr>
        <w:spacing w:line="278" w:lineRule="auto"/>
        <w:jc w:val="left"/>
        <w:rPr>
          <w:b/>
          <w:bCs/>
          <w:lang w:val="en-US"/>
        </w:rPr>
      </w:pPr>
      <w:r>
        <w:rPr>
          <w:b/>
          <w:bCs/>
          <w:lang w:val="en-US"/>
        </w:rPr>
        <w:br w:type="page"/>
      </w:r>
    </w:p>
    <w:sdt>
      <w:sdtPr>
        <w:rPr>
          <w:rFonts w:ascii="Times New Roman" w:eastAsiaTheme="minorHAnsi" w:hAnsi="Times New Roman" w:cs="Times New Roman"/>
          <w:b/>
          <w:bCs/>
          <w:color w:val="000000" w:themeColor="text1"/>
          <w:kern w:val="2"/>
          <w:sz w:val="24"/>
          <w:szCs w:val="24"/>
          <w:lang w:val="en-GB"/>
          <w14:ligatures w14:val="standardContextual"/>
        </w:rPr>
        <w:id w:val="-226773063"/>
        <w:docPartObj>
          <w:docPartGallery w:val="Table of Contents"/>
          <w:docPartUnique/>
        </w:docPartObj>
      </w:sdtPr>
      <w:sdtEndPr>
        <w:rPr>
          <w:rFonts w:cstheme="minorBidi"/>
          <w:noProof/>
        </w:rPr>
      </w:sdtEndPr>
      <w:sdtContent>
        <w:p w14:paraId="2BA758DC" w14:textId="737F6476" w:rsidR="00F3162A" w:rsidRPr="00B04D0F" w:rsidRDefault="00F3162A" w:rsidP="00F3162A">
          <w:pPr>
            <w:pStyle w:val="TOCHeading"/>
            <w:spacing w:line="480" w:lineRule="auto"/>
            <w:jc w:val="center"/>
            <w:rPr>
              <w:rFonts w:ascii="Times New Roman" w:hAnsi="Times New Roman" w:cs="Times New Roman"/>
              <w:b/>
              <w:bCs/>
              <w:color w:val="000000" w:themeColor="text1"/>
              <w:sz w:val="28"/>
              <w:szCs w:val="28"/>
            </w:rPr>
          </w:pPr>
          <w:r w:rsidRPr="00B04D0F">
            <w:rPr>
              <w:rFonts w:ascii="Times New Roman" w:hAnsi="Times New Roman" w:cs="Times New Roman"/>
              <w:b/>
              <w:bCs/>
              <w:color w:val="000000" w:themeColor="text1"/>
              <w:sz w:val="28"/>
              <w:szCs w:val="28"/>
            </w:rPr>
            <w:t>Table of Contents</w:t>
          </w:r>
        </w:p>
        <w:p w14:paraId="4A8072EF" w14:textId="781FE043" w:rsidR="00F3162A" w:rsidRDefault="00F3162A">
          <w:pPr>
            <w:pStyle w:val="TOC1"/>
            <w:tabs>
              <w:tab w:val="right" w:leader="dot" w:pos="9350"/>
            </w:tabs>
            <w:rPr>
              <w:noProof/>
            </w:rPr>
          </w:pPr>
          <w:r>
            <w:fldChar w:fldCharType="begin"/>
          </w:r>
          <w:r>
            <w:instrText xml:space="preserve"> TOC \o "1-3" \h \z \u </w:instrText>
          </w:r>
          <w:r>
            <w:fldChar w:fldCharType="separate"/>
          </w:r>
          <w:hyperlink w:anchor="_Toc232851673" w:history="1">
            <w:r w:rsidRPr="007225C1">
              <w:rPr>
                <w:rStyle w:val="Hyperlink"/>
                <w:noProof/>
              </w:rPr>
              <w:t>1. World Heritage Site: Taj Mahal</w:t>
            </w:r>
            <w:r>
              <w:rPr>
                <w:noProof/>
                <w:webHidden/>
              </w:rPr>
              <w:tab/>
            </w:r>
            <w:r>
              <w:rPr>
                <w:noProof/>
                <w:webHidden/>
              </w:rPr>
              <w:fldChar w:fldCharType="begin"/>
            </w:r>
            <w:r>
              <w:rPr>
                <w:noProof/>
                <w:webHidden/>
              </w:rPr>
              <w:instrText xml:space="preserve"> PAGEREF _Toc232851673 \h </w:instrText>
            </w:r>
            <w:r>
              <w:rPr>
                <w:noProof/>
                <w:webHidden/>
              </w:rPr>
            </w:r>
            <w:r>
              <w:rPr>
                <w:noProof/>
                <w:webHidden/>
              </w:rPr>
              <w:fldChar w:fldCharType="separate"/>
            </w:r>
            <w:r>
              <w:rPr>
                <w:noProof/>
                <w:webHidden/>
              </w:rPr>
              <w:t>2</w:t>
            </w:r>
            <w:r>
              <w:rPr>
                <w:noProof/>
                <w:webHidden/>
              </w:rPr>
              <w:fldChar w:fldCharType="end"/>
            </w:r>
          </w:hyperlink>
        </w:p>
        <w:p w14:paraId="3CC60C7F" w14:textId="58715C16" w:rsidR="00F3162A" w:rsidRDefault="00F3162A">
          <w:pPr>
            <w:pStyle w:val="TOC1"/>
            <w:tabs>
              <w:tab w:val="right" w:leader="dot" w:pos="9350"/>
            </w:tabs>
            <w:rPr>
              <w:noProof/>
            </w:rPr>
          </w:pPr>
          <w:hyperlink w:anchor="_Toc232851674" w:history="1">
            <w:r w:rsidRPr="007225C1">
              <w:rPr>
                <w:rStyle w:val="Hyperlink"/>
                <w:noProof/>
              </w:rPr>
              <w:t>2. Authenticity Beyond Material Originality: The Example of Ise Grand Shrine</w:t>
            </w:r>
            <w:r>
              <w:rPr>
                <w:noProof/>
                <w:webHidden/>
              </w:rPr>
              <w:tab/>
            </w:r>
            <w:r>
              <w:rPr>
                <w:noProof/>
                <w:webHidden/>
              </w:rPr>
              <w:fldChar w:fldCharType="begin"/>
            </w:r>
            <w:r>
              <w:rPr>
                <w:noProof/>
                <w:webHidden/>
              </w:rPr>
              <w:instrText xml:space="preserve"> PAGEREF _Toc232851674 \h </w:instrText>
            </w:r>
            <w:r>
              <w:rPr>
                <w:noProof/>
                <w:webHidden/>
              </w:rPr>
            </w:r>
            <w:r>
              <w:rPr>
                <w:noProof/>
                <w:webHidden/>
              </w:rPr>
              <w:fldChar w:fldCharType="separate"/>
            </w:r>
            <w:r>
              <w:rPr>
                <w:noProof/>
                <w:webHidden/>
              </w:rPr>
              <w:t>3</w:t>
            </w:r>
            <w:r>
              <w:rPr>
                <w:noProof/>
                <w:webHidden/>
              </w:rPr>
              <w:fldChar w:fldCharType="end"/>
            </w:r>
          </w:hyperlink>
        </w:p>
        <w:p w14:paraId="14DA3D87" w14:textId="1BE2A524" w:rsidR="00F3162A" w:rsidRDefault="00F3162A">
          <w:pPr>
            <w:pStyle w:val="TOC1"/>
            <w:tabs>
              <w:tab w:val="right" w:leader="dot" w:pos="9350"/>
            </w:tabs>
            <w:rPr>
              <w:noProof/>
            </w:rPr>
          </w:pPr>
          <w:hyperlink w:anchor="_Toc232851675" w:history="1">
            <w:r w:rsidRPr="007225C1">
              <w:rPr>
                <w:rStyle w:val="Hyperlink"/>
                <w:noProof/>
              </w:rPr>
              <w:t>Reference List</w:t>
            </w:r>
            <w:r>
              <w:rPr>
                <w:noProof/>
                <w:webHidden/>
              </w:rPr>
              <w:tab/>
            </w:r>
            <w:r>
              <w:rPr>
                <w:noProof/>
                <w:webHidden/>
              </w:rPr>
              <w:fldChar w:fldCharType="begin"/>
            </w:r>
            <w:r>
              <w:rPr>
                <w:noProof/>
                <w:webHidden/>
              </w:rPr>
              <w:instrText xml:space="preserve"> PAGEREF _Toc232851675 \h </w:instrText>
            </w:r>
            <w:r>
              <w:rPr>
                <w:noProof/>
                <w:webHidden/>
              </w:rPr>
            </w:r>
            <w:r>
              <w:rPr>
                <w:noProof/>
                <w:webHidden/>
              </w:rPr>
              <w:fldChar w:fldCharType="separate"/>
            </w:r>
            <w:r>
              <w:rPr>
                <w:noProof/>
                <w:webHidden/>
              </w:rPr>
              <w:t>4</w:t>
            </w:r>
            <w:r>
              <w:rPr>
                <w:noProof/>
                <w:webHidden/>
              </w:rPr>
              <w:fldChar w:fldCharType="end"/>
            </w:r>
          </w:hyperlink>
        </w:p>
        <w:p w14:paraId="4E08CC15" w14:textId="60E605F5" w:rsidR="00F3162A" w:rsidRDefault="00F3162A">
          <w:r>
            <w:rPr>
              <w:b/>
              <w:bCs/>
              <w:noProof/>
            </w:rPr>
            <w:fldChar w:fldCharType="end"/>
          </w:r>
        </w:p>
      </w:sdtContent>
    </w:sdt>
    <w:p w14:paraId="32B133D4" w14:textId="77777777" w:rsidR="00B571E9" w:rsidRPr="00B571E9" w:rsidRDefault="00B571E9" w:rsidP="00F3162A">
      <w:pPr>
        <w:rPr>
          <w:b/>
          <w:bCs/>
          <w:lang w:val="en-US"/>
        </w:rPr>
      </w:pPr>
    </w:p>
    <w:p w14:paraId="4A673615" w14:textId="77777777" w:rsidR="00B571E9" w:rsidRDefault="00B571E9">
      <w:pPr>
        <w:spacing w:line="278" w:lineRule="auto"/>
        <w:jc w:val="left"/>
        <w:rPr>
          <w:rFonts w:eastAsiaTheme="majorEastAsia" w:cstheme="majorBidi"/>
          <w:b/>
          <w:sz w:val="28"/>
          <w:szCs w:val="40"/>
        </w:rPr>
      </w:pPr>
      <w:r>
        <w:br w:type="page"/>
      </w:r>
    </w:p>
    <w:p w14:paraId="51B2D593" w14:textId="42DA43C8" w:rsidR="008F0C0A" w:rsidRPr="0021711C" w:rsidRDefault="008F0C0A" w:rsidP="008F0C0A">
      <w:pPr>
        <w:pStyle w:val="Heading1"/>
      </w:pPr>
      <w:bookmarkStart w:id="0" w:name="_Toc232851673"/>
      <w:r w:rsidRPr="0021711C">
        <w:lastRenderedPageBreak/>
        <w:t>1. World Heritage Site: Taj Mahal</w:t>
      </w:r>
      <w:bookmarkEnd w:id="0"/>
    </w:p>
    <w:p w14:paraId="54B85379" w14:textId="600BF11D" w:rsidR="008F0C0A" w:rsidRPr="0021711C" w:rsidRDefault="008F0C0A" w:rsidP="008F0C0A">
      <w:r w:rsidRPr="0021711C">
        <w:t>The World Heritage Site, Taj Mahal</w:t>
      </w:r>
      <w:r w:rsidR="00B04D0F">
        <w:t>,</w:t>
      </w:r>
      <w:r w:rsidRPr="0021711C">
        <w:t xml:space="preserve"> situated in Agra, India, was </w:t>
      </w:r>
      <w:r w:rsidR="00B04D0F">
        <w:t>designated</w:t>
      </w:r>
      <w:r w:rsidRPr="0021711C">
        <w:t xml:space="preserve"> on the UNESCO World Heritage List in the year 1983 because of its Outstanding Universal Value as one of the best accomplishments of Indo-Islamic architecture. Built between 1632 and 1653 under the patronage and rule of the Mughal Emperor “Shah Jahan” in memory of his beloved wife “Mumtaz Mahal”, it is recognised internationally for its architectural brilliance, artistic expertise, historical significance</w:t>
      </w:r>
      <w:r w:rsidR="00B04D0F">
        <w:t>,</w:t>
      </w:r>
      <w:r w:rsidRPr="0021711C">
        <w:t xml:space="preserve"> along with symbolic illustration of love</w:t>
      </w:r>
      <w:r>
        <w:t xml:space="preserve"> (</w:t>
      </w:r>
      <w:r w:rsidRPr="00C67B87">
        <w:t>UNESCO World Heritage Centre</w:t>
      </w:r>
      <w:r>
        <w:t>, 2010)</w:t>
      </w:r>
      <w:r w:rsidRPr="0021711C">
        <w:t xml:space="preserve">. UNESCO recognises the monument as a masterwork of human creative </w:t>
      </w:r>
      <w:r w:rsidR="00B04D0F">
        <w:t>genius</w:t>
      </w:r>
      <w:r w:rsidRPr="0021711C">
        <w:t xml:space="preserve"> because of its perfect symmetry, harmonious design, in addition to exceptional utilisation of white marble</w:t>
      </w:r>
      <w:r w:rsidR="00B04D0F">
        <w:t>,</w:t>
      </w:r>
      <w:r w:rsidRPr="0021711C">
        <w:t xml:space="preserve"> as well as decorative inlay work. </w:t>
      </w:r>
    </w:p>
    <w:p w14:paraId="3E673873" w14:textId="716E3067" w:rsidR="008F0C0A" w:rsidRPr="0021711C" w:rsidRDefault="008F0C0A" w:rsidP="008F0C0A">
      <w:r w:rsidRPr="0021711C">
        <w:t xml:space="preserve">The heritage standards of the monument, </w:t>
      </w:r>
      <w:r w:rsidR="00B04D0F">
        <w:t xml:space="preserve">the </w:t>
      </w:r>
      <w:r w:rsidRPr="0021711C">
        <w:t>Taj Mahal</w:t>
      </w:r>
      <w:r w:rsidR="00B04D0F">
        <w:t>,</w:t>
      </w:r>
      <w:r w:rsidRPr="0021711C">
        <w:t xml:space="preserve"> are stated through numerous physical as well as cultural characteristics. These comprise the central marble mausoleum, the mosque, the four minarets, and also the guest house, the Yamuna River location, the Charbagh garden layout, along with the complicated pietra dura inlay decoration formed with semi-precious stones</w:t>
      </w:r>
      <w:r>
        <w:t xml:space="preserve"> (</w:t>
      </w:r>
      <w:r w:rsidRPr="00C67B87">
        <w:t>Unesco.org</w:t>
      </w:r>
      <w:r>
        <w:t>, 2024)</w:t>
      </w:r>
      <w:r w:rsidRPr="0021711C">
        <w:t xml:space="preserve">. The Taj Mahal also imitates the advanced engineering, artistic skills </w:t>
      </w:r>
      <w:r w:rsidR="00B04D0F">
        <w:t>and</w:t>
      </w:r>
      <w:r w:rsidRPr="0021711C">
        <w:t xml:space="preserve"> the exchanges of cultures that categorised the Mughal Empire. Traditional marble inlay artistry </w:t>
      </w:r>
      <w:r w:rsidR="00B04D0F">
        <w:t>continues</w:t>
      </w:r>
      <w:r w:rsidRPr="0021711C">
        <w:t xml:space="preserve"> to be trained in Agra, further strengthening the site's cultural worth. UNESCO </w:t>
      </w:r>
      <w:r w:rsidR="00B04D0F">
        <w:t>considers</w:t>
      </w:r>
      <w:r w:rsidRPr="0021711C">
        <w:t xml:space="preserve"> the Taj Mahal to possess a high level of genuineness because its original plan, materials, artistry, location</w:t>
      </w:r>
      <w:r w:rsidR="00B04D0F">
        <w:t>,</w:t>
      </w:r>
      <w:r w:rsidRPr="0021711C">
        <w:t xml:space="preserve"> as well as background</w:t>
      </w:r>
      <w:r w:rsidR="00B04D0F">
        <w:t>,</w:t>
      </w:r>
      <w:r w:rsidRPr="0021711C">
        <w:t xml:space="preserve"> have mostly been conserved since its creation. </w:t>
      </w:r>
    </w:p>
    <w:p w14:paraId="18ED7869" w14:textId="65FF37A1" w:rsidR="008F0C0A" w:rsidRPr="0021711C" w:rsidRDefault="008F0C0A" w:rsidP="008F0C0A">
      <w:r w:rsidRPr="0021711C">
        <w:t xml:space="preserve">The honesty of the heritage site is also measured </w:t>
      </w:r>
      <w:r w:rsidR="00B04D0F">
        <w:t>strongly</w:t>
      </w:r>
      <w:r w:rsidRPr="0021711C">
        <w:t>. The complete complex, encompassing the guest house, tomb, gateway, mosque and gardens, lives within a protected area of around 17 hectares</w:t>
      </w:r>
      <w:r>
        <w:t xml:space="preserve"> (</w:t>
      </w:r>
      <w:r w:rsidRPr="00C67B87">
        <w:t>Agra.nic.in</w:t>
      </w:r>
      <w:r>
        <w:t>, 2026)</w:t>
      </w:r>
      <w:r w:rsidRPr="0021711C">
        <w:t>. Continuing monitoring of structural steadiness, air pollution</w:t>
      </w:r>
      <w:r w:rsidR="00B04D0F">
        <w:t>,</w:t>
      </w:r>
      <w:r w:rsidRPr="0021711C">
        <w:t xml:space="preserve"> along with visitor management</w:t>
      </w:r>
      <w:r w:rsidR="00B04D0F">
        <w:t>,</w:t>
      </w:r>
      <w:r w:rsidRPr="0021711C">
        <w:t xml:space="preserve"> assists </w:t>
      </w:r>
      <w:r w:rsidR="00B04D0F">
        <w:t>in sustaining</w:t>
      </w:r>
      <w:r w:rsidRPr="0021711C">
        <w:t xml:space="preserve"> the site's condition. However, ecological pollution, </w:t>
      </w:r>
      <w:r w:rsidRPr="0021711C">
        <w:lastRenderedPageBreak/>
        <w:t>urban development</w:t>
      </w:r>
      <w:r w:rsidR="00B04D0F">
        <w:t>,</w:t>
      </w:r>
      <w:r w:rsidRPr="0021711C">
        <w:t xml:space="preserve"> as well as increasing tourism burden remain issues that necessitate constant management to safeguard its long-term integrity. </w:t>
      </w:r>
    </w:p>
    <w:p w14:paraId="69310572" w14:textId="77777777" w:rsidR="008F0C0A" w:rsidRPr="0021711C" w:rsidRDefault="008F0C0A" w:rsidP="008F0C0A">
      <w:pPr>
        <w:pStyle w:val="Heading1"/>
      </w:pPr>
      <w:bookmarkStart w:id="1" w:name="_Toc232851674"/>
      <w:r w:rsidRPr="0021711C">
        <w:t>2. Authenticity Beyond Material Originality: The Example of Ise Grand Shrine</w:t>
      </w:r>
      <w:bookmarkEnd w:id="1"/>
    </w:p>
    <w:p w14:paraId="18AAD430" w14:textId="2C07FA81" w:rsidR="008F0C0A" w:rsidRPr="0010494D" w:rsidRDefault="008F0C0A" w:rsidP="008F0C0A">
      <w:pPr>
        <w:rPr>
          <w:lang w:val="en-US"/>
        </w:rPr>
      </w:pPr>
      <w:r w:rsidRPr="0021711C">
        <w:t xml:space="preserve">The “Ise Grand Shrine” in Japan challenges the traditional interpretation that genuineness relies only on the survival of original constituents. Unlike numerous historic monuments, the shrine is purposely dismantled </w:t>
      </w:r>
      <w:r w:rsidR="00B04D0F">
        <w:t>and</w:t>
      </w:r>
      <w:r w:rsidRPr="0021711C">
        <w:t xml:space="preserve"> reconstructed every twenty years through a ritual identified as </w:t>
      </w:r>
      <w:r w:rsidRPr="0010494D">
        <w:t>“Shikinen Sengu”</w:t>
      </w:r>
      <w:r>
        <w:t xml:space="preserve"> </w:t>
      </w:r>
      <w:r w:rsidRPr="0010494D">
        <w:rPr>
          <w:lang w:val="en-US"/>
        </w:rPr>
        <w:t>(Srinivas, 2026)</w:t>
      </w:r>
      <w:r w:rsidRPr="0021711C">
        <w:t xml:space="preserve">. This practice has sustained for more than thirteen centuries, making it one of the most noteworthy instances of living legacy. </w:t>
      </w:r>
    </w:p>
    <w:p w14:paraId="6C9AECE2" w14:textId="39415095" w:rsidR="008F0C0A" w:rsidRPr="0021711C" w:rsidRDefault="008F0C0A" w:rsidP="008F0C0A">
      <w:r w:rsidRPr="0021711C">
        <w:t>From a material viewpoint, the buildings are comparatively new because they are frequently rebuilt utilising fresh Japanese cypress timber. Moreover, heritage scholars as well as UNESCO identify that authenticity can also be grounded on endurance of knowledge, skills, civilisations, function besides cultural sense.</w:t>
      </w:r>
      <w:r w:rsidR="00B04D0F">
        <w:t xml:space="preserve"> </w:t>
      </w:r>
      <w:r w:rsidRPr="0021711C">
        <w:t xml:space="preserve">UNESCO </w:t>
      </w:r>
      <w:r w:rsidR="00B04D0F">
        <w:t>report</w:t>
      </w:r>
      <w:r w:rsidRPr="0021711C">
        <w:t>s that periodic reconstruction can still sustain legitimacy when the original design, materials, location, function</w:t>
      </w:r>
      <w:r w:rsidR="00B04D0F">
        <w:t>,</w:t>
      </w:r>
      <w:r w:rsidRPr="0021711C">
        <w:t xml:space="preserve"> along with cultural worth</w:t>
      </w:r>
      <w:r w:rsidR="00B04D0F">
        <w:t>,</w:t>
      </w:r>
      <w:r w:rsidRPr="0021711C">
        <w:t xml:space="preserve"> are conserved. In the case of Ise Grand Shrine, the site</w:t>
      </w:r>
      <w:r w:rsidR="00B04D0F">
        <w:t>’</w:t>
      </w:r>
      <w:r w:rsidRPr="0021711C">
        <w:t>s spiritual significance, ritual utilisation</w:t>
      </w:r>
      <w:r w:rsidR="00B04D0F">
        <w:t>,</w:t>
      </w:r>
      <w:r w:rsidRPr="0021711C">
        <w:t xml:space="preserve"> along with traditional construction approaches</w:t>
      </w:r>
      <w:r w:rsidR="00B04D0F">
        <w:t>,</w:t>
      </w:r>
      <w:r w:rsidRPr="0021711C">
        <w:t xml:space="preserve"> remain unaffected despite the </w:t>
      </w:r>
      <w:r w:rsidR="00B04D0F">
        <w:t>substitution</w:t>
      </w:r>
      <w:r w:rsidRPr="0021711C">
        <w:t xml:space="preserve"> of materials</w:t>
      </w:r>
      <w:r>
        <w:t xml:space="preserve"> (</w:t>
      </w:r>
      <w:r w:rsidRPr="0010494D">
        <w:t>Fleming</w:t>
      </w:r>
      <w:r>
        <w:t>, 2019)</w:t>
      </w:r>
      <w:r w:rsidRPr="0021711C">
        <w:t xml:space="preserve">.  The example determines that authenticity shall not be restricted to material originality only. Instead, heritage value might be continued through the constant transmission of traditions of cultures, knowledge and individuality. </w:t>
      </w:r>
    </w:p>
    <w:p w14:paraId="05666C4A" w14:textId="522A8E6E" w:rsidR="008F0C0A" w:rsidRDefault="008F0C0A" w:rsidP="008F0C0A">
      <w:r>
        <w:br w:type="page"/>
      </w:r>
    </w:p>
    <w:p w14:paraId="45A70307" w14:textId="681EEC66" w:rsidR="008F0C0A" w:rsidRDefault="008F0C0A" w:rsidP="008F0C0A">
      <w:pPr>
        <w:pStyle w:val="Heading1"/>
      </w:pPr>
      <w:bookmarkStart w:id="2" w:name="_Toc232851675"/>
      <w:r>
        <w:lastRenderedPageBreak/>
        <w:t>Reference List</w:t>
      </w:r>
      <w:bookmarkEnd w:id="2"/>
    </w:p>
    <w:p w14:paraId="180356D6" w14:textId="77777777" w:rsidR="008F0C0A" w:rsidRPr="008F0C0A" w:rsidRDefault="008F0C0A" w:rsidP="008F0C0A">
      <w:pPr>
        <w:rPr>
          <w:lang w:val="en-US"/>
        </w:rPr>
      </w:pPr>
      <w:r w:rsidRPr="008F0C0A">
        <w:rPr>
          <w:lang w:val="en-US"/>
        </w:rPr>
        <w:t xml:space="preserve">Agra.nic.in (2026). </w:t>
      </w:r>
      <w:r w:rsidRPr="008F0C0A">
        <w:rPr>
          <w:i/>
          <w:iCs/>
          <w:lang w:val="en-US"/>
        </w:rPr>
        <w:t>Taj Mahal | District Agra , Government Of Uttar Pradesh | India</w:t>
      </w:r>
      <w:r w:rsidRPr="008F0C0A">
        <w:rPr>
          <w:lang w:val="en-US"/>
        </w:rPr>
        <w:t>. [online] Agra. Available at: https://agra.nic.in/tourist-place/the-taj-mahal/ [Accessed 20 Jun. 2026].</w:t>
      </w:r>
    </w:p>
    <w:p w14:paraId="53270AEF" w14:textId="77777777" w:rsidR="008F0C0A" w:rsidRPr="008F0C0A" w:rsidRDefault="008F0C0A" w:rsidP="008F0C0A">
      <w:pPr>
        <w:rPr>
          <w:lang w:val="en-US"/>
        </w:rPr>
      </w:pPr>
      <w:r w:rsidRPr="008F0C0A">
        <w:rPr>
          <w:lang w:val="en-US"/>
        </w:rPr>
        <w:t xml:space="preserve">Fleming, S. (2019). </w:t>
      </w:r>
      <w:r w:rsidRPr="008F0C0A">
        <w:rPr>
          <w:i/>
          <w:iCs/>
          <w:lang w:val="en-US"/>
        </w:rPr>
        <w:t>Japan’s holiest shrine is pulled down and rebuilt every 20 years – on purpose</w:t>
      </w:r>
      <w:r w:rsidRPr="008F0C0A">
        <w:rPr>
          <w:lang w:val="en-US"/>
        </w:rPr>
        <w:t>. [online] World Economic Forum. Available at: https://www.weforum.org/stories/2019/04/japans-holiest-shrine-is-pulled-down-and-rebuilt-every-20-years-on-purpose/ [Accessed 20 Jun. 2026].</w:t>
      </w:r>
    </w:p>
    <w:p w14:paraId="1BDB5FB3" w14:textId="77777777" w:rsidR="008F0C0A" w:rsidRPr="008F0C0A" w:rsidRDefault="008F0C0A" w:rsidP="008F0C0A">
      <w:pPr>
        <w:rPr>
          <w:lang w:val="en-US"/>
        </w:rPr>
      </w:pPr>
      <w:r w:rsidRPr="008F0C0A">
        <w:rPr>
          <w:lang w:val="en-US"/>
        </w:rPr>
        <w:t xml:space="preserve">Srinivas, H. (2026). </w:t>
      </w:r>
      <w:r w:rsidRPr="008F0C0A">
        <w:rPr>
          <w:i/>
          <w:iCs/>
          <w:lang w:val="en-US"/>
        </w:rPr>
        <w:t>Japan’s Heritage Blueprint: Four Pillars of Continuity and Resilience</w:t>
      </w:r>
      <w:r w:rsidRPr="008F0C0A">
        <w:rPr>
          <w:lang w:val="en-US"/>
        </w:rPr>
        <w:t>. [online] Gdrc.org. Available at: https://www.gdrc.org/heritage/blueprint.html [Accessed 20 Jun. 2026].</w:t>
      </w:r>
    </w:p>
    <w:p w14:paraId="49F30695" w14:textId="77777777" w:rsidR="008F0C0A" w:rsidRPr="008F0C0A" w:rsidRDefault="008F0C0A" w:rsidP="008F0C0A">
      <w:pPr>
        <w:rPr>
          <w:lang w:val="en-US"/>
        </w:rPr>
      </w:pPr>
      <w:r w:rsidRPr="008F0C0A">
        <w:rPr>
          <w:lang w:val="en-US"/>
        </w:rPr>
        <w:t xml:space="preserve">UNESCO World Heritage Centre (2010). </w:t>
      </w:r>
      <w:r w:rsidRPr="008F0C0A">
        <w:rPr>
          <w:i/>
          <w:iCs/>
          <w:lang w:val="en-US"/>
        </w:rPr>
        <w:t>Taj Mahal</w:t>
      </w:r>
      <w:r w:rsidRPr="008F0C0A">
        <w:rPr>
          <w:lang w:val="en-US"/>
        </w:rPr>
        <w:t>. [online] Unesco.org. Available at: https://whc.unesco.org/en/list/252/ [Accessed 20 Jun. 2026].</w:t>
      </w:r>
    </w:p>
    <w:p w14:paraId="0B505095" w14:textId="77777777" w:rsidR="008F0C0A" w:rsidRPr="008F0C0A" w:rsidRDefault="008F0C0A" w:rsidP="008F0C0A">
      <w:pPr>
        <w:rPr>
          <w:lang w:val="en-US"/>
        </w:rPr>
      </w:pPr>
      <w:r w:rsidRPr="008F0C0A">
        <w:rPr>
          <w:lang w:val="en-US"/>
        </w:rPr>
        <w:t xml:space="preserve">Unesco.org (2024). </w:t>
      </w:r>
      <w:r w:rsidRPr="008F0C0A">
        <w:rPr>
          <w:i/>
          <w:iCs/>
          <w:lang w:val="en-US"/>
        </w:rPr>
        <w:t>Taj Mahal</w:t>
      </w:r>
      <w:r w:rsidRPr="008F0C0A">
        <w:rPr>
          <w:lang w:val="en-US"/>
        </w:rPr>
        <w:t>. [online] Unesco.org. Available at: https://www.unesco.org/en/articles/taj-mahal [Accessed 20 Jun. 2026].</w:t>
      </w:r>
    </w:p>
    <w:sectPr w:rsidR="008F0C0A" w:rsidRPr="008F0C0A" w:rsidSect="00B571E9">
      <w:headerReference w:type="default" r:id="rId7"/>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42B32" w14:textId="77777777" w:rsidR="00901981" w:rsidRDefault="00901981" w:rsidP="00B571E9">
      <w:pPr>
        <w:spacing w:after="0" w:line="240" w:lineRule="auto"/>
      </w:pPr>
      <w:r>
        <w:separator/>
      </w:r>
    </w:p>
  </w:endnote>
  <w:endnote w:type="continuationSeparator" w:id="0">
    <w:p w14:paraId="22A5E2CC" w14:textId="77777777" w:rsidR="00901981" w:rsidRDefault="00901981" w:rsidP="00B57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500CC" w14:textId="77777777" w:rsidR="00901981" w:rsidRDefault="00901981" w:rsidP="00B571E9">
      <w:pPr>
        <w:spacing w:after="0" w:line="240" w:lineRule="auto"/>
      </w:pPr>
      <w:r>
        <w:separator/>
      </w:r>
    </w:p>
  </w:footnote>
  <w:footnote w:type="continuationSeparator" w:id="0">
    <w:p w14:paraId="1F0D309F" w14:textId="77777777" w:rsidR="00901981" w:rsidRDefault="00901981" w:rsidP="00B571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7573718"/>
      <w:docPartObj>
        <w:docPartGallery w:val="Page Numbers (Top of Page)"/>
        <w:docPartUnique/>
      </w:docPartObj>
    </w:sdtPr>
    <w:sdtEndPr>
      <w:rPr>
        <w:noProof/>
      </w:rPr>
    </w:sdtEndPr>
    <w:sdtContent>
      <w:p w14:paraId="4E8D179A" w14:textId="4EAEDB98" w:rsidR="00B571E9" w:rsidRDefault="00B571E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1B4E259" w14:textId="77777777" w:rsidR="00B571E9" w:rsidRDefault="00B571E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C0A"/>
    <w:rsid w:val="005A2638"/>
    <w:rsid w:val="0087241E"/>
    <w:rsid w:val="008F0C0A"/>
    <w:rsid w:val="00901981"/>
    <w:rsid w:val="00B04D0F"/>
    <w:rsid w:val="00B571E9"/>
    <w:rsid w:val="00C374D2"/>
    <w:rsid w:val="00D34E3E"/>
    <w:rsid w:val="00F316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A42B8"/>
  <w15:chartTrackingRefBased/>
  <w15:docId w15:val="{0C6FB645-ACAE-4330-A5BB-44B93C06F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C0A"/>
    <w:pPr>
      <w:spacing w:line="480" w:lineRule="auto"/>
      <w:jc w:val="both"/>
    </w:pPr>
    <w:rPr>
      <w:rFonts w:ascii="Times New Roman" w:hAnsi="Times New Roman"/>
      <w:color w:val="000000" w:themeColor="text1"/>
      <w:lang w:val="en-GB"/>
    </w:rPr>
  </w:style>
  <w:style w:type="paragraph" w:styleId="Heading1">
    <w:name w:val="heading 1"/>
    <w:basedOn w:val="Normal"/>
    <w:next w:val="Normal"/>
    <w:link w:val="Heading1Char"/>
    <w:autoRedefine/>
    <w:uiPriority w:val="9"/>
    <w:qFormat/>
    <w:rsid w:val="008F0C0A"/>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semiHidden/>
    <w:unhideWhenUsed/>
    <w:qFormat/>
    <w:rsid w:val="008F0C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0C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0C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0C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0C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C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C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C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C0A"/>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semiHidden/>
    <w:rsid w:val="008F0C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0C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0C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0C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0C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0C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0C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0C0A"/>
    <w:rPr>
      <w:rFonts w:eastAsiaTheme="majorEastAsia" w:cstheme="majorBidi"/>
      <w:color w:val="272727" w:themeColor="text1" w:themeTint="D8"/>
    </w:rPr>
  </w:style>
  <w:style w:type="paragraph" w:styleId="Title">
    <w:name w:val="Title"/>
    <w:basedOn w:val="Normal"/>
    <w:next w:val="Normal"/>
    <w:link w:val="TitleChar"/>
    <w:uiPriority w:val="10"/>
    <w:qFormat/>
    <w:rsid w:val="008F0C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C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C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C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C0A"/>
    <w:pPr>
      <w:spacing w:before="160"/>
      <w:jc w:val="center"/>
    </w:pPr>
    <w:rPr>
      <w:i/>
      <w:iCs/>
      <w:color w:val="404040" w:themeColor="text1" w:themeTint="BF"/>
    </w:rPr>
  </w:style>
  <w:style w:type="character" w:customStyle="1" w:styleId="QuoteChar">
    <w:name w:val="Quote Char"/>
    <w:basedOn w:val="DefaultParagraphFont"/>
    <w:link w:val="Quote"/>
    <w:uiPriority w:val="29"/>
    <w:rsid w:val="008F0C0A"/>
    <w:rPr>
      <w:i/>
      <w:iCs/>
      <w:color w:val="404040" w:themeColor="text1" w:themeTint="BF"/>
    </w:rPr>
  </w:style>
  <w:style w:type="paragraph" w:styleId="ListParagraph">
    <w:name w:val="List Paragraph"/>
    <w:basedOn w:val="Normal"/>
    <w:uiPriority w:val="34"/>
    <w:qFormat/>
    <w:rsid w:val="008F0C0A"/>
    <w:pPr>
      <w:ind w:left="720"/>
      <w:contextualSpacing/>
    </w:pPr>
  </w:style>
  <w:style w:type="character" w:styleId="IntenseEmphasis">
    <w:name w:val="Intense Emphasis"/>
    <w:basedOn w:val="DefaultParagraphFont"/>
    <w:uiPriority w:val="21"/>
    <w:qFormat/>
    <w:rsid w:val="008F0C0A"/>
    <w:rPr>
      <w:i/>
      <w:iCs/>
      <w:color w:val="0F4761" w:themeColor="accent1" w:themeShade="BF"/>
    </w:rPr>
  </w:style>
  <w:style w:type="paragraph" w:styleId="IntenseQuote">
    <w:name w:val="Intense Quote"/>
    <w:basedOn w:val="Normal"/>
    <w:next w:val="Normal"/>
    <w:link w:val="IntenseQuoteChar"/>
    <w:uiPriority w:val="30"/>
    <w:qFormat/>
    <w:rsid w:val="008F0C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0C0A"/>
    <w:rPr>
      <w:i/>
      <w:iCs/>
      <w:color w:val="0F4761" w:themeColor="accent1" w:themeShade="BF"/>
    </w:rPr>
  </w:style>
  <w:style w:type="character" w:styleId="IntenseReference">
    <w:name w:val="Intense Reference"/>
    <w:basedOn w:val="DefaultParagraphFont"/>
    <w:uiPriority w:val="32"/>
    <w:qFormat/>
    <w:rsid w:val="008F0C0A"/>
    <w:rPr>
      <w:b/>
      <w:bCs/>
      <w:smallCaps/>
      <w:color w:val="0F4761" w:themeColor="accent1" w:themeShade="BF"/>
      <w:spacing w:val="5"/>
    </w:rPr>
  </w:style>
  <w:style w:type="paragraph" w:styleId="Header">
    <w:name w:val="header"/>
    <w:basedOn w:val="Normal"/>
    <w:link w:val="HeaderChar"/>
    <w:uiPriority w:val="99"/>
    <w:unhideWhenUsed/>
    <w:rsid w:val="00B571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71E9"/>
    <w:rPr>
      <w:rFonts w:ascii="Times New Roman" w:hAnsi="Times New Roman"/>
      <w:color w:val="000000" w:themeColor="text1"/>
      <w:lang w:val="en-GB"/>
    </w:rPr>
  </w:style>
  <w:style w:type="paragraph" w:styleId="Footer">
    <w:name w:val="footer"/>
    <w:basedOn w:val="Normal"/>
    <w:link w:val="FooterChar"/>
    <w:uiPriority w:val="99"/>
    <w:unhideWhenUsed/>
    <w:rsid w:val="00B571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71E9"/>
    <w:rPr>
      <w:rFonts w:ascii="Times New Roman" w:hAnsi="Times New Roman"/>
      <w:color w:val="000000" w:themeColor="text1"/>
      <w:lang w:val="en-GB"/>
    </w:rPr>
  </w:style>
  <w:style w:type="paragraph" w:styleId="TOCHeading">
    <w:name w:val="TOC Heading"/>
    <w:basedOn w:val="Heading1"/>
    <w:next w:val="Normal"/>
    <w:uiPriority w:val="39"/>
    <w:unhideWhenUsed/>
    <w:qFormat/>
    <w:rsid w:val="00F3162A"/>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F3162A"/>
    <w:pPr>
      <w:spacing w:after="100"/>
    </w:pPr>
  </w:style>
  <w:style w:type="character" w:styleId="Hyperlink">
    <w:name w:val="Hyperlink"/>
    <w:basedOn w:val="DefaultParagraphFont"/>
    <w:uiPriority w:val="99"/>
    <w:unhideWhenUsed/>
    <w:rsid w:val="00F3162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754</Words>
  <Characters>4301</Characters>
  <DocSecurity>0</DocSecurity>
  <Lines>35</Lines>
  <Paragraphs>10</Paragraphs>
  <ScaleCrop>false</ScaleCrop>
  <Company/>
  <LinksUpToDate>false</LinksUpToDate>
  <CharactersWithSpaces>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2026-06-20T06:59:00Z</dcterms:created>
  <dcterms:modified xsi:type="dcterms:W3CDTF">2026-06-20T12:06:00Z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d52f3654-5f4e-4505-a120-fd8ae42d76ac</vt:lpwstr>
  </property>
</Properties>
</file>