
<file path=[Content_Types].xml><?xml version="1.0" encoding="utf-8"?>
<Types xmlns="http://schemas.openxmlformats.org/package/2006/content-types">
  <Default Extension="xml" ContentType="application/xml"/>
  <Default Extension="png" ContentType="image/png"/>
  <Default Extension="emf" ContentType="image/x-emf"/>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7782A8">
      <w:pPr>
        <w:spacing w:line="480" w:lineRule="auto"/>
        <w:jc w:val="both"/>
        <w:rPr>
          <w:rFonts w:ascii="Times New Roman" w:hAnsi="Times New Roman" w:cs="Times New Roman"/>
          <w:sz w:val="24"/>
          <w:szCs w:val="24"/>
          <w:lang w:val="en-AU"/>
        </w:rPr>
      </w:pPr>
    </w:p>
    <w:p w14:paraId="70177B02">
      <w:pPr>
        <w:spacing w:line="480" w:lineRule="auto"/>
        <w:jc w:val="both"/>
        <w:rPr>
          <w:rFonts w:ascii="Times New Roman" w:hAnsi="Times New Roman" w:cs="Times New Roman"/>
          <w:sz w:val="24"/>
          <w:szCs w:val="24"/>
          <w:lang w:val="en-AU"/>
        </w:rPr>
      </w:pPr>
    </w:p>
    <w:p w14:paraId="0294CD5B">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drawing>
          <wp:inline distT="0" distB="0" distL="0" distR="0">
            <wp:extent cx="5886450" cy="1064895"/>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964756" cy="1079594"/>
                    </a:xfrm>
                    <a:prstGeom prst="rect">
                      <a:avLst/>
                    </a:prstGeom>
                    <a:noFill/>
                  </pic:spPr>
                </pic:pic>
              </a:graphicData>
            </a:graphic>
          </wp:inline>
        </w:drawing>
      </w:r>
    </w:p>
    <w:p w14:paraId="41DD1D46">
      <w:pPr>
        <w:spacing w:line="480" w:lineRule="auto"/>
        <w:jc w:val="both"/>
        <w:rPr>
          <w:rFonts w:ascii="Times New Roman" w:hAnsi="Times New Roman" w:cs="Times New Roman"/>
          <w:sz w:val="24"/>
          <w:szCs w:val="24"/>
          <w:lang w:val="en-AU"/>
        </w:rPr>
      </w:pPr>
    </w:p>
    <w:p w14:paraId="795BF583">
      <w:pPr>
        <w:spacing w:line="480" w:lineRule="auto"/>
        <w:jc w:val="center"/>
        <w:rPr>
          <w:rFonts w:ascii="Times New Roman" w:hAnsi="Times New Roman" w:cs="Times New Roman"/>
          <w:b/>
          <w:bCs/>
          <w:sz w:val="36"/>
          <w:szCs w:val="36"/>
          <w:lang w:val="en-AU"/>
        </w:rPr>
      </w:pPr>
      <w:r>
        <w:rPr>
          <w:rFonts w:ascii="Times New Roman" w:hAnsi="Times New Roman" w:cs="Times New Roman"/>
          <w:b/>
          <w:bCs/>
          <w:sz w:val="36"/>
          <w:szCs w:val="36"/>
          <w:lang w:val="en-AU"/>
        </w:rPr>
        <w:t>Comprehensive Business Plan Report</w:t>
      </w:r>
    </w:p>
    <w:p w14:paraId="5EA8C848">
      <w:pPr>
        <w:spacing w:line="480" w:lineRule="auto"/>
        <w:jc w:val="center"/>
        <w:rPr>
          <w:rFonts w:ascii="Times New Roman" w:hAnsi="Times New Roman" w:cs="Times New Roman"/>
          <w:b/>
          <w:bCs/>
          <w:sz w:val="36"/>
          <w:szCs w:val="36"/>
          <w:lang w:val="en-AU"/>
        </w:rPr>
      </w:pPr>
    </w:p>
    <w:p w14:paraId="6BCB6F31">
      <w:pPr>
        <w:spacing w:line="360" w:lineRule="auto"/>
        <w:jc w:val="center"/>
        <w:rPr>
          <w:rFonts w:hint="default" w:ascii="Times New Roman" w:hAnsi="Times New Roman" w:cs="Times New Roman"/>
          <w:b/>
          <w:bCs/>
          <w:sz w:val="44"/>
          <w:szCs w:val="44"/>
          <w:lang w:val="de-DE"/>
        </w:rPr>
      </w:pPr>
      <w:bookmarkStart w:id="0" w:name="_Hlk193825481"/>
      <w:r>
        <w:rPr>
          <w:rFonts w:ascii="Times New Roman" w:hAnsi="Times New Roman" w:cs="Times New Roman"/>
          <w:b/>
          <w:bCs/>
          <w:sz w:val="44"/>
          <w:szCs w:val="44"/>
          <w:lang w:val="en-AU"/>
        </w:rPr>
        <w:cr/>
      </w:r>
      <w:r>
        <w:rPr>
          <w:rFonts w:hint="default" w:ascii="Times New Roman" w:hAnsi="Times New Roman" w:cs="Times New Roman"/>
          <w:b/>
          <w:bCs/>
          <w:sz w:val="44"/>
          <w:szCs w:val="44"/>
          <w:lang w:val="de-DE"/>
        </w:rPr>
        <w:t>ECO- TECH ADVENTURES</w:t>
      </w:r>
    </w:p>
    <w:p w14:paraId="7675A0A9">
      <w:pPr>
        <w:spacing w:line="360" w:lineRule="auto"/>
        <w:jc w:val="center"/>
        <w:rPr>
          <w:rFonts w:ascii="Times New Roman" w:hAnsi="Times New Roman" w:cs="Times New Roman"/>
          <w:sz w:val="24"/>
          <w:szCs w:val="24"/>
          <w:lang w:val="en-AU"/>
        </w:rPr>
      </w:pPr>
    </w:p>
    <w:p w14:paraId="552B68DC">
      <w:pPr>
        <w:spacing w:line="360" w:lineRule="auto"/>
        <w:jc w:val="center"/>
        <w:rPr>
          <w:rFonts w:ascii="Times New Roman" w:hAnsi="Times New Roman" w:cs="Times New Roman"/>
          <w:b/>
          <w:bCs/>
          <w:sz w:val="36"/>
          <w:szCs w:val="36"/>
          <w:lang w:val="en-AU"/>
        </w:rPr>
      </w:pPr>
    </w:p>
    <w:p w14:paraId="319B58AF">
      <w:pPr>
        <w:spacing w:line="360" w:lineRule="auto"/>
        <w:jc w:val="center"/>
        <w:rPr>
          <w:rFonts w:ascii="Times New Roman" w:hAnsi="Times New Roman" w:cs="Times New Roman"/>
          <w:b/>
          <w:bCs/>
          <w:sz w:val="36"/>
          <w:szCs w:val="36"/>
          <w:lang w:val="en-AU"/>
        </w:rPr>
      </w:pPr>
    </w:p>
    <w:p w14:paraId="15839237">
      <w:pPr>
        <w:spacing w:line="240" w:lineRule="auto"/>
        <w:jc w:val="center"/>
        <w:rPr>
          <w:rFonts w:ascii="Times New Roman" w:hAnsi="Times New Roman" w:cs="Times New Roman"/>
          <w:b/>
          <w:bCs/>
          <w:sz w:val="36"/>
          <w:szCs w:val="36"/>
          <w:lang w:val="en-AU"/>
        </w:rPr>
      </w:pPr>
    </w:p>
    <w:p w14:paraId="6E172830">
      <w:pPr>
        <w:spacing w:line="240" w:lineRule="auto"/>
        <w:jc w:val="center"/>
        <w:rPr>
          <w:rFonts w:hint="default" w:ascii="Times New Roman" w:hAnsi="Times New Roman" w:cs="Times New Roman"/>
          <w:b/>
          <w:bCs/>
          <w:sz w:val="36"/>
          <w:szCs w:val="36"/>
          <w:lang w:val="de-DE"/>
        </w:rPr>
      </w:pPr>
      <w:r>
        <w:rPr>
          <w:rFonts w:ascii="Times New Roman" w:hAnsi="Times New Roman" w:cs="Times New Roman"/>
          <w:b/>
          <w:bCs/>
          <w:sz w:val="36"/>
          <w:szCs w:val="36"/>
          <w:lang w:val="en-AU"/>
        </w:rPr>
        <w:t>Student Name:</w:t>
      </w:r>
      <w:r>
        <w:rPr>
          <w:rFonts w:hint="default" w:ascii="Times New Roman" w:hAnsi="Times New Roman" w:cs="Times New Roman"/>
          <w:b/>
          <w:bCs/>
          <w:sz w:val="36"/>
          <w:szCs w:val="36"/>
          <w:lang w:val="de-DE"/>
        </w:rPr>
        <w:t xml:space="preserve"> Ajay kumar</w:t>
      </w:r>
    </w:p>
    <w:p w14:paraId="05B0F2B1">
      <w:pPr>
        <w:spacing w:line="240" w:lineRule="auto"/>
        <w:jc w:val="center"/>
        <w:rPr>
          <w:rFonts w:hint="default" w:ascii="Times New Roman" w:hAnsi="Times New Roman" w:cs="Times New Roman"/>
          <w:b/>
          <w:bCs/>
          <w:sz w:val="36"/>
          <w:szCs w:val="36"/>
          <w:lang w:val="de-DE"/>
        </w:rPr>
      </w:pPr>
      <w:r>
        <w:rPr>
          <w:rFonts w:ascii="Times New Roman" w:hAnsi="Times New Roman" w:cs="Times New Roman"/>
          <w:b/>
          <w:bCs/>
          <w:sz w:val="36"/>
          <w:szCs w:val="36"/>
          <w:lang w:val="en-AU"/>
        </w:rPr>
        <w:t>Student ID:</w:t>
      </w:r>
      <w:r>
        <w:rPr>
          <w:rFonts w:hint="default" w:ascii="Times New Roman" w:hAnsi="Times New Roman" w:cs="Times New Roman"/>
          <w:b/>
          <w:bCs/>
          <w:sz w:val="36"/>
          <w:szCs w:val="36"/>
          <w:lang w:val="de-DE"/>
        </w:rPr>
        <w:t>DE240022</w:t>
      </w:r>
    </w:p>
    <w:p w14:paraId="24FBEEC5">
      <w:pPr>
        <w:spacing w:line="240" w:lineRule="auto"/>
        <w:jc w:val="center"/>
        <w:rPr>
          <w:rFonts w:hint="default" w:ascii="Times New Roman" w:hAnsi="Times New Roman" w:cs="Times New Roman"/>
          <w:b/>
          <w:bCs/>
          <w:sz w:val="36"/>
          <w:szCs w:val="36"/>
          <w:lang w:val="de-DE"/>
        </w:rPr>
      </w:pPr>
      <w:r>
        <w:rPr>
          <w:rFonts w:hint="default" w:ascii="Times New Roman" w:hAnsi="Times New Roman" w:cs="Times New Roman"/>
          <w:b/>
          <w:bCs/>
          <w:sz w:val="36"/>
          <w:szCs w:val="36"/>
          <w:lang w:val="de-DE"/>
        </w:rPr>
        <w:t xml:space="preserve">Submission </w:t>
      </w:r>
      <w:bookmarkStart w:id="32" w:name="_GoBack"/>
      <w:bookmarkEnd w:id="32"/>
      <w:r>
        <w:rPr>
          <w:rFonts w:hint="default" w:ascii="Times New Roman" w:hAnsi="Times New Roman" w:cs="Times New Roman"/>
          <w:b/>
          <w:bCs/>
          <w:sz w:val="36"/>
          <w:szCs w:val="36"/>
          <w:lang w:val="de-DE"/>
        </w:rPr>
        <w:t>Date :04.04.2025</w:t>
      </w:r>
    </w:p>
    <w:bookmarkEnd w:id="0"/>
    <w:p w14:paraId="11BB84C5">
      <w:pPr>
        <w:spacing w:line="240" w:lineRule="auto"/>
        <w:jc w:val="center"/>
        <w:rPr>
          <w:rFonts w:ascii="Times New Roman" w:hAnsi="Times New Roman" w:cs="Times New Roman"/>
          <w:b/>
          <w:bCs/>
          <w:sz w:val="36"/>
          <w:szCs w:val="36"/>
          <w:lang w:val="en-AU"/>
        </w:rPr>
      </w:pPr>
    </w:p>
    <w:p w14:paraId="02CFEB0A">
      <w:pPr>
        <w:spacing w:line="240" w:lineRule="auto"/>
        <w:jc w:val="center"/>
        <w:rPr>
          <w:rFonts w:ascii="Times New Roman" w:hAnsi="Times New Roman" w:cs="Times New Roman"/>
          <w:sz w:val="24"/>
          <w:szCs w:val="24"/>
          <w:lang w:val="en-AU"/>
        </w:rPr>
      </w:pPr>
    </w:p>
    <w:p w14:paraId="128A9061">
      <w:pPr>
        <w:spacing w:line="480" w:lineRule="auto"/>
        <w:jc w:val="both"/>
        <w:rPr>
          <w:rFonts w:ascii="Times New Roman" w:hAnsi="Times New Roman" w:cs="Times New Roman"/>
          <w:sz w:val="24"/>
          <w:szCs w:val="24"/>
          <w:lang w:val="en-AU"/>
        </w:rPr>
      </w:pPr>
    </w:p>
    <w:p w14:paraId="4B9CC84E">
      <w:pPr>
        <w:spacing w:line="480" w:lineRule="auto"/>
        <w:jc w:val="both"/>
        <w:rPr>
          <w:rFonts w:ascii="Times New Roman" w:hAnsi="Times New Roman" w:cs="Times New Roman"/>
          <w:sz w:val="24"/>
          <w:szCs w:val="24"/>
          <w:lang w:val="en-AU"/>
        </w:rPr>
      </w:pPr>
    </w:p>
    <w:p w14:paraId="4497D9B6">
      <w:pPr>
        <w:rPr>
          <w:rFonts w:ascii="Times New Roman" w:hAnsi="Times New Roman" w:cs="Times New Roman"/>
          <w:sz w:val="24"/>
          <w:szCs w:val="24"/>
          <w:lang w:val="en-AU"/>
        </w:rPr>
      </w:pPr>
    </w:p>
    <w:sdt>
      <w:sdtPr>
        <w:rPr>
          <w:rFonts w:asciiTheme="minorHAnsi" w:hAnsiTheme="minorHAnsi" w:eastAsiaTheme="minorHAnsi" w:cstheme="minorBidi"/>
          <w:color w:val="auto"/>
          <w:sz w:val="22"/>
          <w:szCs w:val="22"/>
        </w:rPr>
        <w:id w:val="-1"/>
        <w:docPartObj>
          <w:docPartGallery w:val="Table of Contents"/>
          <w:docPartUnique/>
        </w:docPartObj>
      </w:sdtPr>
      <w:sdtEndPr>
        <w:rPr>
          <w:rFonts w:asciiTheme="minorHAnsi" w:hAnsiTheme="minorHAnsi" w:eastAsiaTheme="minorHAnsi" w:cstheme="minorBidi"/>
          <w:b/>
          <w:bCs/>
          <w:color w:val="auto"/>
          <w:sz w:val="22"/>
          <w:szCs w:val="22"/>
        </w:rPr>
      </w:sdtEndPr>
      <w:sdtContent>
        <w:p w14:paraId="1087F9C1">
          <w:pPr>
            <w:pStyle w:val="17"/>
          </w:pPr>
          <w:r>
            <w:t>Contents</w:t>
          </w:r>
        </w:p>
        <w:p w14:paraId="79EADEF7">
          <w:pPr>
            <w:pStyle w:val="10"/>
            <w:tabs>
              <w:tab w:val="right" w:leader="dot" w:pos="9016"/>
            </w:tabs>
            <w:rPr>
              <w:rFonts w:eastAsiaTheme="minorEastAsia"/>
              <w:lang w:val="en-IN" w:eastAsia="en-IN"/>
            </w:rPr>
          </w:pPr>
          <w:r>
            <w:fldChar w:fldCharType="begin"/>
          </w:r>
          <w:r>
            <w:instrText xml:space="preserve"> TOC \o "1-3" \h \z \u </w:instrText>
          </w:r>
          <w:r>
            <w:fldChar w:fldCharType="separate"/>
          </w:r>
          <w:r>
            <w:fldChar w:fldCharType="begin"/>
          </w:r>
          <w:r>
            <w:instrText xml:space="preserve"> HYPERLINK \l "_Toc193832741" </w:instrText>
          </w:r>
          <w:r>
            <w:fldChar w:fldCharType="separate"/>
          </w:r>
          <w:r>
            <w:rPr>
              <w:rStyle w:val="8"/>
              <w:lang w:val="en-AU"/>
            </w:rPr>
            <w:t>Executive Summary</w:t>
          </w:r>
          <w:r>
            <w:tab/>
          </w:r>
          <w:r>
            <w:fldChar w:fldCharType="begin"/>
          </w:r>
          <w:r>
            <w:instrText xml:space="preserve"> PAGEREF _Toc193832741 \h </w:instrText>
          </w:r>
          <w:r>
            <w:fldChar w:fldCharType="separate"/>
          </w:r>
          <w:r>
            <w:t>3</w:t>
          </w:r>
          <w:r>
            <w:fldChar w:fldCharType="end"/>
          </w:r>
          <w:r>
            <w:fldChar w:fldCharType="end"/>
          </w:r>
        </w:p>
        <w:p w14:paraId="4278B181">
          <w:pPr>
            <w:pStyle w:val="10"/>
            <w:tabs>
              <w:tab w:val="right" w:leader="dot" w:pos="9016"/>
            </w:tabs>
            <w:rPr>
              <w:rFonts w:eastAsiaTheme="minorEastAsia"/>
              <w:lang w:val="en-IN" w:eastAsia="en-IN"/>
            </w:rPr>
          </w:pPr>
          <w:r>
            <w:fldChar w:fldCharType="begin"/>
          </w:r>
          <w:r>
            <w:instrText xml:space="preserve"> HYPERLINK \l "_Toc193832742" </w:instrText>
          </w:r>
          <w:r>
            <w:fldChar w:fldCharType="separate"/>
          </w:r>
          <w:r>
            <w:rPr>
              <w:rStyle w:val="8"/>
              <w:lang w:val="en-AU"/>
            </w:rPr>
            <w:t>Introduction</w:t>
          </w:r>
          <w:r>
            <w:tab/>
          </w:r>
          <w:r>
            <w:fldChar w:fldCharType="begin"/>
          </w:r>
          <w:r>
            <w:instrText xml:space="preserve"> PAGEREF _Toc193832742 \h </w:instrText>
          </w:r>
          <w:r>
            <w:fldChar w:fldCharType="separate"/>
          </w:r>
          <w:r>
            <w:t>4</w:t>
          </w:r>
          <w:r>
            <w:fldChar w:fldCharType="end"/>
          </w:r>
          <w:r>
            <w:fldChar w:fldCharType="end"/>
          </w:r>
        </w:p>
        <w:p w14:paraId="2B3E7183">
          <w:pPr>
            <w:pStyle w:val="10"/>
            <w:tabs>
              <w:tab w:val="right" w:leader="dot" w:pos="9016"/>
            </w:tabs>
            <w:rPr>
              <w:rFonts w:eastAsiaTheme="minorEastAsia"/>
              <w:lang w:val="en-IN" w:eastAsia="en-IN"/>
            </w:rPr>
          </w:pPr>
          <w:r>
            <w:fldChar w:fldCharType="begin"/>
          </w:r>
          <w:r>
            <w:instrText xml:space="preserve"> HYPERLINK \l "_Toc193832743" </w:instrText>
          </w:r>
          <w:r>
            <w:fldChar w:fldCharType="separate"/>
          </w:r>
          <w:r>
            <w:rPr>
              <w:rStyle w:val="8"/>
              <w:lang w:val="en-AU"/>
            </w:rPr>
            <w:t>Market Analysis</w:t>
          </w:r>
          <w:r>
            <w:tab/>
          </w:r>
          <w:r>
            <w:fldChar w:fldCharType="begin"/>
          </w:r>
          <w:r>
            <w:instrText xml:space="preserve"> PAGEREF _Toc193832743 \h </w:instrText>
          </w:r>
          <w:r>
            <w:fldChar w:fldCharType="separate"/>
          </w:r>
          <w:r>
            <w:t>5</w:t>
          </w:r>
          <w:r>
            <w:fldChar w:fldCharType="end"/>
          </w:r>
          <w:r>
            <w:fldChar w:fldCharType="end"/>
          </w:r>
        </w:p>
        <w:p w14:paraId="15958BA7">
          <w:pPr>
            <w:pStyle w:val="11"/>
            <w:tabs>
              <w:tab w:val="right" w:leader="dot" w:pos="9016"/>
            </w:tabs>
            <w:rPr>
              <w:rFonts w:eastAsiaTheme="minorEastAsia"/>
              <w:lang w:val="en-IN" w:eastAsia="en-IN"/>
            </w:rPr>
          </w:pPr>
          <w:r>
            <w:fldChar w:fldCharType="begin"/>
          </w:r>
          <w:r>
            <w:instrText xml:space="preserve"> HYPERLINK \l "_Toc193832744" </w:instrText>
          </w:r>
          <w:r>
            <w:fldChar w:fldCharType="separate"/>
          </w:r>
          <w:r>
            <w:rPr>
              <w:rStyle w:val="8"/>
              <w:lang w:val="en-AU"/>
            </w:rPr>
            <w:t>Global and German Adventure Tourism Trends</w:t>
          </w:r>
          <w:r>
            <w:tab/>
          </w:r>
          <w:r>
            <w:fldChar w:fldCharType="begin"/>
          </w:r>
          <w:r>
            <w:instrText xml:space="preserve"> PAGEREF _Toc193832744 \h </w:instrText>
          </w:r>
          <w:r>
            <w:fldChar w:fldCharType="separate"/>
          </w:r>
          <w:r>
            <w:t>5</w:t>
          </w:r>
          <w:r>
            <w:fldChar w:fldCharType="end"/>
          </w:r>
          <w:r>
            <w:fldChar w:fldCharType="end"/>
          </w:r>
        </w:p>
        <w:p w14:paraId="251B5013">
          <w:pPr>
            <w:pStyle w:val="11"/>
            <w:tabs>
              <w:tab w:val="right" w:leader="dot" w:pos="9016"/>
            </w:tabs>
            <w:rPr>
              <w:rFonts w:eastAsiaTheme="minorEastAsia"/>
              <w:lang w:val="en-IN" w:eastAsia="en-IN"/>
            </w:rPr>
          </w:pPr>
          <w:r>
            <w:fldChar w:fldCharType="begin"/>
          </w:r>
          <w:r>
            <w:instrText xml:space="preserve"> HYPERLINK \l "_Toc193832745" </w:instrText>
          </w:r>
          <w:r>
            <w:fldChar w:fldCharType="separate"/>
          </w:r>
          <w:r>
            <w:rPr>
              <w:rStyle w:val="8"/>
              <w:lang w:val="en-AU"/>
            </w:rPr>
            <w:t>Target Market Demographics and Psychographics</w:t>
          </w:r>
          <w:r>
            <w:tab/>
          </w:r>
          <w:r>
            <w:fldChar w:fldCharType="begin"/>
          </w:r>
          <w:r>
            <w:instrText xml:space="preserve"> PAGEREF _Toc193832745 \h </w:instrText>
          </w:r>
          <w:r>
            <w:fldChar w:fldCharType="separate"/>
          </w:r>
          <w:r>
            <w:t>6</w:t>
          </w:r>
          <w:r>
            <w:fldChar w:fldCharType="end"/>
          </w:r>
          <w:r>
            <w:fldChar w:fldCharType="end"/>
          </w:r>
        </w:p>
        <w:p w14:paraId="23DBAA8B">
          <w:pPr>
            <w:pStyle w:val="11"/>
            <w:tabs>
              <w:tab w:val="right" w:leader="dot" w:pos="9016"/>
            </w:tabs>
            <w:rPr>
              <w:rFonts w:eastAsiaTheme="minorEastAsia"/>
              <w:lang w:val="en-IN" w:eastAsia="en-IN"/>
            </w:rPr>
          </w:pPr>
          <w:r>
            <w:fldChar w:fldCharType="begin"/>
          </w:r>
          <w:r>
            <w:instrText xml:space="preserve"> HYPERLINK \l "_Toc193832746" </w:instrText>
          </w:r>
          <w:r>
            <w:fldChar w:fldCharType="separate"/>
          </w:r>
          <w:r>
            <w:rPr>
              <w:rStyle w:val="8"/>
              <w:lang w:val="en-AU"/>
            </w:rPr>
            <w:t>Geography:</w:t>
          </w:r>
          <w:r>
            <w:tab/>
          </w:r>
          <w:r>
            <w:fldChar w:fldCharType="begin"/>
          </w:r>
          <w:r>
            <w:instrText xml:space="preserve"> PAGEREF _Toc193832746 \h </w:instrText>
          </w:r>
          <w:r>
            <w:fldChar w:fldCharType="separate"/>
          </w:r>
          <w:r>
            <w:t>7</w:t>
          </w:r>
          <w:r>
            <w:fldChar w:fldCharType="end"/>
          </w:r>
          <w:r>
            <w:fldChar w:fldCharType="end"/>
          </w:r>
        </w:p>
        <w:p w14:paraId="3D2A4E78">
          <w:pPr>
            <w:pStyle w:val="11"/>
            <w:tabs>
              <w:tab w:val="right" w:leader="dot" w:pos="9016"/>
            </w:tabs>
            <w:rPr>
              <w:rFonts w:eastAsiaTheme="minorEastAsia"/>
              <w:lang w:val="en-IN" w:eastAsia="en-IN"/>
            </w:rPr>
          </w:pPr>
          <w:r>
            <w:fldChar w:fldCharType="begin"/>
          </w:r>
          <w:r>
            <w:instrText xml:space="preserve"> HYPERLINK \l "_Toc193832747" </w:instrText>
          </w:r>
          <w:r>
            <w:fldChar w:fldCharType="separate"/>
          </w:r>
          <w:r>
            <w:rPr>
              <w:rStyle w:val="8"/>
              <w:lang w:val="en-AU"/>
            </w:rPr>
            <w:t>Competitive Landscape</w:t>
          </w:r>
          <w:r>
            <w:tab/>
          </w:r>
          <w:r>
            <w:fldChar w:fldCharType="begin"/>
          </w:r>
          <w:r>
            <w:instrText xml:space="preserve"> PAGEREF _Toc193832747 \h </w:instrText>
          </w:r>
          <w:r>
            <w:fldChar w:fldCharType="separate"/>
          </w:r>
          <w:r>
            <w:t>7</w:t>
          </w:r>
          <w:r>
            <w:fldChar w:fldCharType="end"/>
          </w:r>
          <w:r>
            <w:fldChar w:fldCharType="end"/>
          </w:r>
        </w:p>
        <w:p w14:paraId="1B111F5F">
          <w:pPr>
            <w:pStyle w:val="11"/>
            <w:tabs>
              <w:tab w:val="right" w:leader="dot" w:pos="9016"/>
            </w:tabs>
            <w:rPr>
              <w:rFonts w:eastAsiaTheme="minorEastAsia"/>
              <w:lang w:val="en-IN" w:eastAsia="en-IN"/>
            </w:rPr>
          </w:pPr>
          <w:r>
            <w:fldChar w:fldCharType="begin"/>
          </w:r>
          <w:r>
            <w:instrText xml:space="preserve"> HYPERLINK \l "_Toc193832748" </w:instrText>
          </w:r>
          <w:r>
            <w:fldChar w:fldCharType="separate"/>
          </w:r>
          <w:r>
            <w:rPr>
              <w:rStyle w:val="8"/>
              <w:lang w:val="en-AU"/>
            </w:rPr>
            <w:t>Market Forecast and Detailed Calculations</w:t>
          </w:r>
          <w:r>
            <w:tab/>
          </w:r>
          <w:r>
            <w:fldChar w:fldCharType="begin"/>
          </w:r>
          <w:r>
            <w:instrText xml:space="preserve"> PAGEREF _Toc193832748 \h </w:instrText>
          </w:r>
          <w:r>
            <w:fldChar w:fldCharType="separate"/>
          </w:r>
          <w:r>
            <w:t>8</w:t>
          </w:r>
          <w:r>
            <w:fldChar w:fldCharType="end"/>
          </w:r>
          <w:r>
            <w:fldChar w:fldCharType="end"/>
          </w:r>
        </w:p>
        <w:p w14:paraId="7AED47D0">
          <w:pPr>
            <w:pStyle w:val="10"/>
            <w:tabs>
              <w:tab w:val="right" w:leader="dot" w:pos="9016"/>
            </w:tabs>
            <w:rPr>
              <w:rFonts w:eastAsiaTheme="minorEastAsia"/>
              <w:lang w:val="en-IN" w:eastAsia="en-IN"/>
            </w:rPr>
          </w:pPr>
          <w:r>
            <w:fldChar w:fldCharType="begin"/>
          </w:r>
          <w:r>
            <w:instrText xml:space="preserve"> HYPERLINK \l "_Toc193832749" </w:instrText>
          </w:r>
          <w:r>
            <w:fldChar w:fldCharType="separate"/>
          </w:r>
          <w:r>
            <w:rPr>
              <w:rStyle w:val="8"/>
              <w:lang w:val="en-AU"/>
            </w:rPr>
            <w:t>Business Model</w:t>
          </w:r>
          <w:r>
            <w:tab/>
          </w:r>
          <w:r>
            <w:fldChar w:fldCharType="begin"/>
          </w:r>
          <w:r>
            <w:instrText xml:space="preserve"> PAGEREF _Toc193832749 \h </w:instrText>
          </w:r>
          <w:r>
            <w:fldChar w:fldCharType="separate"/>
          </w:r>
          <w:r>
            <w:t>9</w:t>
          </w:r>
          <w:r>
            <w:fldChar w:fldCharType="end"/>
          </w:r>
          <w:r>
            <w:fldChar w:fldCharType="end"/>
          </w:r>
        </w:p>
        <w:p w14:paraId="7BE901A0">
          <w:pPr>
            <w:pStyle w:val="11"/>
            <w:tabs>
              <w:tab w:val="right" w:leader="dot" w:pos="9016"/>
            </w:tabs>
            <w:rPr>
              <w:rFonts w:eastAsiaTheme="minorEastAsia"/>
              <w:lang w:val="en-IN" w:eastAsia="en-IN"/>
            </w:rPr>
          </w:pPr>
          <w:r>
            <w:fldChar w:fldCharType="begin"/>
          </w:r>
          <w:r>
            <w:instrText xml:space="preserve"> HYPERLINK \l "_Toc193832750" </w:instrText>
          </w:r>
          <w:r>
            <w:fldChar w:fldCharType="separate"/>
          </w:r>
          <w:r>
            <w:rPr>
              <w:rStyle w:val="8"/>
              <w:lang w:val="en-AU"/>
            </w:rPr>
            <w:t>Value Proposition</w:t>
          </w:r>
          <w:r>
            <w:tab/>
          </w:r>
          <w:r>
            <w:fldChar w:fldCharType="begin"/>
          </w:r>
          <w:r>
            <w:instrText xml:space="preserve"> PAGEREF _Toc193832750 \h </w:instrText>
          </w:r>
          <w:r>
            <w:fldChar w:fldCharType="separate"/>
          </w:r>
          <w:r>
            <w:t>9</w:t>
          </w:r>
          <w:r>
            <w:fldChar w:fldCharType="end"/>
          </w:r>
          <w:r>
            <w:fldChar w:fldCharType="end"/>
          </w:r>
        </w:p>
        <w:p w14:paraId="34F05C20">
          <w:pPr>
            <w:pStyle w:val="11"/>
            <w:tabs>
              <w:tab w:val="right" w:leader="dot" w:pos="9016"/>
            </w:tabs>
            <w:rPr>
              <w:rFonts w:eastAsiaTheme="minorEastAsia"/>
              <w:lang w:val="en-IN" w:eastAsia="en-IN"/>
            </w:rPr>
          </w:pPr>
          <w:r>
            <w:fldChar w:fldCharType="begin"/>
          </w:r>
          <w:r>
            <w:instrText xml:space="preserve"> HYPERLINK \l "_Toc193832751" </w:instrText>
          </w:r>
          <w:r>
            <w:fldChar w:fldCharType="separate"/>
          </w:r>
          <w:r>
            <w:rPr>
              <w:rStyle w:val="8"/>
              <w:lang w:val="en-AU"/>
            </w:rPr>
            <w:t>Revenue Streams and Pricing Strategy</w:t>
          </w:r>
          <w:r>
            <w:tab/>
          </w:r>
          <w:r>
            <w:fldChar w:fldCharType="begin"/>
          </w:r>
          <w:r>
            <w:instrText xml:space="preserve"> PAGEREF _Toc193832751 \h </w:instrText>
          </w:r>
          <w:r>
            <w:fldChar w:fldCharType="separate"/>
          </w:r>
          <w:r>
            <w:t>10</w:t>
          </w:r>
          <w:r>
            <w:fldChar w:fldCharType="end"/>
          </w:r>
          <w:r>
            <w:fldChar w:fldCharType="end"/>
          </w:r>
        </w:p>
        <w:p w14:paraId="040AFAFD">
          <w:pPr>
            <w:pStyle w:val="10"/>
            <w:tabs>
              <w:tab w:val="right" w:leader="dot" w:pos="9016"/>
            </w:tabs>
            <w:rPr>
              <w:rFonts w:eastAsiaTheme="minorEastAsia"/>
              <w:lang w:val="en-IN" w:eastAsia="en-IN"/>
            </w:rPr>
          </w:pPr>
          <w:r>
            <w:fldChar w:fldCharType="begin"/>
          </w:r>
          <w:r>
            <w:instrText xml:space="preserve"> HYPERLINK \l "_Toc193832752" </w:instrText>
          </w:r>
          <w:r>
            <w:fldChar w:fldCharType="separate"/>
          </w:r>
          <w:r>
            <w:rPr>
              <w:rStyle w:val="8"/>
              <w:lang w:val="en-AU"/>
            </w:rPr>
            <w:t>Operational Plan</w:t>
          </w:r>
          <w:r>
            <w:tab/>
          </w:r>
          <w:r>
            <w:fldChar w:fldCharType="begin"/>
          </w:r>
          <w:r>
            <w:instrText xml:space="preserve"> PAGEREF _Toc193832752 \h </w:instrText>
          </w:r>
          <w:r>
            <w:fldChar w:fldCharType="separate"/>
          </w:r>
          <w:r>
            <w:t>11</w:t>
          </w:r>
          <w:r>
            <w:fldChar w:fldCharType="end"/>
          </w:r>
          <w:r>
            <w:fldChar w:fldCharType="end"/>
          </w:r>
        </w:p>
        <w:p w14:paraId="344B7AB3">
          <w:pPr>
            <w:pStyle w:val="11"/>
            <w:tabs>
              <w:tab w:val="right" w:leader="dot" w:pos="9016"/>
            </w:tabs>
            <w:rPr>
              <w:rFonts w:eastAsiaTheme="minorEastAsia"/>
              <w:lang w:val="en-IN" w:eastAsia="en-IN"/>
            </w:rPr>
          </w:pPr>
          <w:r>
            <w:fldChar w:fldCharType="begin"/>
          </w:r>
          <w:r>
            <w:instrText xml:space="preserve"> HYPERLINK \l "_Toc193832753" </w:instrText>
          </w:r>
          <w:r>
            <w:fldChar w:fldCharType="separate"/>
          </w:r>
          <w:r>
            <w:rPr>
              <w:rStyle w:val="8"/>
              <w:lang w:val="en-AU"/>
            </w:rPr>
            <w:t>Location, Facilities, and Technology</w:t>
          </w:r>
          <w:r>
            <w:tab/>
          </w:r>
          <w:r>
            <w:fldChar w:fldCharType="begin"/>
          </w:r>
          <w:r>
            <w:instrText xml:space="preserve"> PAGEREF _Toc193832753 \h </w:instrText>
          </w:r>
          <w:r>
            <w:fldChar w:fldCharType="separate"/>
          </w:r>
          <w:r>
            <w:t>11</w:t>
          </w:r>
          <w:r>
            <w:fldChar w:fldCharType="end"/>
          </w:r>
          <w:r>
            <w:fldChar w:fldCharType="end"/>
          </w:r>
        </w:p>
        <w:p w14:paraId="4EAF071C">
          <w:pPr>
            <w:pStyle w:val="11"/>
            <w:tabs>
              <w:tab w:val="right" w:leader="dot" w:pos="9016"/>
            </w:tabs>
            <w:rPr>
              <w:rFonts w:eastAsiaTheme="minorEastAsia"/>
              <w:lang w:val="en-IN" w:eastAsia="en-IN"/>
            </w:rPr>
          </w:pPr>
          <w:r>
            <w:fldChar w:fldCharType="begin"/>
          </w:r>
          <w:r>
            <w:instrText xml:space="preserve"> HYPERLINK \l "_Toc193832754" </w:instrText>
          </w:r>
          <w:r>
            <w:fldChar w:fldCharType="separate"/>
          </w:r>
          <w:r>
            <w:rPr>
              <w:rStyle w:val="8"/>
              <w:lang w:val="en-AU"/>
            </w:rPr>
            <w:t>Staffing and Training</w:t>
          </w:r>
          <w:r>
            <w:tab/>
          </w:r>
          <w:r>
            <w:fldChar w:fldCharType="begin"/>
          </w:r>
          <w:r>
            <w:instrText xml:space="preserve"> PAGEREF _Toc193832754 \h </w:instrText>
          </w:r>
          <w:r>
            <w:fldChar w:fldCharType="separate"/>
          </w:r>
          <w:r>
            <w:t>12</w:t>
          </w:r>
          <w:r>
            <w:fldChar w:fldCharType="end"/>
          </w:r>
          <w:r>
            <w:fldChar w:fldCharType="end"/>
          </w:r>
        </w:p>
        <w:p w14:paraId="2BB08E19">
          <w:pPr>
            <w:pStyle w:val="11"/>
            <w:tabs>
              <w:tab w:val="right" w:leader="dot" w:pos="9016"/>
            </w:tabs>
            <w:rPr>
              <w:rFonts w:eastAsiaTheme="minorEastAsia"/>
              <w:lang w:val="en-IN" w:eastAsia="en-IN"/>
            </w:rPr>
          </w:pPr>
          <w:r>
            <w:fldChar w:fldCharType="begin"/>
          </w:r>
          <w:r>
            <w:instrText xml:space="preserve"> HYPERLINK \l "_Toc193832755" </w:instrText>
          </w:r>
          <w:r>
            <w:fldChar w:fldCharType="separate"/>
          </w:r>
          <w:r>
            <w:rPr>
              <w:rStyle w:val="8"/>
              <w:lang w:val="en-AU"/>
            </w:rPr>
            <w:t>Operational Workflow and Safety Protocols</w:t>
          </w:r>
          <w:r>
            <w:tab/>
          </w:r>
          <w:r>
            <w:fldChar w:fldCharType="begin"/>
          </w:r>
          <w:r>
            <w:instrText xml:space="preserve"> PAGEREF _Toc193832755 \h </w:instrText>
          </w:r>
          <w:r>
            <w:fldChar w:fldCharType="separate"/>
          </w:r>
          <w:r>
            <w:t>13</w:t>
          </w:r>
          <w:r>
            <w:fldChar w:fldCharType="end"/>
          </w:r>
          <w:r>
            <w:fldChar w:fldCharType="end"/>
          </w:r>
        </w:p>
        <w:p w14:paraId="2F480F27">
          <w:pPr>
            <w:pStyle w:val="10"/>
            <w:tabs>
              <w:tab w:val="right" w:leader="dot" w:pos="9016"/>
            </w:tabs>
            <w:rPr>
              <w:rFonts w:eastAsiaTheme="minorEastAsia"/>
              <w:lang w:val="en-IN" w:eastAsia="en-IN"/>
            </w:rPr>
          </w:pPr>
          <w:r>
            <w:fldChar w:fldCharType="begin"/>
          </w:r>
          <w:r>
            <w:instrText xml:space="preserve"> HYPERLINK \l "_Toc193832756" </w:instrText>
          </w:r>
          <w:r>
            <w:fldChar w:fldCharType="separate"/>
          </w:r>
          <w:r>
            <w:rPr>
              <w:rStyle w:val="8"/>
              <w:lang w:val="en-AU"/>
            </w:rPr>
            <w:t>Marketing Strategy</w:t>
          </w:r>
          <w:r>
            <w:tab/>
          </w:r>
          <w:r>
            <w:fldChar w:fldCharType="begin"/>
          </w:r>
          <w:r>
            <w:instrText xml:space="preserve"> PAGEREF _Toc193832756 \h </w:instrText>
          </w:r>
          <w:r>
            <w:fldChar w:fldCharType="separate"/>
          </w:r>
          <w:r>
            <w:t>14</w:t>
          </w:r>
          <w:r>
            <w:fldChar w:fldCharType="end"/>
          </w:r>
          <w:r>
            <w:fldChar w:fldCharType="end"/>
          </w:r>
        </w:p>
        <w:p w14:paraId="7A7A1C3D">
          <w:pPr>
            <w:pStyle w:val="11"/>
            <w:tabs>
              <w:tab w:val="right" w:leader="dot" w:pos="9016"/>
            </w:tabs>
            <w:rPr>
              <w:rFonts w:eastAsiaTheme="minorEastAsia"/>
              <w:lang w:val="en-IN" w:eastAsia="en-IN"/>
            </w:rPr>
          </w:pPr>
          <w:r>
            <w:fldChar w:fldCharType="begin"/>
          </w:r>
          <w:r>
            <w:instrText xml:space="preserve"> HYPERLINK \l "_Toc193832757" </w:instrText>
          </w:r>
          <w:r>
            <w:fldChar w:fldCharType="separate"/>
          </w:r>
          <w:r>
            <w:rPr>
              <w:rStyle w:val="8"/>
              <w:lang w:val="en-AU"/>
            </w:rPr>
            <w:t>Branding and Digital Presence</w:t>
          </w:r>
          <w:r>
            <w:tab/>
          </w:r>
          <w:r>
            <w:fldChar w:fldCharType="begin"/>
          </w:r>
          <w:r>
            <w:instrText xml:space="preserve"> PAGEREF _Toc193832757 \h </w:instrText>
          </w:r>
          <w:r>
            <w:fldChar w:fldCharType="separate"/>
          </w:r>
          <w:r>
            <w:t>14</w:t>
          </w:r>
          <w:r>
            <w:fldChar w:fldCharType="end"/>
          </w:r>
          <w:r>
            <w:fldChar w:fldCharType="end"/>
          </w:r>
        </w:p>
        <w:p w14:paraId="399A3E88">
          <w:pPr>
            <w:pStyle w:val="11"/>
            <w:tabs>
              <w:tab w:val="right" w:leader="dot" w:pos="9016"/>
            </w:tabs>
            <w:rPr>
              <w:rFonts w:eastAsiaTheme="minorEastAsia"/>
              <w:lang w:val="en-IN" w:eastAsia="en-IN"/>
            </w:rPr>
          </w:pPr>
          <w:r>
            <w:fldChar w:fldCharType="begin"/>
          </w:r>
          <w:r>
            <w:instrText xml:space="preserve"> HYPERLINK \l "_Toc193832758" </w:instrText>
          </w:r>
          <w:r>
            <w:fldChar w:fldCharType="separate"/>
          </w:r>
          <w:r>
            <w:rPr>
              <w:rStyle w:val="8"/>
              <w:lang w:val="en-AU"/>
            </w:rPr>
            <w:t>Customer Acquisition and Promotional Plans</w:t>
          </w:r>
          <w:r>
            <w:tab/>
          </w:r>
          <w:r>
            <w:fldChar w:fldCharType="begin"/>
          </w:r>
          <w:r>
            <w:instrText xml:space="preserve"> PAGEREF _Toc193832758 \h </w:instrText>
          </w:r>
          <w:r>
            <w:fldChar w:fldCharType="separate"/>
          </w:r>
          <w:r>
            <w:t>15</w:t>
          </w:r>
          <w:r>
            <w:fldChar w:fldCharType="end"/>
          </w:r>
          <w:r>
            <w:fldChar w:fldCharType="end"/>
          </w:r>
        </w:p>
        <w:p w14:paraId="6D5DB04F">
          <w:pPr>
            <w:pStyle w:val="11"/>
            <w:tabs>
              <w:tab w:val="right" w:leader="dot" w:pos="9016"/>
            </w:tabs>
            <w:rPr>
              <w:rFonts w:eastAsiaTheme="minorEastAsia"/>
              <w:lang w:val="en-IN" w:eastAsia="en-IN"/>
            </w:rPr>
          </w:pPr>
          <w:r>
            <w:fldChar w:fldCharType="begin"/>
          </w:r>
          <w:r>
            <w:instrText xml:space="preserve"> HYPERLINK \l "_Toc193832759" </w:instrText>
          </w:r>
          <w:r>
            <w:fldChar w:fldCharType="separate"/>
          </w:r>
          <w:r>
            <w:rPr>
              <w:rStyle w:val="8"/>
              <w:lang w:val="en-AU"/>
            </w:rPr>
            <w:t>Marketing Performance Metrics</w:t>
          </w:r>
          <w:r>
            <w:tab/>
          </w:r>
          <w:r>
            <w:fldChar w:fldCharType="begin"/>
          </w:r>
          <w:r>
            <w:instrText xml:space="preserve"> PAGEREF _Toc193832759 \h </w:instrText>
          </w:r>
          <w:r>
            <w:fldChar w:fldCharType="separate"/>
          </w:r>
          <w:r>
            <w:t>16</w:t>
          </w:r>
          <w:r>
            <w:fldChar w:fldCharType="end"/>
          </w:r>
          <w:r>
            <w:fldChar w:fldCharType="end"/>
          </w:r>
        </w:p>
        <w:p w14:paraId="3E41BCC9">
          <w:pPr>
            <w:pStyle w:val="10"/>
            <w:tabs>
              <w:tab w:val="right" w:leader="dot" w:pos="9016"/>
            </w:tabs>
            <w:rPr>
              <w:rFonts w:eastAsiaTheme="minorEastAsia"/>
              <w:lang w:val="en-IN" w:eastAsia="en-IN"/>
            </w:rPr>
          </w:pPr>
          <w:r>
            <w:fldChar w:fldCharType="begin"/>
          </w:r>
          <w:r>
            <w:instrText xml:space="preserve"> HYPERLINK \l "_Toc193832760" </w:instrText>
          </w:r>
          <w:r>
            <w:fldChar w:fldCharType="separate"/>
          </w:r>
          <w:r>
            <w:rPr>
              <w:rStyle w:val="8"/>
              <w:lang w:val="en-AU"/>
            </w:rPr>
            <w:t>Financial Plan</w:t>
          </w:r>
          <w:r>
            <w:tab/>
          </w:r>
          <w:r>
            <w:fldChar w:fldCharType="begin"/>
          </w:r>
          <w:r>
            <w:instrText xml:space="preserve"> PAGEREF _Toc193832760 \h </w:instrText>
          </w:r>
          <w:r>
            <w:fldChar w:fldCharType="separate"/>
          </w:r>
          <w:r>
            <w:t>17</w:t>
          </w:r>
          <w:r>
            <w:fldChar w:fldCharType="end"/>
          </w:r>
          <w:r>
            <w:fldChar w:fldCharType="end"/>
          </w:r>
        </w:p>
        <w:p w14:paraId="7AF44F0C">
          <w:pPr>
            <w:pStyle w:val="11"/>
            <w:tabs>
              <w:tab w:val="right" w:leader="dot" w:pos="9016"/>
            </w:tabs>
            <w:rPr>
              <w:rFonts w:eastAsiaTheme="minorEastAsia"/>
              <w:lang w:val="en-IN" w:eastAsia="en-IN"/>
            </w:rPr>
          </w:pPr>
          <w:r>
            <w:fldChar w:fldCharType="begin"/>
          </w:r>
          <w:r>
            <w:instrText xml:space="preserve"> HYPERLINK \l "_Toc193832761" </w:instrText>
          </w:r>
          <w:r>
            <w:fldChar w:fldCharType="separate"/>
          </w:r>
          <w:r>
            <w:rPr>
              <w:rStyle w:val="8"/>
              <w:lang w:val="en-AU"/>
            </w:rPr>
            <w:t>Profit &amp; Loss, Cash Flow Analysis, and Break-Even Point</w:t>
          </w:r>
          <w:r>
            <w:tab/>
          </w:r>
          <w:r>
            <w:fldChar w:fldCharType="begin"/>
          </w:r>
          <w:r>
            <w:instrText xml:space="preserve"> PAGEREF _Toc193832761 \h </w:instrText>
          </w:r>
          <w:r>
            <w:fldChar w:fldCharType="separate"/>
          </w:r>
          <w:r>
            <w:t>19</w:t>
          </w:r>
          <w:r>
            <w:fldChar w:fldCharType="end"/>
          </w:r>
          <w:r>
            <w:fldChar w:fldCharType="end"/>
          </w:r>
        </w:p>
        <w:p w14:paraId="09896C02">
          <w:pPr>
            <w:pStyle w:val="11"/>
            <w:tabs>
              <w:tab w:val="right" w:leader="dot" w:pos="9016"/>
            </w:tabs>
            <w:rPr>
              <w:rFonts w:eastAsiaTheme="minorEastAsia"/>
              <w:lang w:val="en-IN" w:eastAsia="en-IN"/>
            </w:rPr>
          </w:pPr>
          <w:r>
            <w:fldChar w:fldCharType="begin"/>
          </w:r>
          <w:r>
            <w:instrText xml:space="preserve"> HYPERLINK \l "_Toc193832762" </w:instrText>
          </w:r>
          <w:r>
            <w:fldChar w:fldCharType="separate"/>
          </w:r>
          <w:r>
            <w:rPr>
              <w:rStyle w:val="8"/>
              <w:lang w:val="en-AU"/>
            </w:rPr>
            <w:t>Financial Risk Analysis</w:t>
          </w:r>
          <w:r>
            <w:tab/>
          </w:r>
          <w:r>
            <w:fldChar w:fldCharType="begin"/>
          </w:r>
          <w:r>
            <w:instrText xml:space="preserve"> PAGEREF _Toc193832762 \h </w:instrText>
          </w:r>
          <w:r>
            <w:fldChar w:fldCharType="separate"/>
          </w:r>
          <w:r>
            <w:t>20</w:t>
          </w:r>
          <w:r>
            <w:fldChar w:fldCharType="end"/>
          </w:r>
          <w:r>
            <w:fldChar w:fldCharType="end"/>
          </w:r>
        </w:p>
        <w:p w14:paraId="78014AE3">
          <w:pPr>
            <w:pStyle w:val="10"/>
            <w:tabs>
              <w:tab w:val="right" w:leader="dot" w:pos="9016"/>
            </w:tabs>
            <w:rPr>
              <w:rFonts w:eastAsiaTheme="minorEastAsia"/>
              <w:lang w:val="en-IN" w:eastAsia="en-IN"/>
            </w:rPr>
          </w:pPr>
          <w:r>
            <w:fldChar w:fldCharType="begin"/>
          </w:r>
          <w:r>
            <w:instrText xml:space="preserve"> HYPERLINK \l "_Toc193832763" </w:instrText>
          </w:r>
          <w:r>
            <w:fldChar w:fldCharType="separate"/>
          </w:r>
          <w:r>
            <w:rPr>
              <w:rStyle w:val="8"/>
              <w:lang w:val="en-AU"/>
            </w:rPr>
            <w:t>Risk Management</w:t>
          </w:r>
          <w:r>
            <w:tab/>
          </w:r>
          <w:r>
            <w:fldChar w:fldCharType="begin"/>
          </w:r>
          <w:r>
            <w:instrText xml:space="preserve"> PAGEREF _Toc193832763 \h </w:instrText>
          </w:r>
          <w:r>
            <w:fldChar w:fldCharType="separate"/>
          </w:r>
          <w:r>
            <w:t>20</w:t>
          </w:r>
          <w:r>
            <w:fldChar w:fldCharType="end"/>
          </w:r>
          <w:r>
            <w:fldChar w:fldCharType="end"/>
          </w:r>
        </w:p>
        <w:p w14:paraId="64A2CF36">
          <w:pPr>
            <w:pStyle w:val="11"/>
            <w:tabs>
              <w:tab w:val="right" w:leader="dot" w:pos="9016"/>
            </w:tabs>
            <w:rPr>
              <w:rFonts w:eastAsiaTheme="minorEastAsia"/>
              <w:lang w:val="en-IN" w:eastAsia="en-IN"/>
            </w:rPr>
          </w:pPr>
          <w:r>
            <w:fldChar w:fldCharType="begin"/>
          </w:r>
          <w:r>
            <w:instrText xml:space="preserve"> HYPERLINK \l "_Toc193832764" </w:instrText>
          </w:r>
          <w:r>
            <w:fldChar w:fldCharType="separate"/>
          </w:r>
          <w:r>
            <w:rPr>
              <w:rStyle w:val="8"/>
              <w:lang w:val="en-AU"/>
            </w:rPr>
            <w:t>Identification of Key Risks</w:t>
          </w:r>
          <w:r>
            <w:tab/>
          </w:r>
          <w:r>
            <w:fldChar w:fldCharType="begin"/>
          </w:r>
          <w:r>
            <w:instrText xml:space="preserve"> PAGEREF _Toc193832764 \h </w:instrText>
          </w:r>
          <w:r>
            <w:fldChar w:fldCharType="separate"/>
          </w:r>
          <w:r>
            <w:t>20</w:t>
          </w:r>
          <w:r>
            <w:fldChar w:fldCharType="end"/>
          </w:r>
          <w:r>
            <w:fldChar w:fldCharType="end"/>
          </w:r>
        </w:p>
        <w:p w14:paraId="54F4486C">
          <w:pPr>
            <w:pStyle w:val="11"/>
            <w:tabs>
              <w:tab w:val="right" w:leader="dot" w:pos="9016"/>
            </w:tabs>
            <w:rPr>
              <w:rFonts w:eastAsiaTheme="minorEastAsia"/>
              <w:lang w:val="en-IN" w:eastAsia="en-IN"/>
            </w:rPr>
          </w:pPr>
          <w:r>
            <w:fldChar w:fldCharType="begin"/>
          </w:r>
          <w:r>
            <w:instrText xml:space="preserve"> HYPERLINK \l "_Toc193832765" </w:instrText>
          </w:r>
          <w:r>
            <w:fldChar w:fldCharType="separate"/>
          </w:r>
          <w:r>
            <w:rPr>
              <w:rStyle w:val="8"/>
              <w:lang w:val="en-AU"/>
            </w:rPr>
            <w:t>Mitigation Strategies</w:t>
          </w:r>
          <w:r>
            <w:tab/>
          </w:r>
          <w:r>
            <w:fldChar w:fldCharType="begin"/>
          </w:r>
          <w:r>
            <w:instrText xml:space="preserve"> PAGEREF _Toc193832765 \h </w:instrText>
          </w:r>
          <w:r>
            <w:fldChar w:fldCharType="separate"/>
          </w:r>
          <w:r>
            <w:t>21</w:t>
          </w:r>
          <w:r>
            <w:fldChar w:fldCharType="end"/>
          </w:r>
          <w:r>
            <w:fldChar w:fldCharType="end"/>
          </w:r>
        </w:p>
        <w:p w14:paraId="3A8B301A">
          <w:pPr>
            <w:pStyle w:val="10"/>
            <w:tabs>
              <w:tab w:val="right" w:leader="dot" w:pos="9016"/>
            </w:tabs>
            <w:rPr>
              <w:rFonts w:eastAsiaTheme="minorEastAsia"/>
              <w:lang w:val="en-IN" w:eastAsia="en-IN"/>
            </w:rPr>
          </w:pPr>
          <w:r>
            <w:fldChar w:fldCharType="begin"/>
          </w:r>
          <w:r>
            <w:instrText xml:space="preserve"> HYPERLINK \l "_Toc193832766" </w:instrText>
          </w:r>
          <w:r>
            <w:fldChar w:fldCharType="separate"/>
          </w:r>
          <w:r>
            <w:rPr>
              <w:rStyle w:val="8"/>
              <w:lang w:val="en-AU"/>
            </w:rPr>
            <w:t>Sustainability Strategy</w:t>
          </w:r>
          <w:r>
            <w:tab/>
          </w:r>
          <w:r>
            <w:fldChar w:fldCharType="begin"/>
          </w:r>
          <w:r>
            <w:instrText xml:space="preserve"> PAGEREF _Toc193832766 \h </w:instrText>
          </w:r>
          <w:r>
            <w:fldChar w:fldCharType="separate"/>
          </w:r>
          <w:r>
            <w:t>21</w:t>
          </w:r>
          <w:r>
            <w:fldChar w:fldCharType="end"/>
          </w:r>
          <w:r>
            <w:fldChar w:fldCharType="end"/>
          </w:r>
        </w:p>
        <w:p w14:paraId="08C11942">
          <w:pPr>
            <w:pStyle w:val="11"/>
            <w:tabs>
              <w:tab w:val="right" w:leader="dot" w:pos="9016"/>
            </w:tabs>
            <w:rPr>
              <w:rFonts w:eastAsiaTheme="minorEastAsia"/>
              <w:lang w:val="en-IN" w:eastAsia="en-IN"/>
            </w:rPr>
          </w:pPr>
          <w:r>
            <w:fldChar w:fldCharType="begin"/>
          </w:r>
          <w:r>
            <w:instrText xml:space="preserve"> HYPERLINK \l "_Toc193832767" </w:instrText>
          </w:r>
          <w:r>
            <w:fldChar w:fldCharType="separate"/>
          </w:r>
          <w:r>
            <w:rPr>
              <w:rStyle w:val="8"/>
              <w:lang w:val="en-AU"/>
            </w:rPr>
            <w:t>Environmental Practices</w:t>
          </w:r>
          <w:r>
            <w:tab/>
          </w:r>
          <w:r>
            <w:fldChar w:fldCharType="begin"/>
          </w:r>
          <w:r>
            <w:instrText xml:space="preserve"> PAGEREF _Toc193832767 \h </w:instrText>
          </w:r>
          <w:r>
            <w:fldChar w:fldCharType="separate"/>
          </w:r>
          <w:r>
            <w:t>22</w:t>
          </w:r>
          <w:r>
            <w:fldChar w:fldCharType="end"/>
          </w:r>
          <w:r>
            <w:fldChar w:fldCharType="end"/>
          </w:r>
        </w:p>
        <w:p w14:paraId="72F2BB36">
          <w:pPr>
            <w:pStyle w:val="11"/>
            <w:tabs>
              <w:tab w:val="right" w:leader="dot" w:pos="9016"/>
            </w:tabs>
            <w:rPr>
              <w:rFonts w:eastAsiaTheme="minorEastAsia"/>
              <w:lang w:val="en-IN" w:eastAsia="en-IN"/>
            </w:rPr>
          </w:pPr>
          <w:r>
            <w:fldChar w:fldCharType="begin"/>
          </w:r>
          <w:r>
            <w:instrText xml:space="preserve"> HYPERLINK \l "_Toc193832768" </w:instrText>
          </w:r>
          <w:r>
            <w:fldChar w:fldCharType="separate"/>
          </w:r>
          <w:r>
            <w:rPr>
              <w:rStyle w:val="8"/>
              <w:lang w:val="en-AU"/>
            </w:rPr>
            <w:t>Social and Economic Sustainability</w:t>
          </w:r>
          <w:r>
            <w:tab/>
          </w:r>
          <w:r>
            <w:fldChar w:fldCharType="begin"/>
          </w:r>
          <w:r>
            <w:instrText xml:space="preserve"> PAGEREF _Toc193832768 \h </w:instrText>
          </w:r>
          <w:r>
            <w:fldChar w:fldCharType="separate"/>
          </w:r>
          <w:r>
            <w:t>23</w:t>
          </w:r>
          <w:r>
            <w:fldChar w:fldCharType="end"/>
          </w:r>
          <w:r>
            <w:fldChar w:fldCharType="end"/>
          </w:r>
        </w:p>
        <w:p w14:paraId="6504F655">
          <w:pPr>
            <w:pStyle w:val="11"/>
            <w:tabs>
              <w:tab w:val="right" w:leader="dot" w:pos="9016"/>
            </w:tabs>
            <w:rPr>
              <w:rFonts w:eastAsiaTheme="minorEastAsia"/>
              <w:lang w:val="en-IN" w:eastAsia="en-IN"/>
            </w:rPr>
          </w:pPr>
          <w:r>
            <w:fldChar w:fldCharType="begin"/>
          </w:r>
          <w:r>
            <w:instrText xml:space="preserve"> HYPERLINK \l "_Toc193832769" </w:instrText>
          </w:r>
          <w:r>
            <w:fldChar w:fldCharType="separate"/>
          </w:r>
          <w:r>
            <w:rPr>
              <w:rStyle w:val="8"/>
              <w:lang w:val="en-AU"/>
            </w:rPr>
            <w:t>Technological Innovations</w:t>
          </w:r>
          <w:r>
            <w:tab/>
          </w:r>
          <w:r>
            <w:fldChar w:fldCharType="begin"/>
          </w:r>
          <w:r>
            <w:instrText xml:space="preserve"> PAGEREF _Toc193832769 \h </w:instrText>
          </w:r>
          <w:r>
            <w:fldChar w:fldCharType="separate"/>
          </w:r>
          <w:r>
            <w:t>24</w:t>
          </w:r>
          <w:r>
            <w:fldChar w:fldCharType="end"/>
          </w:r>
          <w:r>
            <w:fldChar w:fldCharType="end"/>
          </w:r>
        </w:p>
        <w:p w14:paraId="0A6B147E">
          <w:pPr>
            <w:pStyle w:val="10"/>
            <w:tabs>
              <w:tab w:val="right" w:leader="dot" w:pos="9016"/>
            </w:tabs>
            <w:rPr>
              <w:rFonts w:eastAsiaTheme="minorEastAsia"/>
              <w:lang w:val="en-IN" w:eastAsia="en-IN"/>
            </w:rPr>
          </w:pPr>
          <w:r>
            <w:fldChar w:fldCharType="begin"/>
          </w:r>
          <w:r>
            <w:instrText xml:space="preserve"> HYPERLINK \l "_Toc193832770" </w:instrText>
          </w:r>
          <w:r>
            <w:fldChar w:fldCharType="separate"/>
          </w:r>
          <w:r>
            <w:rPr>
              <w:rStyle w:val="8"/>
              <w:lang w:val="en-AU"/>
            </w:rPr>
            <w:t>Conclusion and Recommendations</w:t>
          </w:r>
          <w:r>
            <w:tab/>
          </w:r>
          <w:r>
            <w:fldChar w:fldCharType="begin"/>
          </w:r>
          <w:r>
            <w:instrText xml:space="preserve"> PAGEREF _Toc193832770 \h </w:instrText>
          </w:r>
          <w:r>
            <w:fldChar w:fldCharType="separate"/>
          </w:r>
          <w:r>
            <w:t>24</w:t>
          </w:r>
          <w:r>
            <w:fldChar w:fldCharType="end"/>
          </w:r>
          <w:r>
            <w:fldChar w:fldCharType="end"/>
          </w:r>
        </w:p>
        <w:p w14:paraId="48FDD1AE">
          <w:pPr>
            <w:pStyle w:val="10"/>
            <w:tabs>
              <w:tab w:val="right" w:leader="dot" w:pos="9016"/>
            </w:tabs>
            <w:rPr>
              <w:rFonts w:eastAsiaTheme="minorEastAsia"/>
              <w:lang w:val="en-IN" w:eastAsia="en-IN"/>
            </w:rPr>
          </w:pPr>
          <w:r>
            <w:fldChar w:fldCharType="begin"/>
          </w:r>
          <w:r>
            <w:instrText xml:space="preserve"> HYPERLINK \l "_Toc193832771" </w:instrText>
          </w:r>
          <w:r>
            <w:fldChar w:fldCharType="separate"/>
          </w:r>
          <w:r>
            <w:rPr>
              <w:rStyle w:val="8"/>
              <w:lang w:val="en-AU"/>
            </w:rPr>
            <w:t>Key Recommendations:</w:t>
          </w:r>
          <w:r>
            <w:tab/>
          </w:r>
          <w:r>
            <w:fldChar w:fldCharType="begin"/>
          </w:r>
          <w:r>
            <w:instrText xml:space="preserve"> PAGEREF _Toc193832771 \h </w:instrText>
          </w:r>
          <w:r>
            <w:fldChar w:fldCharType="separate"/>
          </w:r>
          <w:r>
            <w:t>26</w:t>
          </w:r>
          <w:r>
            <w:fldChar w:fldCharType="end"/>
          </w:r>
          <w:r>
            <w:fldChar w:fldCharType="end"/>
          </w:r>
        </w:p>
        <w:p w14:paraId="4C61EAFC">
          <w:pPr>
            <w:pStyle w:val="10"/>
            <w:tabs>
              <w:tab w:val="right" w:leader="dot" w:pos="9016"/>
            </w:tabs>
            <w:rPr>
              <w:rFonts w:eastAsiaTheme="minorEastAsia"/>
              <w:lang w:val="en-IN" w:eastAsia="en-IN"/>
            </w:rPr>
          </w:pPr>
          <w:r>
            <w:fldChar w:fldCharType="begin"/>
          </w:r>
          <w:r>
            <w:instrText xml:space="preserve"> HYPERLINK \l "_Toc193832772" </w:instrText>
          </w:r>
          <w:r>
            <w:fldChar w:fldCharType="separate"/>
          </w:r>
          <w:r>
            <w:rPr>
              <w:rStyle w:val="8"/>
              <w:rFonts w:eastAsia="Times New Roman"/>
              <w:lang w:val="en-IN" w:eastAsia="en-IN"/>
            </w:rPr>
            <w:t>References</w:t>
          </w:r>
          <w:r>
            <w:tab/>
          </w:r>
          <w:r>
            <w:fldChar w:fldCharType="begin"/>
          </w:r>
          <w:r>
            <w:instrText xml:space="preserve"> PAGEREF _Toc193832772 \h </w:instrText>
          </w:r>
          <w:r>
            <w:fldChar w:fldCharType="separate"/>
          </w:r>
          <w:r>
            <w:t>28</w:t>
          </w:r>
          <w:r>
            <w:fldChar w:fldCharType="end"/>
          </w:r>
          <w:r>
            <w:fldChar w:fldCharType="end"/>
          </w:r>
        </w:p>
        <w:p w14:paraId="4B852466">
          <w:r>
            <w:rPr>
              <w:b/>
              <w:bCs/>
            </w:rPr>
            <w:fldChar w:fldCharType="end"/>
          </w:r>
        </w:p>
      </w:sdtContent>
    </w:sdt>
    <w:p w14:paraId="759C806C">
      <w:pPr>
        <w:rPr>
          <w:lang w:val="en-AU"/>
        </w:rPr>
      </w:pPr>
      <w:bookmarkStart w:id="1" w:name="_Toc193832741"/>
      <w:r>
        <w:rPr>
          <w:lang w:val="en-AU"/>
        </w:rPr>
        <w:t>Executive Summary</w:t>
      </w:r>
      <w:bookmarkEnd w:id="1"/>
    </w:p>
    <w:p w14:paraId="76D75CDF">
      <w:pPr>
        <w:rPr>
          <w:lang w:val="en-AU"/>
        </w:rPr>
      </w:pPr>
    </w:p>
    <w:p w14:paraId="0FF79896">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Eco Adventures is responding to the recent surge in demand for nature-friendly and environment-inspired travel in Germany. The current travel industry trend is that customers are showing a high preference for trip options that have a sustainability component, that are adventurous and that bring cultural exposure. The method we have adopted to affect this trend is to develop digital travel plans that are custom-made and show through a visual presentation what a traveller could do, see and experience the different landscapes, vistas, and nature that Germany is blessed with.</w:t>
      </w:r>
    </w:p>
    <w:p w14:paraId="28A574F5">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 To go the extra mile and give personalised service that blends with the new technology, we ensure that each tourist starts the journey off right by being secure and without the stress of doubt.</w:t>
      </w:r>
    </w:p>
    <w:p w14:paraId="6E8492E6">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adventure tourism market in Germany, in particular, has been growing at a steady pace that can be to a great extent ascribed to the country's rising disposable income, increased environmental responsibility, and the presence of a strong domestic market. Eco Adventures can stand out because it is composed of a group of professionals including certified guides who are gurus of the outdoor field and also those who can successfully implement eco-friendly practices. Our unstinted commitment to embracing strict safety standards the travel lovers the peace of mind by which they can take up any adventure they want without any fear.</w:t>
      </w:r>
    </w:p>
    <w:p w14:paraId="6F046EB9">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Our revenue model is made up of adventure packages, a range of equipment that we rent, and also a few other specially designed services that would suit any budget and taste of our clients. The equal emphasis given to this strategy is to yield greater returns but also to diversify the offered experiences to the customers. The financial study results indicated that Eco Adventures will reach the break-even point by Year 3 and then it will proceed to have high margins in the rest of the years thus becoming more financially sustainable</w:t>
      </w:r>
      <w:r>
        <w:rPr>
          <w:rFonts w:ascii="Helvetica" w:hAnsi="Helvetica" w:cs="Helvetica"/>
          <w:color w:val="000000"/>
        </w:rPr>
        <w:t xml:space="preserve"> (Abicht &amp; Freikamp, 2005)</w:t>
      </w:r>
      <w:r>
        <w:rPr>
          <w:rFonts w:ascii="Times New Roman" w:hAnsi="Times New Roman" w:cs="Times New Roman"/>
          <w:sz w:val="24"/>
          <w:szCs w:val="24"/>
          <w:lang w:val="en-AU"/>
        </w:rPr>
        <w:t>.</w:t>
      </w:r>
    </w:p>
    <w:p w14:paraId="040E77EA">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Next to economic prediction, the future quality of life of our people is surely linked to the implementation of our sustainability plans. In the case of our solar park, we will work sincerely with the staff of the school to ensure the local people support this initiative. We shall promote renewable energy to be part of school activities and events. New media is making efforts to inform people about renewable energy, and internet sites contribute mostly to this end. We shall energize the school activities because we must all work to ensure the school becomes a safe environment for everyone. This comprehensive report covers our path to success by researching the structured market, drawing up detailed financial forecasts, and implementing risk mitigation tactics. With the help of those measures, Eco Adventures is set to dominate tourism in eco-friendly sectors of Germany by paraphrasing demand that meets the needs of modern tourists and by giving something back to protect the environment</w:t>
      </w:r>
      <w:r>
        <w:rPr>
          <w:rFonts w:ascii="Helvetica" w:hAnsi="Helvetica" w:cs="Helvetica"/>
          <w:color w:val="000000"/>
        </w:rPr>
        <w:t xml:space="preserve"> (Abicht &amp; Freikamp, 2005)</w:t>
      </w:r>
      <w:r>
        <w:rPr>
          <w:rFonts w:ascii="Times New Roman" w:hAnsi="Times New Roman" w:cs="Times New Roman"/>
          <w:sz w:val="24"/>
          <w:szCs w:val="24"/>
          <w:lang w:val="en-AU"/>
        </w:rPr>
        <w:t>.</w:t>
      </w:r>
    </w:p>
    <w:p w14:paraId="0231B0A6">
      <w:pPr>
        <w:pStyle w:val="2"/>
        <w:rPr>
          <w:lang w:val="en-AU"/>
        </w:rPr>
      </w:pPr>
      <w:bookmarkStart w:id="2" w:name="_Toc193832742"/>
    </w:p>
    <w:p w14:paraId="3DFC1A54">
      <w:pPr>
        <w:pStyle w:val="2"/>
        <w:rPr>
          <w:lang w:val="en-AU"/>
        </w:rPr>
      </w:pPr>
    </w:p>
    <w:p w14:paraId="04593EE3">
      <w:pPr>
        <w:pStyle w:val="2"/>
        <w:rPr>
          <w:lang w:val="en-AU"/>
        </w:rPr>
      </w:pPr>
    </w:p>
    <w:p w14:paraId="054E8192">
      <w:pPr>
        <w:pStyle w:val="2"/>
        <w:rPr>
          <w:lang w:val="en-AU"/>
        </w:rPr>
      </w:pPr>
    </w:p>
    <w:p w14:paraId="3BE90860">
      <w:pPr>
        <w:pStyle w:val="2"/>
        <w:rPr>
          <w:lang w:val="en-AU"/>
        </w:rPr>
      </w:pPr>
    </w:p>
    <w:p w14:paraId="3668DDAA">
      <w:pPr>
        <w:pStyle w:val="2"/>
        <w:rPr>
          <w:lang w:val="en-AU"/>
        </w:rPr>
      </w:pPr>
    </w:p>
    <w:p w14:paraId="333BFBE3">
      <w:pPr>
        <w:pStyle w:val="2"/>
        <w:rPr>
          <w:lang w:val="en-AU"/>
        </w:rPr>
      </w:pPr>
    </w:p>
    <w:p w14:paraId="7029A9B9">
      <w:pPr>
        <w:pStyle w:val="2"/>
        <w:rPr>
          <w:lang w:val="en-AU"/>
        </w:rPr>
      </w:pPr>
    </w:p>
    <w:p w14:paraId="5029240D">
      <w:pPr>
        <w:pStyle w:val="2"/>
        <w:rPr>
          <w:lang w:val="en-AU"/>
        </w:rPr>
      </w:pPr>
    </w:p>
    <w:bookmarkEnd w:id="2"/>
    <w:p w14:paraId="3A1B0AA6">
      <w:pPr>
        <w:pStyle w:val="2"/>
        <w:rPr>
          <w:lang w:val="en-AU"/>
        </w:rPr>
      </w:pPr>
    </w:p>
    <w:p w14:paraId="3A745673">
      <w:pPr>
        <w:spacing w:line="480" w:lineRule="auto"/>
        <w:jc w:val="both"/>
        <w:rPr>
          <w:rFonts w:ascii="Times New Roman" w:hAnsi="Times New Roman" w:cs="Times New Roman"/>
          <w:sz w:val="24"/>
          <w:szCs w:val="24"/>
          <w:lang w:val="en-AU"/>
        </w:rPr>
      </w:pPr>
    </w:p>
    <w:p w14:paraId="47471756">
      <w:pPr>
        <w:spacing w:line="480" w:lineRule="auto"/>
        <w:jc w:val="both"/>
        <w:rPr>
          <w:rFonts w:ascii="Times New Roman" w:hAnsi="Times New Roman" w:cs="Times New Roman"/>
          <w:sz w:val="24"/>
          <w:szCs w:val="24"/>
          <w:lang w:val="en-AU"/>
        </w:rPr>
      </w:pPr>
    </w:p>
    <w:p w14:paraId="67FEFB01">
      <w:pPr>
        <w:spacing w:line="480" w:lineRule="auto"/>
        <w:jc w:val="both"/>
        <w:rPr>
          <w:rFonts w:hint="default" w:ascii="Times New Roman Bold" w:hAnsi="Times New Roman Bold" w:cs="Times New Roman Bold"/>
          <w:b/>
          <w:bCs/>
          <w:sz w:val="24"/>
          <w:szCs w:val="24"/>
          <w:lang w:val="de-DE"/>
        </w:rPr>
      </w:pPr>
      <w:r>
        <w:rPr>
          <w:rFonts w:hint="default" w:ascii="Times New Roman Bold" w:hAnsi="Times New Roman Bold" w:cs="Times New Roman Bold"/>
          <w:b/>
          <w:bCs/>
          <w:sz w:val="24"/>
          <w:szCs w:val="24"/>
          <w:lang w:val="de-DE"/>
        </w:rPr>
        <w:t>Introduction</w:t>
      </w:r>
    </w:p>
    <w:p w14:paraId="1C2552F2">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Germany is undergoing a revolution in the field of tourism: in an authentic environment, travellers are ever searching for adventure and sustainable living experiences. The most affected branch of travel is adventure tourism, which includes activities with the possibility of adrenaline highs such as skydiving, rock climbing, and deep-sea diving. These activities are ballooning with a booming population and a not-so-uncommon inclination to innovative technical upgrades in travel that completely morph the true meaning of travel. With this emergence the Eco Adventures, the company will be distinctive in gaining prominence among consumers' expectations towards both thrills and eco-friendliness.</w:t>
      </w:r>
    </w:p>
    <w:p w14:paraId="5EEBC73C">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Eco Adventures is a provider of custom adventure packages geared towards the safety of the customer on the one hand and, on the other, the conservation of the environment. Our approach is aimed at fulfilling the modern passenger who not only longs for the wilderness's unspoiled state but also his/her involvement in its conservation.</w:t>
      </w:r>
    </w:p>
    <w:p w14:paraId="69AF494F">
      <w:pPr>
        <w:spacing w:line="48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drawing>
          <wp:inline distT="0" distB="0" distL="0" distR="0">
            <wp:extent cx="2823845" cy="3465830"/>
            <wp:effectExtent l="0" t="0" r="20955" b="139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2823845" cy="3465830"/>
                    </a:xfrm>
                    <a:prstGeom prst="rect">
                      <a:avLst/>
                    </a:prstGeom>
                    <a:noFill/>
                  </pic:spPr>
                </pic:pic>
              </a:graphicData>
            </a:graphic>
          </wp:inline>
        </w:drawing>
      </w:r>
    </w:p>
    <w:p w14:paraId="164720EA">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main purpose of this report is to present a comprehensive business plan for Eco Adventures. It will be an attempt to evaluate the existing global and German adventure tourism trends explaining the quick progression of the market. We will also reveal our target market and compare it with the competition so that we will understand where we stand. The diverse business model we have in place is a combination of various streams, which comprises adventure tour products equipment rental, and deluxe add-on packages to make sure the financial performance is robust.</w:t>
      </w:r>
    </w:p>
    <w:p w14:paraId="768A925E">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Additionally, the report addresses both the operational and the marketing strategies that are aimed at gaining sustainable and effective growth. The detailed financial predictions which include break-even analysis and revenue forecasts in Euro only bolster the groundwork for future projects. To top it off, we talk about some practical but strong risk management measures and sustainable practices that will ensure the long-term sustainability of our company. With these new strategic endeavours, Eco Adventures' name is going to be at the top of the list among other competitors in the lucratively growing adventure tourism market in Germany and in addition will successfully incorporate environmentally friendly practices</w:t>
      </w:r>
      <w:r>
        <w:rPr>
          <w:rFonts w:ascii="Helvetica" w:hAnsi="Helvetica" w:cs="Helvetica"/>
          <w:color w:val="000000"/>
        </w:rPr>
        <w:t xml:space="preserve"> (Bruyninckx et al., 2024)</w:t>
      </w:r>
      <w:r>
        <w:rPr>
          <w:rFonts w:ascii="Times New Roman" w:hAnsi="Times New Roman" w:cs="Times New Roman"/>
          <w:sz w:val="24"/>
          <w:szCs w:val="24"/>
          <w:lang w:val="en-AU"/>
        </w:rPr>
        <w:t>.</w:t>
      </w:r>
    </w:p>
    <w:p w14:paraId="3D1E0C1F">
      <w:pPr>
        <w:spacing w:line="480" w:lineRule="auto"/>
        <w:jc w:val="both"/>
        <w:rPr>
          <w:rFonts w:ascii="Times New Roman" w:hAnsi="Times New Roman" w:cs="Times New Roman"/>
          <w:sz w:val="24"/>
          <w:szCs w:val="24"/>
          <w:lang w:val="en-AU"/>
        </w:rPr>
      </w:pPr>
    </w:p>
    <w:p w14:paraId="1021789D">
      <w:pPr>
        <w:pStyle w:val="2"/>
        <w:rPr>
          <w:lang w:val="en-AU"/>
        </w:rPr>
      </w:pPr>
      <w:bookmarkStart w:id="3" w:name="_Toc193832743"/>
    </w:p>
    <w:p w14:paraId="254BB1F3">
      <w:pPr>
        <w:pStyle w:val="2"/>
        <w:rPr>
          <w:lang w:val="en-AU"/>
        </w:rPr>
      </w:pPr>
    </w:p>
    <w:p w14:paraId="7506A080">
      <w:pPr>
        <w:pStyle w:val="2"/>
        <w:rPr>
          <w:lang w:val="en-AU"/>
        </w:rPr>
      </w:pPr>
    </w:p>
    <w:p w14:paraId="77C246FE">
      <w:pPr>
        <w:pStyle w:val="2"/>
        <w:rPr>
          <w:lang w:val="en-AU"/>
        </w:rPr>
      </w:pPr>
    </w:p>
    <w:p w14:paraId="6E0B9F4A">
      <w:pPr>
        <w:pStyle w:val="2"/>
        <w:rPr>
          <w:lang w:val="en-AU"/>
        </w:rPr>
      </w:pPr>
    </w:p>
    <w:p w14:paraId="3FA95AEF">
      <w:pPr>
        <w:pStyle w:val="2"/>
        <w:rPr>
          <w:lang w:val="en-AU"/>
        </w:rPr>
      </w:pPr>
    </w:p>
    <w:bookmarkEnd w:id="3"/>
    <w:p w14:paraId="44C3D15C">
      <w:pPr>
        <w:pStyle w:val="2"/>
        <w:rPr>
          <w:lang w:val="en-AU"/>
        </w:rPr>
      </w:pPr>
    </w:p>
    <w:p w14:paraId="274396EE">
      <w:pPr>
        <w:spacing w:line="480" w:lineRule="auto"/>
        <w:jc w:val="both"/>
        <w:rPr>
          <w:rFonts w:ascii="Times New Roman" w:hAnsi="Times New Roman" w:cs="Times New Roman"/>
          <w:sz w:val="24"/>
          <w:szCs w:val="24"/>
          <w:lang w:val="en-AU"/>
        </w:rPr>
      </w:pPr>
    </w:p>
    <w:p w14:paraId="6F9599D2">
      <w:pPr>
        <w:pStyle w:val="3"/>
        <w:rPr>
          <w:rFonts w:hint="default"/>
          <w:lang w:val="de-DE"/>
        </w:rPr>
      </w:pPr>
      <w:bookmarkStart w:id="4" w:name="_Toc193832744"/>
      <w:r>
        <w:rPr>
          <w:rFonts w:hint="default"/>
          <w:lang w:val="de-DE"/>
        </w:rPr>
        <w:t>Market Analysis</w:t>
      </w:r>
    </w:p>
    <w:p w14:paraId="0303C308">
      <w:pPr>
        <w:pStyle w:val="3"/>
        <w:rPr>
          <w:rFonts w:hint="default"/>
          <w:lang w:val="de-DE"/>
        </w:rPr>
      </w:pPr>
    </w:p>
    <w:p w14:paraId="67020080">
      <w:pPr>
        <w:pStyle w:val="3"/>
        <w:rPr>
          <w:lang w:val="en-AU"/>
        </w:rPr>
      </w:pPr>
      <w:r>
        <w:rPr>
          <w:lang w:val="en-AU"/>
        </w:rPr>
        <w:t>Global and German Adventure Tourism Trends</w:t>
      </w:r>
      <w:bookmarkEnd w:id="4"/>
    </w:p>
    <w:p w14:paraId="52DA18BF">
      <w:pPr>
        <w:spacing w:line="480" w:lineRule="auto"/>
        <w:jc w:val="both"/>
        <w:rPr>
          <w:rFonts w:ascii="Times New Roman" w:hAnsi="Times New Roman" w:cs="Times New Roman"/>
          <w:sz w:val="24"/>
          <w:szCs w:val="24"/>
          <w:lang w:val="en-AU"/>
        </w:rPr>
      </w:pPr>
    </w:p>
    <w:p w14:paraId="13F446F5">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global market for adventure tourism was inhabited by the amount of €750 in 2024 and will record a 9.4% CAGR in the upcoming years from the present 2025-2032 period. (Fortune Business Insights, 2024) The industry amount has reached a figure of around €10.5 billion to €13.0 billion from 2024 to 2025 respectively. The industry is expected to grow approximately €13.0 billion by 2035 at a CAGR of around 9.4% (Future Market Insights, 2025). This slow growth has been made possible due to mainly natural events such as the emergence of outdoor recreational activities, a significant increase in consumer demand for eco-tourism, and digital integration in trip planning</w:t>
      </w:r>
      <w:r>
        <w:rPr>
          <w:rFonts w:ascii="Helvetica" w:hAnsi="Helvetica" w:cs="Helvetica"/>
          <w:color w:val="000000"/>
        </w:rPr>
        <w:t xml:space="preserve"> (Buhalis &amp; Law, 2008)</w:t>
      </w:r>
      <w:r>
        <w:rPr>
          <w:rFonts w:ascii="Times New Roman" w:hAnsi="Times New Roman" w:cs="Times New Roman"/>
          <w:sz w:val="24"/>
          <w:szCs w:val="24"/>
          <w:lang w:val="en-AU"/>
        </w:rPr>
        <w:t>.</w:t>
      </w:r>
    </w:p>
    <w:p w14:paraId="1D52EA3D">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Table 1. Global and German Adventure Tourism Market Forecast (Values in Million)</w:t>
      </w:r>
    </w:p>
    <w:p w14:paraId="07A85C8A">
      <w:pPr>
        <w:spacing w:line="480" w:lineRule="auto"/>
        <w:jc w:val="both"/>
        <w:rPr>
          <w:rFonts w:ascii="Times New Roman" w:hAnsi="Times New Roman" w:cs="Times New Roman"/>
          <w:sz w:val="24"/>
          <w:szCs w:val="24"/>
          <w:lang w:val="en-AU"/>
        </w:rPr>
      </w:pPr>
      <w:r>
        <w:drawing>
          <wp:inline distT="0" distB="0" distL="0" distR="0">
            <wp:extent cx="4234180" cy="1467485"/>
            <wp:effectExtent l="0" t="0" r="762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4234180" cy="1467485"/>
                    </a:xfrm>
                    <a:prstGeom prst="rect">
                      <a:avLst/>
                    </a:prstGeom>
                    <a:noFill/>
                    <a:ln>
                      <a:noFill/>
                    </a:ln>
                  </pic:spPr>
                </pic:pic>
              </a:graphicData>
            </a:graphic>
          </wp:inline>
        </w:drawing>
      </w:r>
    </w:p>
    <w:p w14:paraId="60F2CE0E">
      <w:pPr>
        <w:pStyle w:val="3"/>
        <w:rPr>
          <w:lang w:val="en-AU"/>
        </w:rPr>
      </w:pPr>
      <w:bookmarkStart w:id="5" w:name="_Toc193832745"/>
      <w:r>
        <w:rPr>
          <w:lang w:val="en-AU"/>
        </w:rPr>
        <w:t>Target Market Demographics and Psychographics</w:t>
      </w:r>
      <w:bookmarkEnd w:id="5"/>
    </w:p>
    <w:p w14:paraId="5DD7EA91">
      <w:pPr>
        <w:spacing w:line="480" w:lineRule="auto"/>
        <w:jc w:val="both"/>
        <w:rPr>
          <w:rFonts w:ascii="Times New Roman" w:hAnsi="Times New Roman" w:cs="Times New Roman"/>
          <w:sz w:val="24"/>
          <w:szCs w:val="24"/>
          <w:lang w:val="en-AU"/>
        </w:rPr>
      </w:pPr>
    </w:p>
    <w:p w14:paraId="3F4EA3B4">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Eco Adventures offers a variety of adventure activities suitable for the diverse traveller that it aims to attract</w:t>
      </w:r>
      <w:r>
        <w:rPr>
          <w:rFonts w:ascii="Helvetica" w:hAnsi="Helvetica" w:cs="Helvetica"/>
          <w:color w:val="000000"/>
        </w:rPr>
        <w:t xml:space="preserve"> (Enger et al., 2015)</w:t>
      </w:r>
      <w:r>
        <w:rPr>
          <w:rFonts w:ascii="Times New Roman" w:hAnsi="Times New Roman" w:cs="Times New Roman"/>
          <w:sz w:val="24"/>
          <w:szCs w:val="24"/>
          <w:lang w:val="en-AU"/>
        </w:rPr>
        <w:t>.</w:t>
      </w:r>
    </w:p>
    <w:p w14:paraId="46EB00DD">
      <w:pPr>
        <w:pStyle w:val="16"/>
        <w:numPr>
          <w:ilvl w:val="0"/>
          <w:numId w:val="1"/>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Age Group:</w:t>
      </w:r>
      <w:r>
        <w:rPr>
          <w:rFonts w:ascii="Times New Roman" w:hAnsi="Times New Roman" w:cs="Times New Roman"/>
          <w:sz w:val="24"/>
          <w:szCs w:val="24"/>
          <w:lang w:val="en-AU"/>
        </w:rPr>
        <w:t xml:space="preserve"> </w:t>
      </w:r>
      <w:r>
        <w:rPr>
          <w:rFonts w:ascii="Times New Roman" w:hAnsi="Times New Roman" w:cs="Times New Roman"/>
          <w:b/>
          <w:bCs/>
          <w:sz w:val="24"/>
          <w:szCs w:val="24"/>
          <w:lang w:val="en-AU"/>
        </w:rPr>
        <w:t>Mostly 25-55 years</w:t>
      </w:r>
      <w:r>
        <w:rPr>
          <w:rFonts w:ascii="Times New Roman" w:hAnsi="Times New Roman" w:cs="Times New Roman"/>
          <w:sz w:val="24"/>
          <w:szCs w:val="24"/>
          <w:lang w:val="en-AU"/>
        </w:rPr>
        <w:t xml:space="preserve"> old, including </w:t>
      </w:r>
      <w:r>
        <w:rPr>
          <w:rFonts w:ascii="Times New Roman" w:hAnsi="Times New Roman" w:cs="Times New Roman"/>
          <w:b/>
          <w:bCs/>
          <w:sz w:val="24"/>
          <w:szCs w:val="24"/>
          <w:lang w:val="en-AU"/>
        </w:rPr>
        <w:t>Millennials and Generation X</w:t>
      </w:r>
      <w:r>
        <w:rPr>
          <w:rFonts w:ascii="Times New Roman" w:hAnsi="Times New Roman" w:cs="Times New Roman"/>
          <w:sz w:val="24"/>
          <w:szCs w:val="24"/>
          <w:lang w:val="en-AU"/>
        </w:rPr>
        <w:t xml:space="preserve"> people who are into both relaxation and extreme activities.</w:t>
      </w:r>
    </w:p>
    <w:p w14:paraId="408CFB45">
      <w:pPr>
        <w:pStyle w:val="16"/>
        <w:numPr>
          <w:ilvl w:val="0"/>
          <w:numId w:val="1"/>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Income Level:</w:t>
      </w:r>
      <w:r>
        <w:rPr>
          <w:rFonts w:ascii="Times New Roman" w:hAnsi="Times New Roman" w:cs="Times New Roman"/>
          <w:sz w:val="24"/>
          <w:szCs w:val="24"/>
          <w:lang w:val="en-AU"/>
        </w:rPr>
        <w:t xml:space="preserve"> Middle to high-income individuals are frequent travellers who set apart a certain amount of money for leisure and adventure trips</w:t>
      </w:r>
      <w:r>
        <w:rPr>
          <w:rFonts w:ascii="Helvetica" w:hAnsi="Helvetica" w:cs="Helvetica"/>
          <w:color w:val="000000"/>
        </w:rPr>
        <w:t xml:space="preserve"> (Farkić &amp; Gebbels, 2022)</w:t>
      </w:r>
      <w:r>
        <w:rPr>
          <w:rFonts w:ascii="Times New Roman" w:hAnsi="Times New Roman" w:cs="Times New Roman"/>
          <w:sz w:val="24"/>
          <w:szCs w:val="24"/>
          <w:lang w:val="en-AU"/>
        </w:rPr>
        <w:t>.</w:t>
      </w:r>
    </w:p>
    <w:p w14:paraId="7B906FDD">
      <w:pPr>
        <w:pStyle w:val="16"/>
        <w:numPr>
          <w:ilvl w:val="0"/>
          <w:numId w:val="1"/>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Psychographics</w:t>
      </w:r>
      <w:r>
        <w:rPr>
          <w:rFonts w:ascii="Times New Roman" w:hAnsi="Times New Roman" w:cs="Times New Roman"/>
          <w:sz w:val="24"/>
          <w:szCs w:val="24"/>
          <w:lang w:val="en-AU"/>
        </w:rPr>
        <w:t>: Our favorited clienteles are those who use technological products and innovations, are concerned about the environment, and are opting for adventures that are personally tailored. For sure, travellers who love to experience something new and prefer quality, safety, and eco-friendliness for choosing a destination are among the ideal customers of our company</w:t>
      </w:r>
      <w:r>
        <w:rPr>
          <w:rFonts w:ascii="Helvetica" w:hAnsi="Helvetica" w:cs="Helvetica"/>
          <w:color w:val="000000"/>
        </w:rPr>
        <w:t xml:space="preserve"> (Enger et al., 2015)</w:t>
      </w:r>
      <w:r>
        <w:rPr>
          <w:rFonts w:ascii="Times New Roman" w:hAnsi="Times New Roman" w:cs="Times New Roman"/>
          <w:sz w:val="24"/>
          <w:szCs w:val="24"/>
          <w:lang w:val="en-AU"/>
        </w:rPr>
        <w:t>.</w:t>
      </w:r>
    </w:p>
    <w:p w14:paraId="6F205D67">
      <w:pPr>
        <w:spacing w:line="480" w:lineRule="auto"/>
        <w:jc w:val="both"/>
        <w:rPr>
          <w:rFonts w:ascii="Times New Roman" w:hAnsi="Times New Roman" w:cs="Times New Roman"/>
          <w:sz w:val="24"/>
          <w:szCs w:val="24"/>
          <w:lang w:val="en-AU"/>
        </w:rPr>
      </w:pPr>
    </w:p>
    <w:p w14:paraId="47AC3CD1">
      <w:pPr>
        <w:pStyle w:val="3"/>
        <w:rPr>
          <w:lang w:val="en-AU"/>
        </w:rPr>
      </w:pPr>
      <w:bookmarkStart w:id="6" w:name="_Toc193832746"/>
      <w:r>
        <w:rPr>
          <w:lang w:val="en-AU"/>
        </w:rPr>
        <w:t>Geography:</w:t>
      </w:r>
      <w:bookmarkEnd w:id="6"/>
    </w:p>
    <w:p w14:paraId="35A5F644">
      <w:pPr>
        <w:spacing w:line="480" w:lineRule="auto"/>
        <w:jc w:val="both"/>
        <w:rPr>
          <w:rFonts w:ascii="Times New Roman" w:hAnsi="Times New Roman" w:cs="Times New Roman"/>
          <w:sz w:val="24"/>
          <w:szCs w:val="24"/>
          <w:lang w:val="en-AU"/>
        </w:rPr>
      </w:pPr>
    </w:p>
    <w:p w14:paraId="3AE56E76">
      <w:pPr>
        <w:pStyle w:val="16"/>
        <w:numPr>
          <w:ilvl w:val="0"/>
          <w:numId w:val="2"/>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Domestic Market: Metro inhabitants such as the ones residing in the German cities of Berlin, Munich, and Hamburg who are the ones that are looking forward to some ecological and natural tourist attractions are the potential clients of our company.</w:t>
      </w:r>
    </w:p>
    <w:p w14:paraId="3091EE60">
      <w:pPr>
        <w:pStyle w:val="16"/>
        <w:numPr>
          <w:ilvl w:val="0"/>
          <w:numId w:val="2"/>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International Market: The foreign tourist bases for Iraq are active, primarily people who visit neighbouring European countries (e.g., France and Netherlands) to enjoy the adventure received in other international destinations</w:t>
      </w:r>
      <w:r>
        <w:rPr>
          <w:rFonts w:ascii="Helvetica" w:hAnsi="Helvetica" w:cs="Helvetica"/>
          <w:color w:val="000000"/>
        </w:rPr>
        <w:t xml:space="preserve"> (Farkić &amp; Gebbels, 2022)</w:t>
      </w:r>
      <w:r>
        <w:rPr>
          <w:rFonts w:ascii="Times New Roman" w:hAnsi="Times New Roman" w:cs="Times New Roman"/>
          <w:sz w:val="24"/>
          <w:szCs w:val="24"/>
          <w:lang w:val="en-AU"/>
        </w:rPr>
        <w:t>.</w:t>
      </w:r>
    </w:p>
    <w:p w14:paraId="69729E55">
      <w:pPr>
        <w:pStyle w:val="3"/>
        <w:rPr>
          <w:lang w:val="en-AU"/>
        </w:rPr>
      </w:pPr>
      <w:bookmarkStart w:id="7" w:name="_Toc193832747"/>
      <w:r>
        <w:rPr>
          <w:lang w:val="en-AU"/>
        </w:rPr>
        <w:t>Competitive Landscape</w:t>
      </w:r>
      <w:bookmarkEnd w:id="7"/>
    </w:p>
    <w:p w14:paraId="6D310B54">
      <w:pPr>
        <w:spacing w:line="480" w:lineRule="auto"/>
        <w:jc w:val="both"/>
        <w:rPr>
          <w:rFonts w:ascii="Times New Roman" w:hAnsi="Times New Roman" w:cs="Times New Roman"/>
          <w:sz w:val="24"/>
          <w:szCs w:val="24"/>
          <w:lang w:val="en-AU"/>
        </w:rPr>
      </w:pPr>
    </w:p>
    <w:p w14:paraId="0D8C774D">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In the German adventure tourism market, these are firms that are a blend of giants in the game and some niche providers. The leaders of the industry are companies like TUI Group and DER Touristic which provide a wide range of offers; very often, however, many of them engage in mass tourism activities as opposed to individual adventure experiences</w:t>
      </w:r>
      <w:r>
        <w:rPr>
          <w:rFonts w:ascii="Helvetica" w:hAnsi="Helvetica" w:cs="Helvetica"/>
          <w:color w:val="000000"/>
        </w:rPr>
        <w:t xml:space="preserve"> (Giorgi, 2024)</w:t>
      </w:r>
      <w:r>
        <w:rPr>
          <w:rFonts w:ascii="Times New Roman" w:hAnsi="Times New Roman" w:cs="Times New Roman"/>
          <w:sz w:val="24"/>
          <w:szCs w:val="24"/>
          <w:lang w:val="en-AU"/>
        </w:rPr>
        <w:t>. A selective list of unique adventure activities e.g., skydiving, rock climbing in areas such as Saxon Switzerland, and underwater tours by robots sets us apart from the rest in the industry.</w:t>
      </w:r>
    </w:p>
    <w:p w14:paraId="60C97A18">
      <w:pPr>
        <w:pStyle w:val="16"/>
        <w:numPr>
          <w:ilvl w:val="0"/>
          <w:numId w:val="3"/>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company's vision is: A strong emphasis on sustainability and eco-friendly practices which will help to achieve sustainability.</w:t>
      </w:r>
    </w:p>
    <w:p w14:paraId="2C5DE29B">
      <w:pPr>
        <w:pStyle w:val="16"/>
        <w:numPr>
          <w:ilvl w:val="0"/>
          <w:numId w:val="3"/>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Utilization of advanced digital tools for the delivery of personalized itineraries and the capability of providing real-time safety updates</w:t>
      </w:r>
      <w:r>
        <w:rPr>
          <w:rFonts w:ascii="Helvetica" w:hAnsi="Helvetica" w:cs="Helvetica"/>
          <w:color w:val="000000"/>
        </w:rPr>
        <w:t xml:space="preserve"> (Giorgi, 2024)</w:t>
      </w:r>
      <w:r>
        <w:rPr>
          <w:rFonts w:ascii="Times New Roman" w:hAnsi="Times New Roman" w:cs="Times New Roman"/>
          <w:sz w:val="24"/>
          <w:szCs w:val="24"/>
          <w:lang w:val="en-AU"/>
        </w:rPr>
        <w:t>.</w:t>
      </w:r>
    </w:p>
    <w:p w14:paraId="28CB1FC3">
      <w:pPr>
        <w:pStyle w:val="16"/>
        <w:numPr>
          <w:ilvl w:val="0"/>
          <w:numId w:val="3"/>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Achieving this goal is possible due to our cooperation with local certified guides and our compliance with international safety standards (ISO/DIS 3163).</w:t>
      </w:r>
    </w:p>
    <w:p w14:paraId="138E524F">
      <w:pPr>
        <w:spacing w:line="480" w:lineRule="auto"/>
        <w:jc w:val="both"/>
        <w:rPr>
          <w:rFonts w:ascii="Times New Roman" w:hAnsi="Times New Roman" w:cs="Times New Roman"/>
          <w:sz w:val="24"/>
          <w:szCs w:val="24"/>
          <w:lang w:val="en-AU"/>
        </w:rPr>
      </w:pPr>
    </w:p>
    <w:p w14:paraId="55F86BB4">
      <w:pPr>
        <w:pStyle w:val="3"/>
        <w:rPr>
          <w:lang w:val="en-AU"/>
        </w:rPr>
      </w:pPr>
      <w:bookmarkStart w:id="8" w:name="_Toc193832748"/>
      <w:r>
        <w:rPr>
          <w:lang w:val="en-AU"/>
        </w:rPr>
        <w:t>Market Forecast and Detailed Calculations</w:t>
      </w:r>
      <w:bookmarkEnd w:id="8"/>
    </w:p>
    <w:p w14:paraId="3648AB69">
      <w:pPr>
        <w:spacing w:line="480" w:lineRule="auto"/>
        <w:jc w:val="both"/>
        <w:rPr>
          <w:rFonts w:ascii="Times New Roman" w:hAnsi="Times New Roman" w:cs="Times New Roman"/>
          <w:sz w:val="24"/>
          <w:szCs w:val="24"/>
          <w:lang w:val="en-AU"/>
        </w:rPr>
      </w:pPr>
    </w:p>
    <w:p w14:paraId="1CE4BEE0">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Our cautious market penetration estimates are constructed through long-enough scrutinizing industry data and internal calculation exercises via both methods of forecast which push down from the top and up from the bottom</w:t>
      </w:r>
      <w:r>
        <w:rPr>
          <w:rFonts w:ascii="Helvetica" w:hAnsi="Helvetica" w:cs="Helvetica"/>
          <w:color w:val="000000"/>
        </w:rPr>
        <w:t xml:space="preserve"> (Hausmann, 2007)</w:t>
      </w:r>
      <w:r>
        <w:rPr>
          <w:rFonts w:ascii="Times New Roman" w:hAnsi="Times New Roman" w:cs="Times New Roman"/>
          <w:sz w:val="24"/>
          <w:szCs w:val="24"/>
          <w:lang w:val="en-AU"/>
        </w:rPr>
        <w:t xml:space="preserve">. For instance, if Germany's adventure tourism market in the year </w:t>
      </w:r>
      <w:r>
        <w:rPr>
          <w:rFonts w:ascii="Times New Roman" w:hAnsi="Times New Roman" w:cs="Times New Roman"/>
          <w:b/>
          <w:bCs/>
          <w:sz w:val="24"/>
          <w:szCs w:val="24"/>
          <w:lang w:val="en-AU"/>
        </w:rPr>
        <w:t>2025 is valued at €10,500 million and Eco Adventures captures 0.50% of the market</w:t>
      </w:r>
      <w:r>
        <w:rPr>
          <w:rFonts w:ascii="Times New Roman" w:hAnsi="Times New Roman" w:cs="Times New Roman"/>
          <w:sz w:val="24"/>
          <w:szCs w:val="24"/>
          <w:lang w:val="en-AU"/>
        </w:rPr>
        <w:t xml:space="preserve"> then the projected revenue shall be determined as follows:</w:t>
      </w:r>
    </w:p>
    <w:p w14:paraId="0E7B6827">
      <w:pPr>
        <w:spacing w:line="480" w:lineRule="auto"/>
        <w:jc w:val="both"/>
        <w:rPr>
          <w:rFonts w:ascii="Times New Roman" w:hAnsi="Times New Roman" w:cs="Times New Roman"/>
          <w:b/>
          <w:bCs/>
          <w:sz w:val="24"/>
          <w:szCs w:val="24"/>
          <w:lang w:val="en-AU"/>
        </w:rPr>
      </w:pPr>
      <w:r>
        <w:rPr>
          <w:rFonts w:ascii="Times New Roman" w:hAnsi="Times New Roman" w:cs="Times New Roman"/>
          <w:b/>
          <w:bCs/>
          <w:sz w:val="24"/>
          <w:szCs w:val="24"/>
          <w:lang w:val="en-AU"/>
        </w:rPr>
        <w:t>Projected Revenue= 10,500 million x 0.005 = 52.5 million</w:t>
      </w:r>
    </w:p>
    <w:p w14:paraId="2F574C4D">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When we increase our brand recognition, our target market share will grow accordingly as seen below:</w:t>
      </w:r>
    </w:p>
    <w:p w14:paraId="4316FF4A">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Table 2. Revenue Forecast for Eco Adventures (2025-2030, in Million Euro)</w:t>
      </w:r>
    </w:p>
    <w:p w14:paraId="660311F3">
      <w:pPr>
        <w:spacing w:line="480" w:lineRule="auto"/>
        <w:jc w:val="center"/>
        <w:rPr>
          <w:rFonts w:ascii="Times New Roman" w:hAnsi="Times New Roman" w:cs="Times New Roman"/>
          <w:sz w:val="24"/>
          <w:szCs w:val="24"/>
          <w:lang w:val="en-AU"/>
        </w:rPr>
      </w:pPr>
      <w:r>
        <w:drawing>
          <wp:inline distT="0" distB="0" distL="0" distR="0">
            <wp:extent cx="5035550" cy="2138680"/>
            <wp:effectExtent l="0" t="0" r="19050" b="203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035550" cy="2138680"/>
                    </a:xfrm>
                    <a:prstGeom prst="rect">
                      <a:avLst/>
                    </a:prstGeom>
                    <a:noFill/>
                    <a:ln>
                      <a:noFill/>
                    </a:ln>
                  </pic:spPr>
                </pic:pic>
              </a:graphicData>
            </a:graphic>
          </wp:inline>
        </w:drawing>
      </w:r>
    </w:p>
    <w:p w14:paraId="5AA1F3ED">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These figures emerged from incremental market penetration gain delivered through correct marketing strategies, operational SEO improvement, and as a result of positive customer satisfaction</w:t>
      </w:r>
      <w:r>
        <w:rPr>
          <w:rFonts w:ascii="Helvetica" w:hAnsi="Helvetica" w:cs="Helvetica"/>
          <w:color w:val="000000"/>
        </w:rPr>
        <w:t xml:space="preserve"> (Law et al., 2020)</w:t>
      </w:r>
      <w:r>
        <w:rPr>
          <w:rFonts w:ascii="Times New Roman" w:hAnsi="Times New Roman" w:cs="Times New Roman"/>
          <w:sz w:val="24"/>
          <w:szCs w:val="24"/>
          <w:lang w:val="en-AU"/>
        </w:rPr>
        <w:t>.</w:t>
      </w:r>
    </w:p>
    <w:p w14:paraId="5E57774D">
      <w:pPr>
        <w:pStyle w:val="2"/>
        <w:rPr>
          <w:lang w:val="en-AU"/>
        </w:rPr>
      </w:pPr>
      <w:bookmarkStart w:id="9" w:name="_Toc193832749"/>
    </w:p>
    <w:p w14:paraId="1217B43A">
      <w:pPr>
        <w:pStyle w:val="2"/>
        <w:rPr>
          <w:lang w:val="en-AU"/>
        </w:rPr>
      </w:pPr>
      <w:r>
        <w:rPr>
          <w:lang w:val="en-AU"/>
        </w:rPr>
        <w:t>Business Model</w:t>
      </w:r>
      <w:bookmarkEnd w:id="9"/>
    </w:p>
    <w:p w14:paraId="474F96E3">
      <w:pPr>
        <w:rPr>
          <w:lang w:val="en-AU"/>
        </w:rPr>
      </w:pPr>
    </w:p>
    <w:p w14:paraId="3269C27A">
      <w:pPr>
        <w:pStyle w:val="3"/>
        <w:rPr>
          <w:lang w:val="en-AU"/>
        </w:rPr>
      </w:pPr>
      <w:bookmarkStart w:id="10" w:name="_Toc193832750"/>
      <w:r>
        <w:rPr>
          <w:lang w:val="en-AU"/>
        </w:rPr>
        <w:t>Value Proposition</w:t>
      </w:r>
      <w:bookmarkEnd w:id="10"/>
    </w:p>
    <w:p w14:paraId="1C4A8B9C">
      <w:pPr>
        <w:rPr>
          <w:lang w:val="en-AU"/>
        </w:rPr>
      </w:pPr>
    </w:p>
    <w:p w14:paraId="1E569F02">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Eco Adventures cut a singular niche in the market by creating a combination of extreme sports and a safe environment. Besides, the main value-added proposition of our company is:</w:t>
      </w:r>
    </w:p>
    <w:p w14:paraId="7C1EDDA6">
      <w:pPr>
        <w:pStyle w:val="16"/>
        <w:numPr>
          <w:ilvl w:val="0"/>
          <w:numId w:val="4"/>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Authentic Adventure:</w:t>
      </w:r>
      <w:r>
        <w:rPr>
          <w:rFonts w:ascii="Times New Roman" w:hAnsi="Times New Roman" w:cs="Times New Roman"/>
          <w:sz w:val="24"/>
          <w:szCs w:val="24"/>
          <w:lang w:val="en-AU"/>
        </w:rPr>
        <w:t xml:space="preserve"> We are a service that brings the full spectrum of skydiving, rappelling, and diving experiences to the audience in a real and contextual way. This causes the receivers of the experience to feel excited and fulfilled all the time</w:t>
      </w:r>
      <w:r>
        <w:rPr>
          <w:rFonts w:ascii="Helvetica" w:hAnsi="Helvetica" w:cs="Helvetica"/>
          <w:color w:val="000000"/>
        </w:rPr>
        <w:t xml:space="preserve"> (Law et al., 2020)</w:t>
      </w:r>
      <w:r>
        <w:rPr>
          <w:rFonts w:ascii="Times New Roman" w:hAnsi="Times New Roman" w:cs="Times New Roman"/>
          <w:sz w:val="24"/>
          <w:szCs w:val="24"/>
          <w:lang w:val="en-AU"/>
        </w:rPr>
        <w:t>.</w:t>
      </w:r>
    </w:p>
    <w:p w14:paraId="472A25E9">
      <w:pPr>
        <w:pStyle w:val="16"/>
        <w:numPr>
          <w:ilvl w:val="0"/>
          <w:numId w:val="4"/>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Eco-Friendly Approach:</w:t>
      </w:r>
      <w:r>
        <w:rPr>
          <w:rFonts w:ascii="Times New Roman" w:hAnsi="Times New Roman" w:cs="Times New Roman"/>
          <w:sz w:val="24"/>
          <w:szCs w:val="24"/>
          <w:lang w:val="en-AU"/>
        </w:rPr>
        <w:t xml:space="preserve"> Our business is built on a green line. The operation is virtually a zero-waste process with low carbon emissions. For example, our main activity bases are run on clean fuel (e.g., solar panels), and the gear we use is manufactured using eco-friendly source materials</w:t>
      </w:r>
      <w:r>
        <w:rPr>
          <w:rFonts w:ascii="Helvetica" w:hAnsi="Helvetica" w:cs="Helvetica"/>
          <w:color w:val="000000"/>
        </w:rPr>
        <w:t xml:space="preserve"> (Mawarni et al., 2022)</w:t>
      </w:r>
      <w:r>
        <w:rPr>
          <w:rFonts w:ascii="Times New Roman" w:hAnsi="Times New Roman" w:cs="Times New Roman"/>
          <w:sz w:val="24"/>
          <w:szCs w:val="24"/>
          <w:lang w:val="en-AU"/>
        </w:rPr>
        <w:t>.</w:t>
      </w:r>
    </w:p>
    <w:p w14:paraId="36FD382F">
      <w:pPr>
        <w:pStyle w:val="16"/>
        <w:numPr>
          <w:ilvl w:val="0"/>
          <w:numId w:val="4"/>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Safety &amp; Certification:</w:t>
      </w:r>
      <w:r>
        <w:rPr>
          <w:rFonts w:ascii="Times New Roman" w:hAnsi="Times New Roman" w:cs="Times New Roman"/>
          <w:sz w:val="24"/>
          <w:szCs w:val="24"/>
          <w:lang w:val="en-AU"/>
        </w:rPr>
        <w:t xml:space="preserve"> All our guides are not just well trained and have earned high certification but they also strictly stick to the safety measures given. It makes our customers fully guaranteed of worry-free adventures</w:t>
      </w:r>
      <w:r>
        <w:rPr>
          <w:rFonts w:ascii="Helvetica" w:hAnsi="Helvetica" w:cs="Helvetica"/>
          <w:color w:val="000000"/>
        </w:rPr>
        <w:t xml:space="preserve"> (Mayer &amp; Woltering, 2017)</w:t>
      </w:r>
      <w:r>
        <w:rPr>
          <w:rFonts w:ascii="Times New Roman" w:hAnsi="Times New Roman" w:cs="Times New Roman"/>
          <w:sz w:val="24"/>
          <w:szCs w:val="24"/>
          <w:lang w:val="en-AU"/>
        </w:rPr>
        <w:t>.</w:t>
      </w:r>
    </w:p>
    <w:p w14:paraId="2B612311">
      <w:pPr>
        <w:pStyle w:val="16"/>
        <w:numPr>
          <w:ilvl w:val="0"/>
          <w:numId w:val="4"/>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Digital Customization:</w:t>
      </w:r>
      <w:r>
        <w:rPr>
          <w:rFonts w:ascii="Times New Roman" w:hAnsi="Times New Roman" w:cs="Times New Roman"/>
          <w:sz w:val="24"/>
          <w:szCs w:val="24"/>
          <w:lang w:val="en-AU"/>
        </w:rPr>
        <w:t xml:space="preserve"> We use AI programmed software to create unique concierge services that enable the customers to take part in interesting activities of their choice and skill level.</w:t>
      </w:r>
    </w:p>
    <w:p w14:paraId="488AFB4C">
      <w:pPr>
        <w:pStyle w:val="3"/>
        <w:rPr>
          <w:lang w:val="en-AU"/>
        </w:rPr>
      </w:pPr>
      <w:bookmarkStart w:id="11" w:name="_Toc193832751"/>
      <w:r>
        <w:rPr>
          <w:lang w:val="en-AU"/>
        </w:rPr>
        <w:t>Revenue Streams and Pricing Strategy</w:t>
      </w:r>
      <w:bookmarkEnd w:id="11"/>
    </w:p>
    <w:p w14:paraId="1C0EB309">
      <w:pPr>
        <w:rPr>
          <w:lang w:val="en-AU"/>
        </w:rPr>
      </w:pPr>
    </w:p>
    <w:p w14:paraId="16D76E53">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key to revenue is a well-coordinated system of multiple streams:</w:t>
      </w:r>
    </w:p>
    <w:p w14:paraId="61B02637">
      <w:pPr>
        <w:pStyle w:val="16"/>
        <w:numPr>
          <w:ilvl w:val="0"/>
          <w:numId w:val="5"/>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Adventure Package Bookings:</w:t>
      </w:r>
      <w:r>
        <w:rPr>
          <w:rFonts w:ascii="Times New Roman" w:hAnsi="Times New Roman" w:cs="Times New Roman"/>
          <w:sz w:val="24"/>
          <w:szCs w:val="24"/>
          <w:lang w:val="en-AU"/>
        </w:rPr>
        <w:t xml:space="preserve"> The given type implies that companies combine all the essential gear and services at one price tourists need to pay their mandatory fees as well as the insurance the company issues. It is not separate from the operators</w:t>
      </w:r>
      <w:r>
        <w:rPr>
          <w:rFonts w:ascii="Helvetica" w:hAnsi="Helvetica" w:cs="Helvetica"/>
          <w:color w:val="000000"/>
        </w:rPr>
        <w:t xml:space="preserve"> (Mayer &amp; Woltering, 2017)</w:t>
      </w:r>
      <w:r>
        <w:rPr>
          <w:rFonts w:ascii="Times New Roman" w:hAnsi="Times New Roman" w:cs="Times New Roman"/>
          <w:sz w:val="24"/>
          <w:szCs w:val="24"/>
          <w:lang w:val="en-AU"/>
        </w:rPr>
        <w:t>.</w:t>
      </w:r>
    </w:p>
    <w:p w14:paraId="3DB6F16F">
      <w:pPr>
        <w:pStyle w:val="16"/>
        <w:numPr>
          <w:ilvl w:val="0"/>
          <w:numId w:val="5"/>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Equipment Rentals and Sales:</w:t>
      </w:r>
      <w:r>
        <w:rPr>
          <w:rFonts w:ascii="Times New Roman" w:hAnsi="Times New Roman" w:cs="Times New Roman"/>
          <w:sz w:val="24"/>
          <w:szCs w:val="24"/>
          <w:lang w:val="en-AU"/>
        </w:rPr>
        <w:t xml:space="preserve"> Also, all eco-friendly accessories and equipment of high quality are on rent and are also on-sale.</w:t>
      </w:r>
    </w:p>
    <w:p w14:paraId="2E5906EB">
      <w:pPr>
        <w:pStyle w:val="16"/>
        <w:numPr>
          <w:ilvl w:val="0"/>
          <w:numId w:val="5"/>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Premium Add-On Services:</w:t>
      </w:r>
      <w:r>
        <w:rPr>
          <w:rFonts w:ascii="Times New Roman" w:hAnsi="Times New Roman" w:cs="Times New Roman"/>
          <w:sz w:val="24"/>
          <w:szCs w:val="24"/>
          <w:lang w:val="en-AU"/>
        </w:rPr>
        <w:t xml:space="preserve"> Among other options you can make a request for some coaching classes for example fashion photo shooting/nature drone photography only for yourself and a concierge to help you get done what you want the team to do</w:t>
      </w:r>
      <w:r>
        <w:rPr>
          <w:rFonts w:ascii="Helvetica" w:hAnsi="Helvetica" w:cs="Helvetica"/>
          <w:color w:val="000000"/>
        </w:rPr>
        <w:t xml:space="preserve"> (Law et al., 2020)</w:t>
      </w:r>
      <w:r>
        <w:rPr>
          <w:rFonts w:ascii="Times New Roman" w:hAnsi="Times New Roman" w:cs="Times New Roman"/>
          <w:sz w:val="24"/>
          <w:szCs w:val="24"/>
          <w:lang w:val="en-AU"/>
        </w:rPr>
        <w:t>.</w:t>
      </w:r>
    </w:p>
    <w:p w14:paraId="286B25D0">
      <w:pPr>
        <w:pStyle w:val="16"/>
        <w:numPr>
          <w:ilvl w:val="0"/>
          <w:numId w:val="5"/>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Partnerships and Commissions:</w:t>
      </w:r>
      <w:r>
        <w:rPr>
          <w:rFonts w:ascii="Times New Roman" w:hAnsi="Times New Roman" w:cs="Times New Roman"/>
          <w:sz w:val="24"/>
          <w:szCs w:val="24"/>
          <w:lang w:val="en-AU"/>
        </w:rPr>
        <w:t xml:space="preserve"> Local hotel, travel agency, and tourism board collaborations result in earned commissions through cross-promotional activities</w:t>
      </w:r>
      <w:r>
        <w:rPr>
          <w:rFonts w:ascii="Helvetica" w:hAnsi="Helvetica" w:cs="Helvetica"/>
          <w:color w:val="000000"/>
        </w:rPr>
        <w:t xml:space="preserve"> (Navío-Marco et al., 2018)</w:t>
      </w:r>
      <w:r>
        <w:rPr>
          <w:rFonts w:ascii="Times New Roman" w:hAnsi="Times New Roman" w:cs="Times New Roman"/>
          <w:sz w:val="24"/>
          <w:szCs w:val="24"/>
          <w:lang w:val="en-AU"/>
        </w:rPr>
        <w:t>.</w:t>
      </w:r>
    </w:p>
    <w:p w14:paraId="31965822">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Table 3. Sample Pricing Model for Adventure Packages (Prices in Euro)</w:t>
      </w:r>
    </w:p>
    <w:p w14:paraId="2D1B72EB">
      <w:pPr>
        <w:spacing w:line="480" w:lineRule="auto"/>
        <w:jc w:val="center"/>
        <w:rPr>
          <w:rFonts w:ascii="Times New Roman" w:hAnsi="Times New Roman" w:cs="Times New Roman"/>
          <w:sz w:val="24"/>
          <w:szCs w:val="24"/>
          <w:lang w:val="en-AU"/>
        </w:rPr>
      </w:pPr>
      <w:r>
        <w:drawing>
          <wp:inline distT="0" distB="0" distL="0" distR="0">
            <wp:extent cx="6049645" cy="1543050"/>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6055181" cy="1544462"/>
                    </a:xfrm>
                    <a:prstGeom prst="rect">
                      <a:avLst/>
                    </a:prstGeom>
                    <a:noFill/>
                    <a:ln>
                      <a:noFill/>
                    </a:ln>
                  </pic:spPr>
                </pic:pic>
              </a:graphicData>
            </a:graphic>
          </wp:inline>
        </w:drawing>
      </w:r>
    </w:p>
    <w:p w14:paraId="111471C6">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pricing strategy is intended to be not only the best deal comparing with other brands but consists of a good wholesale price that would leave a reasonable margin to a customer while the company would increase its capacity of revenue</w:t>
      </w:r>
      <w:r>
        <w:rPr>
          <w:rFonts w:ascii="Helvetica" w:hAnsi="Helvetica" w:cs="Helvetica"/>
          <w:color w:val="000000"/>
        </w:rPr>
        <w:t xml:space="preserve"> (Mawarni et al., 2022)</w:t>
      </w:r>
      <w:r>
        <w:rPr>
          <w:rFonts w:ascii="Times New Roman" w:hAnsi="Times New Roman" w:cs="Times New Roman"/>
          <w:sz w:val="24"/>
          <w:szCs w:val="24"/>
          <w:lang w:val="en-AU"/>
        </w:rPr>
        <w:t xml:space="preserve">. </w:t>
      </w:r>
    </w:p>
    <w:p w14:paraId="585D6895">
      <w:pPr>
        <w:pStyle w:val="2"/>
        <w:rPr>
          <w:lang w:val="en-AU"/>
        </w:rPr>
      </w:pPr>
      <w:bookmarkStart w:id="12" w:name="_Toc193832752"/>
      <w:r>
        <w:rPr>
          <w:lang w:val="en-AU"/>
        </w:rPr>
        <w:t>Operational Plan</w:t>
      </w:r>
      <w:bookmarkEnd w:id="12"/>
    </w:p>
    <w:p w14:paraId="777D6CDC">
      <w:pPr>
        <w:rPr>
          <w:lang w:val="en-AU"/>
        </w:rPr>
      </w:pPr>
    </w:p>
    <w:p w14:paraId="12820A0D">
      <w:pPr>
        <w:pStyle w:val="3"/>
        <w:rPr>
          <w:lang w:val="en-AU"/>
        </w:rPr>
      </w:pPr>
      <w:bookmarkStart w:id="13" w:name="_Toc193832753"/>
      <w:r>
        <w:rPr>
          <w:lang w:val="en-AU"/>
        </w:rPr>
        <w:t>Location, Facilities, and Technology</w:t>
      </w:r>
      <w:bookmarkEnd w:id="13"/>
    </w:p>
    <w:p w14:paraId="4C6B7A21">
      <w:pPr>
        <w:rPr>
          <w:lang w:val="en-AU"/>
        </w:rPr>
      </w:pPr>
    </w:p>
    <w:p w14:paraId="21C85A1C">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Headquarters and Operational Bases:</w:t>
      </w:r>
    </w:p>
    <w:p w14:paraId="1E359F4B">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Eco Adventures will be headquartered in Munich a city that is excellently located to the adventure spots in both rural or urban settings. We will also run satellite offices close to the targets such as the Bavarian Alps for bohemian and rock dancing, and the coastal areas or the big lakes for underwater tours</w:t>
      </w:r>
      <w:r>
        <w:rPr>
          <w:rFonts w:ascii="Helvetica" w:hAnsi="Helvetica" w:cs="Helvetica"/>
          <w:color w:val="000000"/>
        </w:rPr>
        <w:t xml:space="preserve"> (Polukhina et al., 2024)</w:t>
      </w:r>
      <w:r>
        <w:rPr>
          <w:rFonts w:ascii="Times New Roman" w:hAnsi="Times New Roman" w:cs="Times New Roman"/>
          <w:sz w:val="24"/>
          <w:szCs w:val="24"/>
          <w:lang w:val="en-AU"/>
        </w:rPr>
        <w:t>.</w:t>
      </w:r>
    </w:p>
    <w:p w14:paraId="0A2CBFCA">
      <w:pPr>
        <w:spacing w:line="480" w:lineRule="auto"/>
        <w:jc w:val="both"/>
        <w:rPr>
          <w:rFonts w:ascii="Times New Roman" w:hAnsi="Times New Roman" w:cs="Times New Roman"/>
          <w:b/>
          <w:bCs/>
          <w:sz w:val="24"/>
          <w:szCs w:val="24"/>
          <w:lang w:val="en-AU"/>
        </w:rPr>
      </w:pPr>
      <w:r>
        <w:rPr>
          <w:rFonts w:ascii="Times New Roman" w:hAnsi="Times New Roman" w:cs="Times New Roman"/>
          <w:b/>
          <w:bCs/>
          <w:sz w:val="24"/>
          <w:szCs w:val="24"/>
          <w:lang w:val="en-AU"/>
        </w:rPr>
        <w:t>Facilities and Infrastructure:</w:t>
      </w:r>
    </w:p>
    <w:p w14:paraId="71C65D0E">
      <w:pPr>
        <w:spacing w:line="480" w:lineRule="auto"/>
        <w:jc w:val="both"/>
        <w:rPr>
          <w:rFonts w:ascii="Times New Roman" w:hAnsi="Times New Roman" w:cs="Times New Roman"/>
          <w:i/>
          <w:iCs/>
          <w:sz w:val="24"/>
          <w:szCs w:val="24"/>
          <w:u w:val="single"/>
          <w:lang w:val="en-AU"/>
        </w:rPr>
      </w:pPr>
      <w:r>
        <w:rPr>
          <w:rFonts w:ascii="Times New Roman" w:hAnsi="Times New Roman" w:cs="Times New Roman"/>
          <w:i/>
          <w:iCs/>
          <w:sz w:val="24"/>
          <w:szCs w:val="24"/>
          <w:u w:val="single"/>
          <w:lang w:val="en-AU"/>
        </w:rPr>
        <w:t>Our facilities will consist of the following:</w:t>
      </w:r>
    </w:p>
    <w:p w14:paraId="61ECD686">
      <w:pPr>
        <w:pStyle w:val="16"/>
        <w:numPr>
          <w:ilvl w:val="0"/>
          <w:numId w:val="6"/>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A main office with the newest information and communication technology devices and systems.</w:t>
      </w:r>
    </w:p>
    <w:p w14:paraId="55EEB702">
      <w:pPr>
        <w:pStyle w:val="16"/>
        <w:numPr>
          <w:ilvl w:val="0"/>
          <w:numId w:val="6"/>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Training centres are the venues of the safety practice sessions and the simulation activities.</w:t>
      </w:r>
    </w:p>
    <w:p w14:paraId="41EFA9E2">
      <w:pPr>
        <w:pStyle w:val="16"/>
        <w:numPr>
          <w:ilvl w:val="0"/>
          <w:numId w:val="6"/>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On-site operational hubs adjacent to adventure spots to manage logistics, guarantee fast response and maintain equipment</w:t>
      </w:r>
      <w:r>
        <w:rPr>
          <w:rFonts w:ascii="Helvetica" w:hAnsi="Helvetica" w:cs="Helvetica"/>
          <w:color w:val="000000"/>
        </w:rPr>
        <w:t xml:space="preserve"> (Navío-Marco et al., 2018)</w:t>
      </w:r>
      <w:r>
        <w:rPr>
          <w:rFonts w:ascii="Times New Roman" w:hAnsi="Times New Roman" w:cs="Times New Roman"/>
          <w:sz w:val="24"/>
          <w:szCs w:val="24"/>
          <w:lang w:val="en-AU"/>
        </w:rPr>
        <w:t>.</w:t>
      </w:r>
    </w:p>
    <w:p w14:paraId="22551AFF">
      <w:pPr>
        <w:spacing w:line="480" w:lineRule="auto"/>
        <w:jc w:val="both"/>
        <w:rPr>
          <w:rFonts w:ascii="Times New Roman" w:hAnsi="Times New Roman" w:cs="Times New Roman"/>
          <w:i/>
          <w:iCs/>
          <w:sz w:val="24"/>
          <w:szCs w:val="24"/>
          <w:u w:val="single"/>
          <w:lang w:val="en-AU"/>
        </w:rPr>
      </w:pPr>
      <w:r>
        <w:rPr>
          <w:rFonts w:ascii="Times New Roman" w:hAnsi="Times New Roman" w:cs="Times New Roman"/>
          <w:i/>
          <w:iCs/>
          <w:sz w:val="24"/>
          <w:szCs w:val="24"/>
          <w:u w:val="single"/>
          <w:lang w:val="en-AU"/>
        </w:rPr>
        <w:t>Technology Integration:</w:t>
      </w:r>
    </w:p>
    <w:p w14:paraId="35F95E96">
      <w:pPr>
        <w:pStyle w:val="16"/>
        <w:numPr>
          <w:ilvl w:val="0"/>
          <w:numId w:val="7"/>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Digital Booking Platform: Our AI-controlled system helps it to be very personal as well as schedules all activities and attests live safety alerts</w:t>
      </w:r>
      <w:r>
        <w:rPr>
          <w:rFonts w:ascii="Helvetica" w:hAnsi="Helvetica" w:cs="Helvetica"/>
          <w:color w:val="000000"/>
        </w:rPr>
        <w:t xml:space="preserve"> (Asscoiation &amp; Travel, 2013)</w:t>
      </w:r>
      <w:r>
        <w:rPr>
          <w:rFonts w:ascii="Times New Roman" w:hAnsi="Times New Roman" w:cs="Times New Roman"/>
          <w:sz w:val="24"/>
          <w:szCs w:val="24"/>
          <w:lang w:val="en-AU"/>
        </w:rPr>
        <w:t>.</w:t>
      </w:r>
    </w:p>
    <w:p w14:paraId="3AAE71F1">
      <w:pPr>
        <w:pStyle w:val="16"/>
        <w:numPr>
          <w:ilvl w:val="0"/>
          <w:numId w:val="7"/>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Safety Management Systems: These are inclusive of wearable devices for guides and customers to check blood pressure and GPS location tracking when climaxes</w:t>
      </w:r>
      <w:r>
        <w:rPr>
          <w:rFonts w:ascii="Helvetica" w:hAnsi="Helvetica" w:cs="Helvetica"/>
          <w:color w:val="000000"/>
        </w:rPr>
        <w:t xml:space="preserve"> (Müller, 2022)</w:t>
      </w:r>
      <w:r>
        <w:rPr>
          <w:rFonts w:ascii="Times New Roman" w:hAnsi="Times New Roman" w:cs="Times New Roman"/>
          <w:sz w:val="24"/>
          <w:szCs w:val="24"/>
          <w:lang w:val="en-AU"/>
        </w:rPr>
        <w:t>.</w:t>
      </w:r>
    </w:p>
    <w:p w14:paraId="5155EF09">
      <w:pPr>
        <w:pStyle w:val="16"/>
        <w:numPr>
          <w:ilvl w:val="0"/>
          <w:numId w:val="7"/>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Renewable Energy: Our headquarters and local facilities will run with the power of solar panels and, when there is wind, power of the wind will be used to operate, thus our carbon footprint will be reduced.</w:t>
      </w:r>
    </w:p>
    <w:p w14:paraId="68C006DB">
      <w:pPr>
        <w:spacing w:line="480" w:lineRule="auto"/>
        <w:jc w:val="both"/>
        <w:rPr>
          <w:rFonts w:ascii="Times New Roman" w:hAnsi="Times New Roman" w:cs="Times New Roman"/>
          <w:sz w:val="24"/>
          <w:szCs w:val="24"/>
          <w:lang w:val="en-AU"/>
        </w:rPr>
      </w:pPr>
    </w:p>
    <w:p w14:paraId="29D3F08D">
      <w:pPr>
        <w:pStyle w:val="3"/>
        <w:rPr>
          <w:lang w:val="en-AU"/>
        </w:rPr>
      </w:pPr>
      <w:bookmarkStart w:id="14" w:name="_Toc193832754"/>
      <w:r>
        <w:rPr>
          <w:lang w:val="en-AU"/>
        </w:rPr>
        <w:t>Staffing and Training</w:t>
      </w:r>
      <w:bookmarkEnd w:id="14"/>
    </w:p>
    <w:p w14:paraId="751D3578">
      <w:pPr>
        <w:rPr>
          <w:lang w:val="en-AU"/>
        </w:rPr>
      </w:pPr>
    </w:p>
    <w:p w14:paraId="42C027C4">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Eco Adventures will bring together a group of highly trained staff to deliver excellent service.:</w:t>
      </w:r>
    </w:p>
    <w:p w14:paraId="60C25C2C">
      <w:pPr>
        <w:pStyle w:val="16"/>
        <w:numPr>
          <w:ilvl w:val="0"/>
          <w:numId w:val="8"/>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lang w:val="en-AU"/>
        </w:rPr>
        <w:t>Certified Adventure Guides:</w:t>
      </w:r>
      <w:r>
        <w:rPr>
          <w:rFonts w:ascii="Times New Roman" w:hAnsi="Times New Roman" w:cs="Times New Roman"/>
          <w:sz w:val="24"/>
          <w:szCs w:val="24"/>
          <w:lang w:val="en-AU"/>
        </w:rPr>
        <w:t xml:space="preserve"> To cover the services provided by our company, we will employ 10 certified persons, each of whom will own an internationally recognized certification (such as from ATTA and British Canoeing) and be trained in emergency protocols that are effective.</w:t>
      </w:r>
    </w:p>
    <w:p w14:paraId="1B56F940">
      <w:pPr>
        <w:pStyle w:val="16"/>
        <w:numPr>
          <w:ilvl w:val="0"/>
          <w:numId w:val="8"/>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lang w:val="en-AU"/>
        </w:rPr>
        <w:t>Operations Team:</w:t>
      </w:r>
      <w:r>
        <w:rPr>
          <w:rFonts w:ascii="Times New Roman" w:hAnsi="Times New Roman" w:cs="Times New Roman"/>
          <w:sz w:val="24"/>
          <w:szCs w:val="24"/>
          <w:lang w:val="en-AU"/>
        </w:rPr>
        <w:t xml:space="preserve"> A separate operations manager, assisted by 2 safety and compliance officers, will run all the activities daily</w:t>
      </w:r>
      <w:r>
        <w:rPr>
          <w:rFonts w:ascii="Helvetica" w:hAnsi="Helvetica" w:cs="Helvetica"/>
          <w:color w:val="000000"/>
        </w:rPr>
        <w:t xml:space="preserve"> (Farkić &amp; Gebbels, 2022)</w:t>
      </w:r>
      <w:r>
        <w:rPr>
          <w:rFonts w:ascii="Times New Roman" w:hAnsi="Times New Roman" w:cs="Times New Roman"/>
          <w:sz w:val="24"/>
          <w:szCs w:val="24"/>
          <w:lang w:val="en-AU"/>
        </w:rPr>
        <w:t>.</w:t>
      </w:r>
    </w:p>
    <w:p w14:paraId="72A4C9FD">
      <w:pPr>
        <w:pStyle w:val="16"/>
        <w:numPr>
          <w:ilvl w:val="0"/>
          <w:numId w:val="8"/>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lang w:val="en-AU"/>
        </w:rPr>
        <w:t>Marketing and IT Specialists:</w:t>
      </w:r>
      <w:r>
        <w:rPr>
          <w:rFonts w:ascii="Times New Roman" w:hAnsi="Times New Roman" w:cs="Times New Roman"/>
          <w:sz w:val="24"/>
          <w:szCs w:val="24"/>
          <w:lang w:val="en-AU"/>
        </w:rPr>
        <w:t xml:space="preserve"> A combination of 4 marketing people and 3 IT specialists who will mind the online presence and technical facilities will be responsible for our company's digital presence and infrastructure (security measures).</w:t>
      </w:r>
    </w:p>
    <w:p w14:paraId="36E5E287">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Table 4. Staffing and Training Schedule (Positions and Estimated Numbers)</w:t>
      </w:r>
    </w:p>
    <w:p w14:paraId="2C301303">
      <w:pPr>
        <w:spacing w:line="480" w:lineRule="auto"/>
        <w:jc w:val="center"/>
        <w:rPr>
          <w:rFonts w:ascii="Times New Roman" w:hAnsi="Times New Roman" w:cs="Times New Roman"/>
          <w:sz w:val="24"/>
          <w:szCs w:val="24"/>
          <w:lang w:val="en-AU"/>
        </w:rPr>
      </w:pPr>
      <w:r>
        <w:drawing>
          <wp:inline distT="0" distB="0" distL="0" distR="0">
            <wp:extent cx="5505450" cy="4607560"/>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510538" cy="4612080"/>
                    </a:xfrm>
                    <a:prstGeom prst="rect">
                      <a:avLst/>
                    </a:prstGeom>
                    <a:noFill/>
                    <a:ln>
                      <a:noFill/>
                    </a:ln>
                  </pic:spPr>
                </pic:pic>
              </a:graphicData>
            </a:graphic>
          </wp:inline>
        </w:drawing>
      </w:r>
    </w:p>
    <w:p w14:paraId="409256FE">
      <w:pPr>
        <w:spacing w:line="480" w:lineRule="auto"/>
        <w:jc w:val="both"/>
        <w:rPr>
          <w:rFonts w:ascii="Times New Roman" w:hAnsi="Times New Roman" w:cs="Times New Roman"/>
          <w:sz w:val="24"/>
          <w:szCs w:val="24"/>
          <w:lang w:val="en-AU"/>
        </w:rPr>
      </w:pPr>
    </w:p>
    <w:p w14:paraId="49202A96">
      <w:pPr>
        <w:pStyle w:val="3"/>
        <w:rPr>
          <w:lang w:val="en-AU"/>
        </w:rPr>
      </w:pPr>
      <w:bookmarkStart w:id="15" w:name="_Toc193832755"/>
      <w:r>
        <w:rPr>
          <w:lang w:val="en-AU"/>
        </w:rPr>
        <w:t>Operational Workflow and Safety Protocols</w:t>
      </w:r>
      <w:bookmarkEnd w:id="15"/>
    </w:p>
    <w:p w14:paraId="1AE130C3">
      <w:pPr>
        <w:rPr>
          <w:lang w:val="en-AU"/>
        </w:rPr>
      </w:pPr>
    </w:p>
    <w:p w14:paraId="720E8DF0">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operational workflow is constituted as follows:</w:t>
      </w:r>
    </w:p>
    <w:p w14:paraId="33681B09">
      <w:pPr>
        <w:spacing w:line="480" w:lineRule="auto"/>
        <w:jc w:val="both"/>
        <w:rPr>
          <w:rFonts w:ascii="Times New Roman" w:hAnsi="Times New Roman" w:cs="Times New Roman"/>
          <w:b/>
          <w:bCs/>
          <w:i/>
          <w:iCs/>
          <w:sz w:val="24"/>
          <w:szCs w:val="24"/>
          <w:lang w:val="en-AU"/>
        </w:rPr>
      </w:pPr>
      <w:r>
        <w:rPr>
          <w:rFonts w:ascii="Times New Roman" w:hAnsi="Times New Roman" w:cs="Times New Roman"/>
          <w:b/>
          <w:bCs/>
          <w:i/>
          <w:iCs/>
          <w:sz w:val="24"/>
          <w:szCs w:val="24"/>
          <w:lang w:val="en-AU"/>
        </w:rPr>
        <w:t>Pre-Booking Phase:</w:t>
      </w:r>
    </w:p>
    <w:p w14:paraId="3BE20302">
      <w:pPr>
        <w:pStyle w:val="16"/>
        <w:numPr>
          <w:ilvl w:val="0"/>
          <w:numId w:val="9"/>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Our digital platform is a place where customers are able to check options, see real-time safety updates, and create their itineraries. Our site offers a plethora of experiences well described, not only with calmness rules to follow but also about the weather forecast</w:t>
      </w:r>
      <w:r>
        <w:rPr>
          <w:rFonts w:ascii="Helvetica" w:hAnsi="Helvetica" w:cs="Helvetica"/>
          <w:color w:val="000000"/>
        </w:rPr>
        <w:t xml:space="preserve"> (Farkić &amp; Gebbels, 2022)</w:t>
      </w:r>
      <w:r>
        <w:rPr>
          <w:rFonts w:ascii="Times New Roman" w:hAnsi="Times New Roman" w:cs="Times New Roman"/>
          <w:sz w:val="24"/>
          <w:szCs w:val="24"/>
          <w:lang w:val="en-AU"/>
        </w:rPr>
        <w:t>.</w:t>
      </w:r>
    </w:p>
    <w:p w14:paraId="03861E5E">
      <w:pPr>
        <w:spacing w:line="480" w:lineRule="auto"/>
        <w:jc w:val="both"/>
        <w:rPr>
          <w:rFonts w:ascii="Times New Roman" w:hAnsi="Times New Roman" w:cs="Times New Roman"/>
          <w:b/>
          <w:bCs/>
          <w:i/>
          <w:iCs/>
          <w:sz w:val="24"/>
          <w:szCs w:val="24"/>
          <w:lang w:val="en-AU"/>
        </w:rPr>
      </w:pPr>
    </w:p>
    <w:p w14:paraId="68CE9180">
      <w:pPr>
        <w:spacing w:line="480" w:lineRule="auto"/>
        <w:jc w:val="both"/>
        <w:rPr>
          <w:rFonts w:ascii="Times New Roman" w:hAnsi="Times New Roman" w:cs="Times New Roman"/>
          <w:b/>
          <w:bCs/>
          <w:i/>
          <w:iCs/>
          <w:sz w:val="24"/>
          <w:szCs w:val="24"/>
          <w:lang w:val="en-AU"/>
        </w:rPr>
      </w:pPr>
    </w:p>
    <w:p w14:paraId="689A3C4A">
      <w:pPr>
        <w:spacing w:line="480" w:lineRule="auto"/>
        <w:jc w:val="both"/>
        <w:rPr>
          <w:rFonts w:ascii="Times New Roman" w:hAnsi="Times New Roman" w:cs="Times New Roman"/>
          <w:b/>
          <w:bCs/>
          <w:i/>
          <w:iCs/>
          <w:sz w:val="24"/>
          <w:szCs w:val="24"/>
          <w:lang w:val="en-AU"/>
        </w:rPr>
      </w:pPr>
      <w:r>
        <w:rPr>
          <w:rFonts w:ascii="Times New Roman" w:hAnsi="Times New Roman" w:cs="Times New Roman"/>
          <w:b/>
          <w:bCs/>
          <w:i/>
          <w:iCs/>
          <w:sz w:val="24"/>
          <w:szCs w:val="24"/>
          <w:lang w:val="en-AU"/>
        </w:rPr>
        <w:t>Booking and Payment:</w:t>
      </w:r>
    </w:p>
    <w:p w14:paraId="0007D78D">
      <w:pPr>
        <w:pStyle w:val="16"/>
        <w:numPr>
          <w:ilvl w:val="0"/>
          <w:numId w:val="9"/>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Your security comes first since we use the best online payment methods as well as email-based immediate confirmation after the payment of your order. All transactions are handled in the European currency of Euro, so mastering the buying process is ensured for European customers</w:t>
      </w:r>
      <w:r>
        <w:rPr>
          <w:rFonts w:ascii="Helvetica" w:hAnsi="Helvetica" w:cs="Helvetica"/>
          <w:color w:val="000000"/>
        </w:rPr>
        <w:t xml:space="preserve"> (Enger et al., 2015)</w:t>
      </w:r>
      <w:r>
        <w:rPr>
          <w:rFonts w:ascii="Times New Roman" w:hAnsi="Times New Roman" w:cs="Times New Roman"/>
          <w:sz w:val="24"/>
          <w:szCs w:val="24"/>
          <w:lang w:val="en-AU"/>
        </w:rPr>
        <w:t>.</w:t>
      </w:r>
    </w:p>
    <w:p w14:paraId="47E4E894">
      <w:pPr>
        <w:spacing w:line="480" w:lineRule="auto"/>
        <w:jc w:val="both"/>
        <w:rPr>
          <w:rFonts w:ascii="Times New Roman" w:hAnsi="Times New Roman" w:cs="Times New Roman"/>
          <w:b/>
          <w:bCs/>
          <w:i/>
          <w:iCs/>
          <w:sz w:val="24"/>
          <w:szCs w:val="24"/>
          <w:lang w:val="en-AU"/>
        </w:rPr>
      </w:pPr>
      <w:r>
        <w:rPr>
          <w:rFonts w:ascii="Times New Roman" w:hAnsi="Times New Roman" w:cs="Times New Roman"/>
          <w:b/>
          <w:bCs/>
          <w:i/>
          <w:iCs/>
          <w:sz w:val="24"/>
          <w:szCs w:val="24"/>
          <w:lang w:val="en-AU"/>
        </w:rPr>
        <w:t>Pre-Departure Briefing:</w:t>
      </w:r>
    </w:p>
    <w:p w14:paraId="33BB63FD">
      <w:pPr>
        <w:pStyle w:val="16"/>
        <w:numPr>
          <w:ilvl w:val="0"/>
          <w:numId w:val="9"/>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In the case of the departure, customers are involved in a safety briefing of the mandatory type, during which they are instructed on the usage of gear, the emergency procedure, and the route details input. On the other hand, digital means and practical approaches are used to explain safety issues.</w:t>
      </w:r>
    </w:p>
    <w:p w14:paraId="36F7A971">
      <w:pPr>
        <w:spacing w:line="480" w:lineRule="auto"/>
        <w:jc w:val="both"/>
        <w:rPr>
          <w:rFonts w:ascii="Times New Roman" w:hAnsi="Times New Roman" w:cs="Times New Roman"/>
          <w:b/>
          <w:bCs/>
          <w:i/>
          <w:iCs/>
          <w:sz w:val="24"/>
          <w:szCs w:val="24"/>
          <w:lang w:val="en-AU"/>
        </w:rPr>
      </w:pPr>
      <w:r>
        <w:rPr>
          <w:rFonts w:ascii="Times New Roman" w:hAnsi="Times New Roman" w:cs="Times New Roman"/>
          <w:b/>
          <w:bCs/>
          <w:i/>
          <w:iCs/>
          <w:sz w:val="24"/>
          <w:szCs w:val="24"/>
          <w:lang w:val="en-AU"/>
        </w:rPr>
        <w:t>Activity Execution:</w:t>
      </w:r>
    </w:p>
    <w:p w14:paraId="562C274C">
      <w:pPr>
        <w:pStyle w:val="16"/>
        <w:numPr>
          <w:ilvl w:val="0"/>
          <w:numId w:val="9"/>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On the one hand, certified guides guide the adventures, and on the other hand, they use monitoring systems to know where the customers are and how they feel. Besides, they also have emergency protocols in place to quickly address emergencies.</w:t>
      </w:r>
    </w:p>
    <w:p w14:paraId="76EC60E1">
      <w:pPr>
        <w:spacing w:line="480" w:lineRule="auto"/>
        <w:jc w:val="both"/>
        <w:rPr>
          <w:rFonts w:ascii="Times New Roman" w:hAnsi="Times New Roman" w:cs="Times New Roman"/>
          <w:b/>
          <w:bCs/>
          <w:i/>
          <w:iCs/>
          <w:sz w:val="24"/>
          <w:szCs w:val="24"/>
          <w:lang w:val="en-AU"/>
        </w:rPr>
      </w:pPr>
      <w:r>
        <w:rPr>
          <w:rFonts w:ascii="Times New Roman" w:hAnsi="Times New Roman" w:cs="Times New Roman"/>
          <w:b/>
          <w:bCs/>
          <w:i/>
          <w:iCs/>
          <w:sz w:val="24"/>
          <w:szCs w:val="24"/>
          <w:lang w:val="en-AU"/>
        </w:rPr>
        <w:t>Post-Activity Feedback:</w:t>
      </w:r>
    </w:p>
    <w:p w14:paraId="654D8282">
      <w:pPr>
        <w:pStyle w:val="16"/>
        <w:numPr>
          <w:ilvl w:val="0"/>
          <w:numId w:val="9"/>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After the adventure, the customers will have access to digital surveys they can complete. Then the feedback will be analysed to improve the operational procedures and safety measures on a continuing basis</w:t>
      </w:r>
      <w:r>
        <w:rPr>
          <w:rFonts w:ascii="Helvetica" w:hAnsi="Helvetica" w:cs="Helvetica"/>
          <w:color w:val="000000"/>
        </w:rPr>
        <w:t xml:space="preserve"> (Giorgi, 2024)</w:t>
      </w:r>
      <w:r>
        <w:rPr>
          <w:rFonts w:ascii="Times New Roman" w:hAnsi="Times New Roman" w:cs="Times New Roman"/>
          <w:sz w:val="24"/>
          <w:szCs w:val="24"/>
          <w:lang w:val="en-AU"/>
        </w:rPr>
        <w:t>.</w:t>
      </w:r>
    </w:p>
    <w:p w14:paraId="39C02B8E">
      <w:pPr>
        <w:pStyle w:val="3"/>
        <w:spacing w:line="240" w:lineRule="auto"/>
        <w:rPr>
          <w:rFonts w:hint="default" w:ascii="Times New Roman Bold" w:hAnsi="Times New Roman Bold" w:cs="Times New Roman Bold"/>
          <w:i w:val="0"/>
          <w:iCs/>
          <w:lang w:val="de-DE"/>
        </w:rPr>
      </w:pPr>
      <w:bookmarkStart w:id="16" w:name="_Toc193832757"/>
    </w:p>
    <w:p w14:paraId="61ECF8CD">
      <w:pPr>
        <w:pStyle w:val="3"/>
        <w:spacing w:line="240" w:lineRule="auto"/>
        <w:rPr>
          <w:rFonts w:hint="default"/>
          <w:lang w:val="de-DE"/>
        </w:rPr>
      </w:pPr>
      <w:r>
        <w:rPr>
          <w:rFonts w:hint="default" w:ascii="Times New Roman Bold" w:hAnsi="Times New Roman Bold" w:cs="Times New Roman Bold"/>
          <w:i w:val="0"/>
          <w:iCs/>
          <w:lang w:val="de-DE"/>
        </w:rPr>
        <w:t>MARKETING STRATEGY</w:t>
      </w:r>
    </w:p>
    <w:p w14:paraId="660D3055">
      <w:pPr>
        <w:spacing w:line="240" w:lineRule="auto"/>
        <w:rPr>
          <w:rFonts w:hint="default"/>
          <w:lang w:val="de-DE"/>
        </w:rPr>
      </w:pPr>
    </w:p>
    <w:p w14:paraId="0815593E">
      <w:pPr>
        <w:pStyle w:val="3"/>
        <w:spacing w:line="240" w:lineRule="auto"/>
        <w:rPr>
          <w:lang w:val="en-AU"/>
        </w:rPr>
      </w:pPr>
      <w:r>
        <w:rPr>
          <w:lang w:val="en-AU"/>
        </w:rPr>
        <w:t>Branding and Digital Presence</w:t>
      </w:r>
      <w:bookmarkEnd w:id="16"/>
    </w:p>
    <w:p w14:paraId="720E21A7">
      <w:pPr>
        <w:rPr>
          <w:lang w:val="en-AU"/>
        </w:rPr>
      </w:pPr>
    </w:p>
    <w:p w14:paraId="360D4B35">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Eco Adventures will be promoting a strong, modern, and green brand that is in line with our eco-friendly and pulse-pounding experiences. The branding strategy that we shall employ will have the following features as part of it:</w:t>
      </w:r>
    </w:p>
    <w:p w14:paraId="370B061F">
      <w:pPr>
        <w:pStyle w:val="16"/>
        <w:numPr>
          <w:ilvl w:val="0"/>
          <w:numId w:val="10"/>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A website in your eyes, as a place, is decorated vividly and with such spectacular virtual tours.</w:t>
      </w:r>
    </w:p>
    <w:p w14:paraId="3CF6B33F">
      <w:pPr>
        <w:pStyle w:val="16"/>
        <w:numPr>
          <w:ilvl w:val="0"/>
          <w:numId w:val="10"/>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All these platforms, such as Instagram, Facebook, and YouTube, jointly take part actively in social media usage and share types of content such as customer testimonials, behind-the-scenes content, and safety tips.</w:t>
      </w:r>
    </w:p>
    <w:p w14:paraId="5F474583">
      <w:pPr>
        <w:pStyle w:val="16"/>
        <w:numPr>
          <w:ilvl w:val="0"/>
          <w:numId w:val="10"/>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Team up with travel influencers as well as eco-tourism bloggers to give us more exposure and greater credibility</w:t>
      </w:r>
      <w:r>
        <w:rPr>
          <w:rFonts w:ascii="Helvetica" w:hAnsi="Helvetica" w:cs="Helvetica"/>
          <w:color w:val="000000"/>
        </w:rPr>
        <w:t xml:space="preserve"> (Buhalis &amp; Law, 2008)</w:t>
      </w:r>
      <w:r>
        <w:rPr>
          <w:rFonts w:ascii="Times New Roman" w:hAnsi="Times New Roman" w:cs="Times New Roman"/>
          <w:sz w:val="24"/>
          <w:szCs w:val="24"/>
          <w:lang w:val="en-AU"/>
        </w:rPr>
        <w:t>.</w:t>
      </w:r>
    </w:p>
    <w:p w14:paraId="4C429352">
      <w:pPr>
        <w:spacing w:line="480" w:lineRule="auto"/>
        <w:jc w:val="both"/>
        <w:rPr>
          <w:rFonts w:ascii="Times New Roman" w:hAnsi="Times New Roman" w:cs="Times New Roman"/>
          <w:sz w:val="24"/>
          <w:szCs w:val="24"/>
          <w:lang w:val="en-AU"/>
        </w:rPr>
      </w:pPr>
    </w:p>
    <w:p w14:paraId="311A9DBC">
      <w:pPr>
        <w:pStyle w:val="3"/>
        <w:rPr>
          <w:lang w:val="en-AU"/>
        </w:rPr>
      </w:pPr>
      <w:bookmarkStart w:id="17" w:name="_Toc193832758"/>
      <w:r>
        <w:rPr>
          <w:lang w:val="en-AU"/>
        </w:rPr>
        <w:t>Customer Acquisition and Promotional Plans</w:t>
      </w:r>
      <w:bookmarkEnd w:id="17"/>
    </w:p>
    <w:p w14:paraId="6522132E">
      <w:pPr>
        <w:spacing w:line="480" w:lineRule="auto"/>
        <w:jc w:val="both"/>
        <w:rPr>
          <w:rFonts w:ascii="Times New Roman" w:hAnsi="Times New Roman" w:cs="Times New Roman"/>
          <w:sz w:val="24"/>
          <w:szCs w:val="24"/>
          <w:lang w:val="en-AU"/>
        </w:rPr>
      </w:pPr>
    </w:p>
    <w:p w14:paraId="6746BC67">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Our customer acquisition strategy incorporates both digital and traditional marketing channels:</w:t>
      </w:r>
    </w:p>
    <w:p w14:paraId="1FB69C74">
      <w:pPr>
        <w:pStyle w:val="16"/>
        <w:numPr>
          <w:ilvl w:val="0"/>
          <w:numId w:val="11"/>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Search Engine Optimization (SEO):</w:t>
      </w:r>
      <w:r>
        <w:rPr>
          <w:rFonts w:ascii="Times New Roman" w:hAnsi="Times New Roman" w:cs="Times New Roman"/>
          <w:sz w:val="24"/>
          <w:szCs w:val="24"/>
          <w:lang w:val="en-AU"/>
        </w:rPr>
        <w:t xml:space="preserve"> Writing up the content of a website in such a way that it finds no other competitor than our tourism services in Germany for all kinds of tours.</w:t>
      </w:r>
    </w:p>
    <w:p w14:paraId="3B9CCA3C">
      <w:pPr>
        <w:pStyle w:val="16"/>
        <w:numPr>
          <w:ilvl w:val="0"/>
          <w:numId w:val="11"/>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Pay-Per-Click (PPC) Advertising:</w:t>
      </w:r>
      <w:r>
        <w:rPr>
          <w:rFonts w:ascii="Times New Roman" w:hAnsi="Times New Roman" w:cs="Times New Roman"/>
          <w:sz w:val="24"/>
          <w:szCs w:val="24"/>
          <w:lang w:val="en-AU"/>
        </w:rPr>
        <w:t xml:space="preserve"> Ulrich Weegena’s was awarded the "Special Mention" prize for his work in the field of nature photography by the National Geography Society back in 2004.</w:t>
      </w:r>
    </w:p>
    <w:p w14:paraId="09072D34">
      <w:pPr>
        <w:pStyle w:val="16"/>
        <w:numPr>
          <w:ilvl w:val="0"/>
          <w:numId w:val="11"/>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Content Marketing:</w:t>
      </w:r>
      <w:r>
        <w:rPr>
          <w:rFonts w:ascii="Times New Roman" w:hAnsi="Times New Roman" w:cs="Times New Roman"/>
          <w:sz w:val="24"/>
          <w:szCs w:val="24"/>
          <w:lang w:val="en-AU"/>
        </w:rPr>
        <w:t xml:space="preserve"> We constantly contribute fresh and quality content such as blogs, articles, and videos highlighting our unique services, eco-conscious operation, and secure travel to the website</w:t>
      </w:r>
      <w:r>
        <w:rPr>
          <w:rFonts w:ascii="Helvetica" w:hAnsi="Helvetica" w:cs="Helvetica"/>
          <w:color w:val="000000"/>
        </w:rPr>
        <w:t xml:space="preserve"> (Asscoiation &amp; Travel, 2013)</w:t>
      </w:r>
      <w:r>
        <w:rPr>
          <w:rFonts w:ascii="Times New Roman" w:hAnsi="Times New Roman" w:cs="Times New Roman"/>
          <w:sz w:val="24"/>
          <w:szCs w:val="24"/>
          <w:lang w:val="en-AU"/>
        </w:rPr>
        <w:t>.</w:t>
      </w:r>
    </w:p>
    <w:p w14:paraId="735DC95A">
      <w:pPr>
        <w:pStyle w:val="16"/>
        <w:numPr>
          <w:ilvl w:val="0"/>
          <w:numId w:val="11"/>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Partnerships:</w:t>
      </w:r>
      <w:r>
        <w:rPr>
          <w:rFonts w:ascii="Times New Roman" w:hAnsi="Times New Roman" w:cs="Times New Roman"/>
          <w:sz w:val="24"/>
          <w:szCs w:val="24"/>
          <w:lang w:val="en-AU"/>
        </w:rPr>
        <w:t xml:space="preserve"> Our Partnerships strategy is aimed at developing relationships with local travel agencies, hotels, and government tourism boards for tourism packages.</w:t>
      </w:r>
    </w:p>
    <w:p w14:paraId="70027B00">
      <w:pPr>
        <w:pStyle w:val="16"/>
        <w:numPr>
          <w:ilvl w:val="0"/>
          <w:numId w:val="11"/>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Promotional Offers:</w:t>
      </w:r>
      <w:r>
        <w:rPr>
          <w:rFonts w:ascii="Times New Roman" w:hAnsi="Times New Roman" w:cs="Times New Roman"/>
          <w:sz w:val="24"/>
          <w:szCs w:val="24"/>
          <w:lang w:val="en-AU"/>
        </w:rPr>
        <w:t xml:space="preserve"> To be able to increase the customer base, we are running "the start price" phase, offering 10% off on all services and hosting some bonuses such as for referrals</w:t>
      </w:r>
      <w:r>
        <w:rPr>
          <w:rFonts w:ascii="Helvetica" w:hAnsi="Helvetica" w:cs="Helvetica"/>
          <w:color w:val="000000"/>
        </w:rPr>
        <w:t xml:space="preserve"> (Asscoiation &amp; Travel, 2013)</w:t>
      </w:r>
      <w:r>
        <w:rPr>
          <w:rFonts w:ascii="Times New Roman" w:hAnsi="Times New Roman" w:cs="Times New Roman"/>
          <w:sz w:val="24"/>
          <w:szCs w:val="24"/>
          <w:lang w:val="en-AU"/>
        </w:rPr>
        <w:t>.</w:t>
      </w:r>
    </w:p>
    <w:p w14:paraId="2A35B233">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Table 5. Annual Marketing Budget Allocation (in Euro)</w:t>
      </w:r>
    </w:p>
    <w:p w14:paraId="1323EC34">
      <w:pPr>
        <w:spacing w:line="480" w:lineRule="auto"/>
        <w:jc w:val="both"/>
        <w:rPr>
          <w:rFonts w:ascii="Times New Roman" w:hAnsi="Times New Roman" w:cs="Times New Roman"/>
          <w:sz w:val="24"/>
          <w:szCs w:val="24"/>
          <w:lang w:val="en-AU"/>
        </w:rPr>
      </w:pPr>
      <w:r>
        <w:drawing>
          <wp:inline distT="0" distB="0" distL="0" distR="0">
            <wp:extent cx="4577715" cy="3270885"/>
            <wp:effectExtent l="0" t="0" r="19685"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4577715" cy="3270885"/>
                    </a:xfrm>
                    <a:prstGeom prst="rect">
                      <a:avLst/>
                    </a:prstGeom>
                    <a:noFill/>
                    <a:ln>
                      <a:noFill/>
                    </a:ln>
                  </pic:spPr>
                </pic:pic>
              </a:graphicData>
            </a:graphic>
          </wp:inline>
        </w:drawing>
      </w:r>
    </w:p>
    <w:p w14:paraId="6429399D">
      <w:pPr>
        <w:pStyle w:val="3"/>
        <w:rPr>
          <w:lang w:val="en-AU"/>
        </w:rPr>
      </w:pPr>
      <w:bookmarkStart w:id="18" w:name="_Toc193832759"/>
      <w:r>
        <w:rPr>
          <w:lang w:val="en-AU"/>
        </w:rPr>
        <w:t>Marketing Performance Metrics</w:t>
      </w:r>
      <w:bookmarkEnd w:id="18"/>
    </w:p>
    <w:p w14:paraId="35F2E3CC">
      <w:pPr>
        <w:rPr>
          <w:lang w:val="en-AU"/>
        </w:rPr>
      </w:pPr>
    </w:p>
    <w:p w14:paraId="1C943B1E">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We will be constantly monitoring the progress of our marketing campaigns using key performance indicators such as:</w:t>
      </w:r>
    </w:p>
    <w:p w14:paraId="7DACA3C5">
      <w:pPr>
        <w:pStyle w:val="16"/>
        <w:numPr>
          <w:ilvl w:val="0"/>
          <w:numId w:val="12"/>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Website Traffic and Conversion Rates:</w:t>
      </w:r>
      <w:r>
        <w:rPr>
          <w:rFonts w:ascii="Times New Roman" w:hAnsi="Times New Roman" w:cs="Times New Roman"/>
          <w:sz w:val="24"/>
          <w:szCs w:val="24"/>
          <w:lang w:val="en-AU"/>
        </w:rPr>
        <w:t xml:space="preserve"> Regularly check the traffic to the website and the number of online bookings that were made by the visitors.</w:t>
      </w:r>
    </w:p>
    <w:p w14:paraId="6313AD68">
      <w:pPr>
        <w:pStyle w:val="16"/>
        <w:numPr>
          <w:ilvl w:val="0"/>
          <w:numId w:val="12"/>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Customer Acquisition Cost (CAC):</w:t>
      </w:r>
      <w:r>
        <w:rPr>
          <w:rFonts w:ascii="Times New Roman" w:hAnsi="Times New Roman" w:cs="Times New Roman"/>
          <w:sz w:val="24"/>
          <w:szCs w:val="24"/>
          <w:lang w:val="en-AU"/>
        </w:rPr>
        <w:t xml:space="preserve"> Finding out the average amount that had been spent on marketing to acquire the new customer.</w:t>
      </w:r>
    </w:p>
    <w:p w14:paraId="04F05DE7">
      <w:pPr>
        <w:pStyle w:val="16"/>
        <w:numPr>
          <w:ilvl w:val="0"/>
          <w:numId w:val="12"/>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Return on Investment (ROI):</w:t>
      </w:r>
      <w:r>
        <w:rPr>
          <w:rFonts w:ascii="Times New Roman" w:hAnsi="Times New Roman" w:cs="Times New Roman"/>
          <w:sz w:val="24"/>
          <w:szCs w:val="24"/>
          <w:lang w:val="en-AU"/>
        </w:rPr>
        <w:t xml:space="preserve"> Assessing the total revenue growth due to marketing costs to determine the return on investment.</w:t>
      </w:r>
    </w:p>
    <w:p w14:paraId="144F28B5">
      <w:pPr>
        <w:pStyle w:val="16"/>
        <w:numPr>
          <w:ilvl w:val="0"/>
          <w:numId w:val="12"/>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Social Engagement:</w:t>
      </w:r>
      <w:r>
        <w:rPr>
          <w:rFonts w:ascii="Times New Roman" w:hAnsi="Times New Roman" w:cs="Times New Roman"/>
          <w:sz w:val="24"/>
          <w:szCs w:val="24"/>
          <w:lang w:val="en-AU"/>
        </w:rPr>
        <w:t xml:space="preserve"> Seeing the reaction, the content that was produced got from the fans or their friends. Also, how many of them were influenced</w:t>
      </w:r>
      <w:r>
        <w:rPr>
          <w:rFonts w:ascii="Helvetica" w:hAnsi="Helvetica" w:cs="Helvetica"/>
          <w:color w:val="000000"/>
        </w:rPr>
        <w:t xml:space="preserve"> (Asscoiation &amp; Travel, 2013)</w:t>
      </w:r>
      <w:r>
        <w:rPr>
          <w:rFonts w:ascii="Times New Roman" w:hAnsi="Times New Roman" w:cs="Times New Roman"/>
          <w:sz w:val="24"/>
          <w:szCs w:val="24"/>
          <w:lang w:val="en-AU"/>
        </w:rPr>
        <w:t>.</w:t>
      </w:r>
    </w:p>
    <w:p w14:paraId="1F50D84B">
      <w:pPr>
        <w:pStyle w:val="2"/>
        <w:rPr>
          <w:lang w:val="en-AU"/>
        </w:rPr>
      </w:pPr>
      <w:bookmarkStart w:id="19" w:name="_Toc193832760"/>
      <w:r>
        <w:rPr>
          <w:lang w:val="en-AU"/>
        </w:rPr>
        <w:t>Financial Plan</w:t>
      </w:r>
      <w:bookmarkEnd w:id="19"/>
    </w:p>
    <w:p w14:paraId="4FBF3469">
      <w:pPr>
        <w:rPr>
          <w:lang w:val="en-AU"/>
        </w:rPr>
      </w:pPr>
    </w:p>
    <w:p w14:paraId="71A82DA1">
      <w:pPr>
        <w:spacing w:line="480" w:lineRule="auto"/>
        <w:jc w:val="both"/>
        <w:rPr>
          <w:rFonts w:ascii="Times New Roman" w:hAnsi="Times New Roman" w:cs="Times New Roman"/>
          <w:b/>
          <w:bCs/>
          <w:sz w:val="24"/>
          <w:szCs w:val="24"/>
          <w:lang w:val="en-AU"/>
        </w:rPr>
      </w:pPr>
      <w:r>
        <w:rPr>
          <w:rFonts w:ascii="Times New Roman" w:hAnsi="Times New Roman" w:cs="Times New Roman"/>
          <w:b/>
          <w:bCs/>
          <w:sz w:val="24"/>
          <w:szCs w:val="24"/>
          <w:lang w:val="en-AU"/>
        </w:rPr>
        <w:t>Start-Up Costs and Capital Expenditure (in Euro)</w:t>
      </w:r>
    </w:p>
    <w:p w14:paraId="5BEB7BCA">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Eco Adventures entails the initial investment that encompasses the costs of the facilities, the technology, the equipment, and the marketing</w:t>
      </w:r>
      <w:r>
        <w:rPr>
          <w:rFonts w:ascii="Helvetica" w:hAnsi="Helvetica" w:cs="Helvetica"/>
          <w:color w:val="000000"/>
        </w:rPr>
        <w:t xml:space="preserve"> (Asscoiation &amp; Travel, 2013)</w:t>
      </w:r>
      <w:r>
        <w:rPr>
          <w:rFonts w:ascii="Times New Roman" w:hAnsi="Times New Roman" w:cs="Times New Roman"/>
          <w:sz w:val="24"/>
          <w:szCs w:val="24"/>
          <w:lang w:val="en-AU"/>
        </w:rPr>
        <w:t>. The following is a breakdown of estimated start-up costs:</w:t>
      </w:r>
    </w:p>
    <w:p w14:paraId="73F8C96C">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Table 6. Estimated Start-Up Costs (in Euro)</w:t>
      </w:r>
    </w:p>
    <w:p w14:paraId="7C5B13C6">
      <w:pPr>
        <w:spacing w:line="480" w:lineRule="auto"/>
        <w:jc w:val="both"/>
        <w:rPr>
          <w:rFonts w:ascii="Times New Roman" w:hAnsi="Times New Roman" w:cs="Times New Roman"/>
          <w:sz w:val="24"/>
          <w:szCs w:val="24"/>
          <w:lang w:val="en-AU"/>
        </w:rPr>
      </w:pPr>
      <w:r>
        <w:drawing>
          <wp:inline distT="0" distB="0" distL="0" distR="0">
            <wp:extent cx="5453380" cy="3386455"/>
            <wp:effectExtent l="0" t="0" r="7620" b="171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5453380" cy="3386455"/>
                    </a:xfrm>
                    <a:prstGeom prst="rect">
                      <a:avLst/>
                    </a:prstGeom>
                    <a:noFill/>
                    <a:ln>
                      <a:noFill/>
                    </a:ln>
                  </pic:spPr>
                </pic:pic>
              </a:graphicData>
            </a:graphic>
          </wp:inline>
        </w:drawing>
      </w:r>
    </w:p>
    <w:p w14:paraId="4D127D7A">
      <w:pPr>
        <w:spacing w:line="480" w:lineRule="auto"/>
        <w:jc w:val="both"/>
        <w:rPr>
          <w:rFonts w:ascii="Times New Roman" w:hAnsi="Times New Roman" w:cs="Times New Roman"/>
          <w:b/>
          <w:bCs/>
          <w:sz w:val="24"/>
          <w:szCs w:val="24"/>
          <w:lang w:val="en-AU"/>
        </w:rPr>
      </w:pPr>
      <w:r>
        <w:rPr>
          <w:rFonts w:ascii="Times New Roman" w:hAnsi="Times New Roman" w:cs="Times New Roman"/>
          <w:b/>
          <w:bCs/>
          <w:sz w:val="24"/>
          <w:szCs w:val="24"/>
          <w:lang w:val="en-AU"/>
        </w:rPr>
        <w:t>Revenue Forecast and Detailed Calculations (in Euro)</w:t>
      </w:r>
    </w:p>
    <w:p w14:paraId="5964968C">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After we had analysed the market, we came up with our revenue forecast by evaluating our market share within the German adventure tourism market and using our pricing strategy. For example, if in 2025 we plan to have 0.50% of a market worth €10,500 million, the revenue calculation is as follows:</w:t>
      </w:r>
    </w:p>
    <w:p w14:paraId="02F061EA">
      <w:pPr>
        <w:spacing w:line="480" w:lineRule="auto"/>
        <w:jc w:val="both"/>
        <w:rPr>
          <w:rFonts w:ascii="Times New Roman" w:hAnsi="Times New Roman" w:cs="Times New Roman"/>
          <w:b/>
          <w:bCs/>
          <w:sz w:val="24"/>
          <w:szCs w:val="24"/>
          <w:lang w:val="en-AU"/>
        </w:rPr>
      </w:pPr>
      <w:r>
        <w:rPr>
          <w:rFonts w:ascii="Times New Roman" w:hAnsi="Times New Roman" w:cs="Times New Roman"/>
          <w:b/>
          <w:bCs/>
          <w:sz w:val="24"/>
          <w:szCs w:val="24"/>
          <w:lang w:val="en-AU"/>
        </w:rPr>
        <w:t>Revenue (2025) =10,500 million×0.005 = 52.5million Euro</w:t>
      </w:r>
    </w:p>
    <w:p w14:paraId="5AE8F472">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Successive years witnessed a gain in market share owing to increased customer realization of the company.</w:t>
      </w:r>
    </w:p>
    <w:p w14:paraId="35F69A3A">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Table 7. Revenue Forecast for Eco Adventures (2025–2030, in Million Euro)</w:t>
      </w:r>
    </w:p>
    <w:p w14:paraId="334856A3">
      <w:pPr>
        <w:spacing w:line="480" w:lineRule="auto"/>
        <w:jc w:val="both"/>
        <w:rPr>
          <w:rFonts w:ascii="Times New Roman" w:hAnsi="Times New Roman" w:cs="Times New Roman"/>
          <w:sz w:val="24"/>
          <w:szCs w:val="24"/>
          <w:lang w:val="en-AU"/>
        </w:rPr>
      </w:pPr>
      <w:r>
        <w:drawing>
          <wp:inline distT="0" distB="0" distL="0" distR="0">
            <wp:extent cx="4368165" cy="2254885"/>
            <wp:effectExtent l="0" t="0" r="635"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4368165" cy="2254885"/>
                    </a:xfrm>
                    <a:prstGeom prst="rect">
                      <a:avLst/>
                    </a:prstGeom>
                    <a:noFill/>
                    <a:ln>
                      <a:noFill/>
                    </a:ln>
                  </pic:spPr>
                </pic:pic>
              </a:graphicData>
            </a:graphic>
          </wp:inline>
        </w:drawing>
      </w:r>
    </w:p>
    <w:p w14:paraId="74AB1809">
      <w:pPr>
        <w:pStyle w:val="3"/>
        <w:rPr>
          <w:lang w:val="en-AU"/>
        </w:rPr>
      </w:pPr>
      <w:bookmarkStart w:id="20" w:name="_Toc193832761"/>
      <w:r>
        <w:rPr>
          <w:lang w:val="en-AU"/>
        </w:rPr>
        <w:t>Profit &amp; Loss, Cash Flow Analysis, and Break-Even Point</w:t>
      </w:r>
      <w:bookmarkEnd w:id="20"/>
    </w:p>
    <w:p w14:paraId="25230F86">
      <w:pPr>
        <w:rPr>
          <w:lang w:val="en-AU"/>
        </w:rPr>
      </w:pPr>
    </w:p>
    <w:p w14:paraId="62C60329">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We look forward to making Eco Adventures reach the break-even point in Year 3. Our financial model is projected with a gross profit margin of 60% and a net profit margin of 15% in Year 3, as we grow our operations and get the related business through repeat brand recognition marketing</w:t>
      </w:r>
    </w:p>
    <w:p w14:paraId="61741954">
      <w:pPr>
        <w:spacing w:line="480" w:lineRule="auto"/>
        <w:jc w:val="both"/>
        <w:rPr>
          <w:rFonts w:ascii="Times New Roman" w:hAnsi="Times New Roman" w:cs="Times New Roman"/>
          <w:b/>
          <w:bCs/>
          <w:sz w:val="24"/>
          <w:szCs w:val="24"/>
          <w:lang w:val="en-AU"/>
        </w:rPr>
      </w:pPr>
      <w:r>
        <w:rPr>
          <w:rFonts w:ascii="Times New Roman" w:hAnsi="Times New Roman" w:cs="Times New Roman"/>
          <w:b/>
          <w:bCs/>
          <w:sz w:val="24"/>
          <w:szCs w:val="24"/>
          <w:lang w:val="en-AU"/>
        </w:rPr>
        <w:t>Break-Even Calculation Example (in Euro):</w:t>
      </w:r>
    </w:p>
    <w:p w14:paraId="3DFC98C3">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Suppose fixed costs (TFC) during the year amount to €135,000.</w:t>
      </w:r>
    </w:p>
    <w:p w14:paraId="1E7D443D">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Assuming the average contribution margin per package is €185 then:</w:t>
      </w:r>
    </w:p>
    <w:p w14:paraId="46AF9201">
      <w:pPr>
        <w:spacing w:line="480" w:lineRule="auto"/>
        <w:jc w:val="both"/>
        <w:rPr>
          <w:rFonts w:ascii="Times New Roman" w:hAnsi="Times New Roman" w:cs="Times New Roman"/>
          <w:b/>
          <w:bCs/>
          <w:sz w:val="24"/>
          <w:szCs w:val="24"/>
          <w:lang w:val="en-AU"/>
        </w:rPr>
      </w:pPr>
      <w:r>
        <w:rPr>
          <w:rFonts w:ascii="Times New Roman" w:hAnsi="Times New Roman" w:cs="Times New Roman"/>
          <w:b/>
          <w:bCs/>
          <w:sz w:val="24"/>
          <w:szCs w:val="24"/>
          <w:lang w:val="en-AU"/>
        </w:rPr>
        <w:t>Break-Even Volume (packages) =   135,000/185 =    730packages per year</w:t>
      </w:r>
    </w:p>
    <w:p w14:paraId="588112E5">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This results in most 61 packages per month, which is quite easily achievable ness with our envisaged marketing endeavours.</w:t>
      </w:r>
    </w:p>
    <w:p w14:paraId="6ABEAF8F">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Table 8. Simplified Annual Cash Flow Projection (2025-2027, in Million Euro)</w:t>
      </w:r>
    </w:p>
    <w:p w14:paraId="381B6623">
      <w:pPr>
        <w:spacing w:line="480" w:lineRule="auto"/>
        <w:jc w:val="both"/>
        <w:rPr>
          <w:rFonts w:ascii="Times New Roman" w:hAnsi="Times New Roman" w:cs="Times New Roman"/>
          <w:sz w:val="24"/>
          <w:szCs w:val="24"/>
          <w:lang w:val="en-AU"/>
        </w:rPr>
      </w:pPr>
      <w:r>
        <w:drawing>
          <wp:inline distT="0" distB="0" distL="0" distR="0">
            <wp:extent cx="4357370" cy="1530350"/>
            <wp:effectExtent l="0" t="0" r="11430" b="190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4357370" cy="1530350"/>
                    </a:xfrm>
                    <a:prstGeom prst="rect">
                      <a:avLst/>
                    </a:prstGeom>
                    <a:noFill/>
                    <a:ln>
                      <a:noFill/>
                    </a:ln>
                  </pic:spPr>
                </pic:pic>
              </a:graphicData>
            </a:graphic>
          </wp:inline>
        </w:drawing>
      </w:r>
    </w:p>
    <w:p w14:paraId="0E2A25F5">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According to these a simplified forecast, in the short run Eco Adventures fragile initial operations will produce a small cash deficit. However, in the second year, the cash inflow will become positive, and profit will thus be achieved.</w:t>
      </w:r>
    </w:p>
    <w:p w14:paraId="01FEE84C">
      <w:pPr>
        <w:pStyle w:val="3"/>
        <w:rPr>
          <w:lang w:val="en-AU"/>
        </w:rPr>
      </w:pPr>
      <w:bookmarkStart w:id="21" w:name="_Toc193832762"/>
      <w:r>
        <w:rPr>
          <w:lang w:val="en-AU"/>
        </w:rPr>
        <w:t>Financial Risk Analysis</w:t>
      </w:r>
      <w:bookmarkEnd w:id="21"/>
    </w:p>
    <w:p w14:paraId="1216BEBF">
      <w:pPr>
        <w:rPr>
          <w:lang w:val="en-AU"/>
        </w:rPr>
      </w:pPr>
    </w:p>
    <w:p w14:paraId="2B22593E">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Key financial risks may consist of the potential inability to achieve the envisaged market share, the fluctuation of the operational costs and the unexpected regulatory changes. Eco Adventures will counter these risks by having a contingency fund in place, conducting regular financial reviews and offering various product lines and services</w:t>
      </w:r>
      <w:r>
        <w:rPr>
          <w:rFonts w:ascii="Helvetica" w:hAnsi="Helvetica" w:cs="Helvetica"/>
          <w:color w:val="000000"/>
        </w:rPr>
        <w:t xml:space="preserve"> (Mawarni et al., 2022)</w:t>
      </w:r>
      <w:r>
        <w:rPr>
          <w:rFonts w:ascii="Times New Roman" w:hAnsi="Times New Roman" w:cs="Times New Roman"/>
          <w:sz w:val="24"/>
          <w:szCs w:val="24"/>
          <w:lang w:val="en-AU"/>
        </w:rPr>
        <w:t>.</w:t>
      </w:r>
    </w:p>
    <w:p w14:paraId="5FC66AC1">
      <w:pPr>
        <w:pStyle w:val="2"/>
        <w:rPr>
          <w:lang w:val="en-AU"/>
        </w:rPr>
      </w:pPr>
      <w:bookmarkStart w:id="22" w:name="_Toc193832763"/>
      <w:r>
        <w:rPr>
          <w:lang w:val="en-AU"/>
        </w:rPr>
        <w:t>Risk Management</w:t>
      </w:r>
      <w:bookmarkEnd w:id="22"/>
    </w:p>
    <w:p w14:paraId="5BA34646">
      <w:pPr>
        <w:rPr>
          <w:lang w:val="en-AU"/>
        </w:rPr>
      </w:pPr>
    </w:p>
    <w:p w14:paraId="59FA46AD">
      <w:pPr>
        <w:pStyle w:val="3"/>
        <w:rPr>
          <w:lang w:val="en-AU"/>
        </w:rPr>
      </w:pPr>
      <w:bookmarkStart w:id="23" w:name="_Toc193832764"/>
      <w:r>
        <w:rPr>
          <w:lang w:val="en-AU"/>
        </w:rPr>
        <w:t>Identification of Key Risks</w:t>
      </w:r>
      <w:bookmarkEnd w:id="23"/>
    </w:p>
    <w:p w14:paraId="24C2B28E">
      <w:pPr>
        <w:rPr>
          <w:lang w:val="en-AU"/>
        </w:rPr>
      </w:pPr>
    </w:p>
    <w:p w14:paraId="71764F82">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Eco Adventures has isolated several potential risks:</w:t>
      </w:r>
    </w:p>
    <w:p w14:paraId="62D5274F">
      <w:pPr>
        <w:pStyle w:val="16"/>
        <w:numPr>
          <w:ilvl w:val="0"/>
          <w:numId w:val="13"/>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Security Risks:</w:t>
      </w:r>
      <w:r>
        <w:rPr>
          <w:rFonts w:ascii="Times New Roman" w:hAnsi="Times New Roman" w:cs="Times New Roman"/>
          <w:sz w:val="24"/>
          <w:szCs w:val="24"/>
          <w:lang w:val="en-AU"/>
        </w:rPr>
        <w:t xml:space="preserve"> The risks usually, of death or severe injuries when going through an adventure park may be the reasons for the accidents.</w:t>
      </w:r>
    </w:p>
    <w:p w14:paraId="2651EFEC">
      <w:pPr>
        <w:pStyle w:val="16"/>
        <w:numPr>
          <w:ilvl w:val="0"/>
          <w:numId w:val="13"/>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Whether-Related Risks:</w:t>
      </w:r>
      <w:r>
        <w:rPr>
          <w:rFonts w:ascii="Times New Roman" w:hAnsi="Times New Roman" w:cs="Times New Roman"/>
          <w:sz w:val="24"/>
          <w:szCs w:val="24"/>
          <w:lang w:val="en-AU"/>
        </w:rPr>
        <w:t xml:space="preserve"> The activities carried out (e.g. by Eco Adventures) outside are at risk due to such things as rain or snow.</w:t>
      </w:r>
    </w:p>
    <w:p w14:paraId="306DEBA1">
      <w:pPr>
        <w:pStyle w:val="16"/>
        <w:numPr>
          <w:ilvl w:val="0"/>
          <w:numId w:val="13"/>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Regulatory Risks:</w:t>
      </w:r>
      <w:r>
        <w:rPr>
          <w:rFonts w:ascii="Times New Roman" w:hAnsi="Times New Roman" w:cs="Times New Roman"/>
          <w:sz w:val="24"/>
          <w:szCs w:val="24"/>
          <w:lang w:val="en-AU"/>
        </w:rPr>
        <w:t xml:space="preserve"> There may be changes in local tourism or safety regulations, which may have a significant impact on the whole of the industry</w:t>
      </w:r>
      <w:r>
        <w:rPr>
          <w:rFonts w:ascii="Helvetica" w:hAnsi="Helvetica" w:cs="Helvetica"/>
          <w:color w:val="000000"/>
        </w:rPr>
        <w:t xml:space="preserve"> (Law et al., 2020)</w:t>
      </w:r>
      <w:r>
        <w:rPr>
          <w:rFonts w:ascii="Times New Roman" w:hAnsi="Times New Roman" w:cs="Times New Roman"/>
          <w:sz w:val="24"/>
          <w:szCs w:val="24"/>
          <w:lang w:val="en-AU"/>
        </w:rPr>
        <w:t>.</w:t>
      </w:r>
    </w:p>
    <w:p w14:paraId="03F5507D">
      <w:pPr>
        <w:pStyle w:val="16"/>
        <w:numPr>
          <w:ilvl w:val="0"/>
          <w:numId w:val="13"/>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Market Risks:</w:t>
      </w:r>
      <w:r>
        <w:rPr>
          <w:rFonts w:ascii="Times New Roman" w:hAnsi="Times New Roman" w:cs="Times New Roman"/>
          <w:sz w:val="24"/>
          <w:szCs w:val="24"/>
          <w:lang w:val="en-AU"/>
        </w:rPr>
        <w:t xml:space="preserve"> The possibility of the reduction of spending habits driving the industry in the entertainment sector due to the economic recession.</w:t>
      </w:r>
    </w:p>
    <w:p w14:paraId="751D8C72">
      <w:pPr>
        <w:pStyle w:val="16"/>
        <w:numPr>
          <w:ilvl w:val="0"/>
          <w:numId w:val="13"/>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Technology Risks</w:t>
      </w:r>
      <w:r>
        <w:rPr>
          <w:rFonts w:ascii="Times New Roman" w:hAnsi="Times New Roman" w:cs="Times New Roman"/>
          <w:sz w:val="24"/>
          <w:szCs w:val="24"/>
          <w:lang w:val="en-AU"/>
        </w:rPr>
        <w:t>: The digital booking system failure or breaches in computer security.</w:t>
      </w:r>
    </w:p>
    <w:p w14:paraId="09A1E4BB">
      <w:pPr>
        <w:pStyle w:val="3"/>
        <w:rPr>
          <w:lang w:val="en-AU"/>
        </w:rPr>
      </w:pPr>
      <w:bookmarkStart w:id="24" w:name="_Toc193832765"/>
      <w:r>
        <w:rPr>
          <w:lang w:val="en-AU"/>
        </w:rPr>
        <w:t>Mitigation Strategies</w:t>
      </w:r>
      <w:bookmarkEnd w:id="24"/>
    </w:p>
    <w:p w14:paraId="74DE5227">
      <w:pPr>
        <w:rPr>
          <w:lang w:val="en-AU"/>
        </w:rPr>
      </w:pPr>
    </w:p>
    <w:p w14:paraId="22D0A264">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To hedge these risks, the following solutions will be integrated:</w:t>
      </w:r>
    </w:p>
    <w:p w14:paraId="38F2A29B">
      <w:pPr>
        <w:pStyle w:val="16"/>
        <w:numPr>
          <w:ilvl w:val="0"/>
          <w:numId w:val="14"/>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Heightened Safety Procedures:</w:t>
      </w:r>
      <w:r>
        <w:rPr>
          <w:rFonts w:ascii="Times New Roman" w:hAnsi="Times New Roman" w:cs="Times New Roman"/>
          <w:sz w:val="24"/>
          <w:szCs w:val="24"/>
          <w:lang w:val="en-AU"/>
        </w:rPr>
        <w:t xml:space="preserve"> All adventure programs will be conducted by the industrial international standards of safety, including regular check-ups of equipment as well as safety training.</w:t>
      </w:r>
    </w:p>
    <w:p w14:paraId="4F54EAB3">
      <w:pPr>
        <w:pStyle w:val="16"/>
        <w:numPr>
          <w:ilvl w:val="0"/>
          <w:numId w:val="14"/>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Weather Contingency Planning:</w:t>
      </w:r>
      <w:r>
        <w:rPr>
          <w:rFonts w:ascii="Times New Roman" w:hAnsi="Times New Roman" w:cs="Times New Roman"/>
          <w:sz w:val="24"/>
          <w:szCs w:val="24"/>
          <w:lang w:val="en-AU"/>
        </w:rPr>
        <w:t xml:space="preserve"> These alternative indoor activities will include flexible itineraries and the possibility of having simulated experiences if weather conditions are bad.</w:t>
      </w:r>
    </w:p>
    <w:p w14:paraId="07BCBF6E">
      <w:pPr>
        <w:pStyle w:val="16"/>
        <w:numPr>
          <w:ilvl w:val="0"/>
          <w:numId w:val="14"/>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Regulatory Compliance:</w:t>
      </w:r>
      <w:r>
        <w:rPr>
          <w:rFonts w:ascii="Times New Roman" w:hAnsi="Times New Roman" w:cs="Times New Roman"/>
          <w:sz w:val="24"/>
          <w:szCs w:val="24"/>
          <w:lang w:val="en-AU"/>
        </w:rPr>
        <w:t xml:space="preserve"> Create a distinct team that will be responsible for monitoring and adjusting legal changes as well as for operations accordingly.</w:t>
      </w:r>
    </w:p>
    <w:p w14:paraId="6F088FBD">
      <w:pPr>
        <w:pStyle w:val="16"/>
        <w:numPr>
          <w:ilvl w:val="0"/>
          <w:numId w:val="14"/>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Diversification:</w:t>
      </w:r>
      <w:r>
        <w:rPr>
          <w:rFonts w:ascii="Times New Roman" w:hAnsi="Times New Roman" w:cs="Times New Roman"/>
          <w:sz w:val="24"/>
          <w:szCs w:val="24"/>
          <w:lang w:val="en-AU"/>
        </w:rPr>
        <w:t xml:space="preserve"> In order to have a range of product options from which customers may choose their preferred packages and thus ensure revenue even in economic downturns, let's broaden the range of products in our product portfolio</w:t>
      </w:r>
      <w:r>
        <w:rPr>
          <w:rFonts w:ascii="Helvetica" w:hAnsi="Helvetica" w:cs="Helvetica"/>
          <w:color w:val="000000"/>
        </w:rPr>
        <w:t xml:space="preserve"> (Hausmann, 2007)</w:t>
      </w:r>
      <w:r>
        <w:rPr>
          <w:rFonts w:ascii="Times New Roman" w:hAnsi="Times New Roman" w:cs="Times New Roman"/>
          <w:sz w:val="24"/>
          <w:szCs w:val="24"/>
          <w:lang w:val="en-AU"/>
        </w:rPr>
        <w:t>.</w:t>
      </w:r>
    </w:p>
    <w:p w14:paraId="475552E6">
      <w:pPr>
        <w:pStyle w:val="16"/>
        <w:numPr>
          <w:ilvl w:val="0"/>
          <w:numId w:val="14"/>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Robust IT Infrastructure:</w:t>
      </w:r>
      <w:r>
        <w:rPr>
          <w:rFonts w:ascii="Times New Roman" w:hAnsi="Times New Roman" w:cs="Times New Roman"/>
          <w:sz w:val="24"/>
          <w:szCs w:val="24"/>
          <w:lang w:val="en-AU"/>
        </w:rPr>
        <w:t xml:space="preserve"> Cybersecurity, as well as, regular data backups, and maintenance of systems, as well as, updates for this technology-related risk to be minimized are the areas in which we are going to invest.</w:t>
      </w:r>
    </w:p>
    <w:p w14:paraId="2F5A103B">
      <w:pPr>
        <w:pStyle w:val="2"/>
        <w:rPr>
          <w:lang w:val="en-AU"/>
        </w:rPr>
      </w:pPr>
      <w:bookmarkStart w:id="25" w:name="_Toc193832766"/>
      <w:r>
        <w:rPr>
          <w:lang w:val="en-AU"/>
        </w:rPr>
        <w:t>Sustainability Strategy</w:t>
      </w:r>
      <w:bookmarkEnd w:id="25"/>
    </w:p>
    <w:p w14:paraId="4DA0A4EA">
      <w:pPr>
        <w:rPr>
          <w:lang w:val="en-AU"/>
        </w:rPr>
      </w:pPr>
    </w:p>
    <w:p w14:paraId="442CFE77">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Eco Adventures is built on a strong foundation of sustainable tourism. To minimize our environmental impact, our sustainability strategy is carefully designed while promoting local community development in the local area. This is exemplary of a situation whereby the ecosystems of the surrounding areas require the skills and the proper management of the residents to flourish both with the business and the environment. The approach will ideally consist of environmental protection practices, social and economic measures, and important technological advances, each of which will serve as a vitally important element in the success of the long-term vision of the company</w:t>
      </w:r>
      <w:r>
        <w:rPr>
          <w:rFonts w:ascii="Helvetica" w:hAnsi="Helvetica" w:cs="Helvetica"/>
          <w:color w:val="000000"/>
        </w:rPr>
        <w:t xml:space="preserve"> (Hausmann, 2007)</w:t>
      </w:r>
      <w:r>
        <w:rPr>
          <w:rFonts w:ascii="Times New Roman" w:hAnsi="Times New Roman" w:cs="Times New Roman"/>
          <w:sz w:val="24"/>
          <w:szCs w:val="24"/>
          <w:lang w:val="en-AU"/>
        </w:rPr>
        <w:t>.</w:t>
      </w:r>
    </w:p>
    <w:p w14:paraId="0D2AFE5D">
      <w:pPr>
        <w:pStyle w:val="3"/>
        <w:rPr>
          <w:lang w:val="en-AU"/>
        </w:rPr>
      </w:pPr>
      <w:bookmarkStart w:id="26" w:name="_Toc193832767"/>
      <w:r>
        <w:rPr>
          <w:lang w:val="en-AU"/>
        </w:rPr>
        <w:t>Environmental Practices</w:t>
      </w:r>
      <w:bookmarkEnd w:id="26"/>
    </w:p>
    <w:p w14:paraId="456CF52D">
      <w:pPr>
        <w:spacing w:line="480" w:lineRule="auto"/>
        <w:jc w:val="both"/>
        <w:rPr>
          <w:rFonts w:ascii="Times New Roman" w:hAnsi="Times New Roman" w:cs="Times New Roman"/>
          <w:sz w:val="24"/>
          <w:szCs w:val="24"/>
          <w:lang w:val="en-AU"/>
        </w:rPr>
      </w:pPr>
    </w:p>
    <w:p w14:paraId="0BFB4C83">
      <w:pPr>
        <w:pStyle w:val="16"/>
        <w:numPr>
          <w:ilvl w:val="0"/>
          <w:numId w:val="15"/>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Our strategy is mainly powered by the renewable energy and eco-efficient operational system that is the foundation of this project. Such elements that are linked to the sustainability and energy efficiency of our project give us the privilege of placing headquarters and operational hubs equipped with sustainable power sources like solar panels and, whenever it is possible, wind turbines. </w:t>
      </w:r>
    </w:p>
    <w:p w14:paraId="00068C74">
      <w:pPr>
        <w:pStyle w:val="16"/>
        <w:numPr>
          <w:ilvl w:val="0"/>
          <w:numId w:val="15"/>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Meanwhile, we anticipate that our central office will be installed with a 30-kW solar array that will drastically reduce our energy costs and carbon footprints. This initiative is part of our broader effort to be a model of energy transition in the tourism sector, as we move away from non-renewable sources</w:t>
      </w:r>
      <w:r>
        <w:rPr>
          <w:rFonts w:ascii="Helvetica" w:hAnsi="Helvetica" w:cs="Helvetica"/>
          <w:color w:val="000000"/>
        </w:rPr>
        <w:t xml:space="preserve"> (Hausmann, 2007)</w:t>
      </w:r>
      <w:r>
        <w:rPr>
          <w:rFonts w:ascii="Times New Roman" w:hAnsi="Times New Roman" w:cs="Times New Roman"/>
          <w:sz w:val="24"/>
          <w:szCs w:val="24"/>
          <w:lang w:val="en-AU"/>
        </w:rPr>
        <w:t>.</w:t>
      </w:r>
    </w:p>
    <w:p w14:paraId="1646EE19">
      <w:pPr>
        <w:spacing w:line="480" w:lineRule="auto"/>
        <w:jc w:val="both"/>
        <w:rPr>
          <w:rFonts w:ascii="Times New Roman" w:hAnsi="Times New Roman" w:cs="Times New Roman"/>
          <w:sz w:val="24"/>
          <w:szCs w:val="24"/>
          <w:lang w:val="en-AU"/>
        </w:rPr>
      </w:pPr>
    </w:p>
    <w:p w14:paraId="4FDE84B9">
      <w:pPr>
        <w:pStyle w:val="16"/>
        <w:numPr>
          <w:ilvl w:val="0"/>
          <w:numId w:val="15"/>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In the inextricable connection to renewable energy, we are buying only eco-friendly adventure equipment. To ensure that our gear not only is sustainable but also supports a circle of economic processes, we cooperate with suppliers who observe those environmental standards</w:t>
      </w:r>
      <w:r>
        <w:rPr>
          <w:rFonts w:ascii="Helvetica" w:hAnsi="Helvetica" w:cs="Helvetica"/>
          <w:color w:val="000000"/>
        </w:rPr>
        <w:t xml:space="preserve"> (Giorgi, 2024)</w:t>
      </w:r>
      <w:r>
        <w:rPr>
          <w:rFonts w:ascii="Times New Roman" w:hAnsi="Times New Roman" w:cs="Times New Roman"/>
          <w:sz w:val="24"/>
          <w:szCs w:val="24"/>
          <w:lang w:val="en-AU"/>
        </w:rPr>
        <w:t>. Furthermore, our waste management strategies incorporate efficient, broad-ranging recycling programs and digitally managed paperless documentation systems that are tailored to lower our total environmental impact even further. By doing this, we are making sure to mention that one trip spent on our travelling business-operations in the future will not bring any waste because of the proper sustainability standards. The kids from the nearby villages will be guided by the locals on such clean ways of living and the ways of cleaning up the environment that will help all the living beings around them, instead of harming those organisms.</w:t>
      </w:r>
    </w:p>
    <w:p w14:paraId="26968A92">
      <w:pPr>
        <w:pStyle w:val="3"/>
        <w:rPr>
          <w:lang w:val="en-AU"/>
        </w:rPr>
      </w:pPr>
      <w:bookmarkStart w:id="27" w:name="_Toc193832768"/>
      <w:r>
        <w:rPr>
          <w:lang w:val="en-AU"/>
        </w:rPr>
        <w:t>Social and Economic Sustainability</w:t>
      </w:r>
      <w:bookmarkEnd w:id="27"/>
    </w:p>
    <w:p w14:paraId="784EC2F3">
      <w:pPr>
        <w:spacing w:line="480" w:lineRule="auto"/>
        <w:jc w:val="both"/>
        <w:rPr>
          <w:rFonts w:ascii="Times New Roman" w:hAnsi="Times New Roman" w:cs="Times New Roman"/>
          <w:sz w:val="24"/>
          <w:szCs w:val="24"/>
          <w:lang w:val="en-AU"/>
        </w:rPr>
      </w:pPr>
    </w:p>
    <w:p w14:paraId="2A85F85E">
      <w:pPr>
        <w:pStyle w:val="16"/>
        <w:numPr>
          <w:ilvl w:val="0"/>
          <w:numId w:val="16"/>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Sustainable tourism is not about just preserving the environment but also enriching social and economic life. Eco Adventures works closely with local communities to create cultural and heritage tourism packages that are win-win for both sides. These collaborations between Eco Adventures and the local communities help to ensure that we consume local and organic products and at the same time employ the local societies thus making them gain employment and reap profits from the growth of the other communities</w:t>
      </w:r>
      <w:r>
        <w:rPr>
          <w:rFonts w:ascii="Helvetica" w:hAnsi="Helvetica" w:cs="Helvetica"/>
          <w:color w:val="000000"/>
        </w:rPr>
        <w:t xml:space="preserve"> (Giorgi, 2024)</w:t>
      </w:r>
      <w:r>
        <w:rPr>
          <w:rFonts w:ascii="Times New Roman" w:hAnsi="Times New Roman" w:cs="Times New Roman"/>
          <w:sz w:val="24"/>
          <w:szCs w:val="24"/>
          <w:lang w:val="en-AU"/>
        </w:rPr>
        <w:t>.</w:t>
      </w:r>
    </w:p>
    <w:p w14:paraId="42D21F38">
      <w:pPr>
        <w:pStyle w:val="16"/>
        <w:numPr>
          <w:ilvl w:val="0"/>
          <w:numId w:val="16"/>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Caring for the community is our company's social goal. We pay decent salaries, give training and provide safe working conditions for our employees. One of the many ways we demonstrate our care for the workforce is through certifications like ISO 21101 and ISO 20611. These certificates verify our compliance with the international norms on environmental and social responsibility</w:t>
      </w:r>
      <w:r>
        <w:rPr>
          <w:rFonts w:ascii="Helvetica" w:hAnsi="Helvetica" w:cs="Helvetica"/>
          <w:color w:val="000000"/>
        </w:rPr>
        <w:t xml:space="preserve"> (Müller, 2022)</w:t>
      </w:r>
      <w:r>
        <w:rPr>
          <w:rFonts w:ascii="Times New Roman" w:hAnsi="Times New Roman" w:cs="Times New Roman"/>
          <w:sz w:val="24"/>
          <w:szCs w:val="24"/>
          <w:lang w:val="en-AU"/>
        </w:rPr>
        <w:t>. Our company tells people about how we are environmentally friendly. Everyone in our business works responsibly. We arrive at our goal with a socially sound concept of our product for both the local and the global community.</w:t>
      </w:r>
    </w:p>
    <w:p w14:paraId="12047BF1">
      <w:pPr>
        <w:pStyle w:val="3"/>
        <w:rPr>
          <w:lang w:val="en-AU"/>
        </w:rPr>
      </w:pPr>
      <w:bookmarkStart w:id="28" w:name="_Toc193832769"/>
      <w:r>
        <w:rPr>
          <w:lang w:val="en-AU"/>
        </w:rPr>
        <w:t>Technological Innovations</w:t>
      </w:r>
      <w:bookmarkEnd w:id="28"/>
    </w:p>
    <w:p w14:paraId="511382CC">
      <w:pPr>
        <w:spacing w:line="480" w:lineRule="auto"/>
        <w:jc w:val="both"/>
        <w:rPr>
          <w:rFonts w:ascii="Times New Roman" w:hAnsi="Times New Roman" w:cs="Times New Roman"/>
          <w:sz w:val="24"/>
          <w:szCs w:val="24"/>
          <w:lang w:val="en-AU"/>
        </w:rPr>
      </w:pPr>
    </w:p>
    <w:p w14:paraId="7C0F8B52">
      <w:pPr>
        <w:pStyle w:val="16"/>
        <w:numPr>
          <w:ilvl w:val="0"/>
          <w:numId w:val="17"/>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Technology has a central position in facilitating our sustainability actions. The use of our fully digital system for booking, transactions, and customer service is another way we minimize resource consumption and maximize operational efficiency by eradicating piles of paper-based work. Further, we are doing a share of the work through green transportation by advising environmentally friendly means of travelling to group transits as well as encouraging less polluting vehicle types</w:t>
      </w:r>
      <w:r>
        <w:rPr>
          <w:rFonts w:ascii="Helvetica" w:hAnsi="Helvetica" w:cs="Helvetica"/>
          <w:color w:val="000000"/>
        </w:rPr>
        <w:t xml:space="preserve"> (Müller, 2022)</w:t>
      </w:r>
      <w:r>
        <w:rPr>
          <w:rFonts w:ascii="Times New Roman" w:hAnsi="Times New Roman" w:cs="Times New Roman"/>
          <w:sz w:val="24"/>
          <w:szCs w:val="24"/>
          <w:lang w:val="en-AU"/>
        </w:rPr>
        <w:t>. These tactics are effective in cutting down the overall carbon footprint related to our services.</w:t>
      </w:r>
    </w:p>
    <w:p w14:paraId="4B6785E2">
      <w:pPr>
        <w:pStyle w:val="16"/>
        <w:numPr>
          <w:ilvl w:val="0"/>
          <w:numId w:val="17"/>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Eco Adventures wants to keep the quality of our operation high, so every now and then, we will carry out the audits on sustainability and maintain transparent reporting systems. These monitoring efforts help us make sure that our environmental strategies are well-considered and revised as time progresses in order to meet the new challenges and take advantage of the new opportunities arising in the sector</w:t>
      </w:r>
      <w:r>
        <w:rPr>
          <w:rFonts w:ascii="Helvetica" w:hAnsi="Helvetica" w:cs="Helvetica"/>
          <w:color w:val="000000"/>
        </w:rPr>
        <w:t xml:space="preserve"> (Navío-Marco et al., 2018)</w:t>
      </w:r>
      <w:r>
        <w:rPr>
          <w:rFonts w:ascii="Times New Roman" w:hAnsi="Times New Roman" w:cs="Times New Roman"/>
          <w:sz w:val="24"/>
          <w:szCs w:val="24"/>
          <w:lang w:val="en-AU"/>
        </w:rPr>
        <w:t>.</w:t>
      </w:r>
    </w:p>
    <w:p w14:paraId="5D87FEC0">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In short, our sustainability strategy embodies three dimensions (environmental, social, and technological) in a balanced manner, thus giving a sustainable tourism approach. Eco Adventures is determined to be the first in the adventure tourism area who is both guarantees that our services are appreciated by our customers yet at the same time are eco-friendly.</w:t>
      </w:r>
    </w:p>
    <w:p w14:paraId="4544E8D0">
      <w:pPr>
        <w:spacing w:line="480" w:lineRule="auto"/>
        <w:jc w:val="both"/>
        <w:rPr>
          <w:rFonts w:ascii="Times New Roman" w:hAnsi="Times New Roman" w:cs="Times New Roman"/>
          <w:sz w:val="24"/>
          <w:szCs w:val="24"/>
          <w:lang w:val="en-AU"/>
        </w:rPr>
      </w:pPr>
    </w:p>
    <w:p w14:paraId="043CD98F">
      <w:pPr>
        <w:pStyle w:val="2"/>
        <w:rPr>
          <w:lang w:val="en-AU"/>
        </w:rPr>
      </w:pPr>
      <w:bookmarkStart w:id="29" w:name="_Toc193832770"/>
    </w:p>
    <w:p w14:paraId="7FA43DF6">
      <w:pPr>
        <w:pStyle w:val="2"/>
        <w:rPr>
          <w:lang w:val="en-AU"/>
        </w:rPr>
      </w:pPr>
      <w:r>
        <w:rPr>
          <w:lang w:val="en-AU"/>
        </w:rPr>
        <w:t>Conclusion and Recommendations</w:t>
      </w:r>
      <w:bookmarkEnd w:id="29"/>
    </w:p>
    <w:p w14:paraId="3F3FC2D1">
      <w:pPr>
        <w:rPr>
          <w:lang w:val="en-AU"/>
        </w:rPr>
      </w:pPr>
    </w:p>
    <w:p w14:paraId="5AEA14BB">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Eco Adventures, with its state-of-the-art technology, thrilling experiences, and a firm solution for sustainability, is determined to become Germany's leading adventure tourism company in a very crowded market. A full-fledged business plan has been elaborated for transitioning into the profitability phase, comprising targeted market penetration, strategic operational planning, and robust risk management. As we gear up to roll out our operations and increase scale, the continuous improvement of our method and the expansion of our programs are not negotiable and need to be met to satisfy the changing tastes and expectations of our demanding clients</w:t>
      </w:r>
      <w:r>
        <w:rPr>
          <w:rFonts w:ascii="Helvetica" w:hAnsi="Helvetica" w:cs="Helvetica"/>
          <w:color w:val="000000"/>
        </w:rPr>
        <w:t xml:space="preserve"> (Navío-Marco et al., 2018)</w:t>
      </w:r>
      <w:r>
        <w:rPr>
          <w:rFonts w:ascii="Times New Roman" w:hAnsi="Times New Roman" w:cs="Times New Roman"/>
          <w:sz w:val="24"/>
          <w:szCs w:val="24"/>
          <w:lang w:val="en-AU"/>
        </w:rPr>
        <w:t>.</w:t>
      </w:r>
    </w:p>
    <w:p w14:paraId="612A2844">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Our technology sector is one of the main parts of the strategic plan. The company's new platform for digital booking is a technology that streamlines notes and establishes the base for a real-time safety monitoring system. We use various advanced data analytics tools and communication technologies to ensure that the customer gets the adventure experience they want. Thus, using the optimal levels of safety and precision makes sure each adventure is personalized to the individual's preferences</w:t>
      </w:r>
      <w:r>
        <w:rPr>
          <w:rFonts w:ascii="Helvetica" w:hAnsi="Helvetica" w:cs="Helvetica"/>
          <w:color w:val="000000"/>
        </w:rPr>
        <w:t xml:space="preserve"> (Mayer &amp; Woltering, 2017)</w:t>
      </w:r>
      <w:r>
        <w:rPr>
          <w:rFonts w:ascii="Times New Roman" w:hAnsi="Times New Roman" w:cs="Times New Roman"/>
          <w:sz w:val="24"/>
          <w:szCs w:val="24"/>
          <w:lang w:val="en-AU"/>
        </w:rPr>
        <w:t>. The advanced technological solutions enable us to offer customer-oriented packages. They are instantly adaptable to client reviews and likes, ensuring, thus, an ultimately safer and more entertaining journey.</w:t>
      </w:r>
    </w:p>
    <w:p w14:paraId="2957ACD8">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One of the most important areas that we are going to focus on is the still and non-stop training and certification of our staff and guides. The core of our day-to-day operations is the dedication, skills, and readiness of our team. To keep ahead of the competition, we will install continuous professional development programs that include specialized training sessions, periodic certification renewals, and practical drills. Only such a thorough procedure not only leads to a culture of higher levels of competence and accountability but also guarantees the absolute safety of our customers. This is human capital investment, which in the end, is the plinth upon which success and reputation building rely</w:t>
      </w:r>
      <w:r>
        <w:rPr>
          <w:rFonts w:ascii="Helvetica" w:hAnsi="Helvetica" w:cs="Helvetica"/>
          <w:color w:val="000000"/>
        </w:rPr>
        <w:t xml:space="preserve"> (Mayer &amp; Woltering, 2017)</w:t>
      </w:r>
      <w:r>
        <w:rPr>
          <w:rFonts w:ascii="Times New Roman" w:hAnsi="Times New Roman" w:cs="Times New Roman"/>
          <w:sz w:val="24"/>
          <w:szCs w:val="24"/>
          <w:lang w:val="en-AU"/>
        </w:rPr>
        <w:t>.</w:t>
      </w:r>
    </w:p>
    <w:p w14:paraId="238EA2C7">
      <w:pPr>
        <w:spacing w:line="480" w:lineRule="auto"/>
        <w:jc w:val="both"/>
        <w:rPr>
          <w:rFonts w:ascii="Times New Roman" w:hAnsi="Times New Roman" w:cs="Times New Roman"/>
          <w:sz w:val="24"/>
          <w:szCs w:val="24"/>
          <w:lang w:val="en-AU"/>
        </w:rPr>
      </w:pPr>
    </w:p>
    <w:p w14:paraId="32076AA2">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bold marketing pillar that our strategic plan is based on. In the modern world, there is no way for a company to survive without a multidimensional online community. The foundational brands in our industry have started the trend and we are continuing in the same vein. The use of digital marketing gives the chance to get more out of the web and the more innovative customer experience, including searching for item information on smartphones, suits the user better</w:t>
      </w:r>
      <w:r>
        <w:rPr>
          <w:rFonts w:ascii="Helvetica" w:hAnsi="Helvetica" w:cs="Helvetica"/>
          <w:color w:val="000000"/>
        </w:rPr>
        <w:t xml:space="preserve"> (Buhalis &amp; Law, 2008)</w:t>
      </w:r>
      <w:r>
        <w:rPr>
          <w:rFonts w:ascii="Times New Roman" w:hAnsi="Times New Roman" w:cs="Times New Roman"/>
          <w:sz w:val="24"/>
          <w:szCs w:val="24"/>
          <w:lang w:val="en-AU"/>
        </w:rPr>
        <w:t>. Product purchases occur on the global market, in Online stores, and the consumer's supply chain makes big leaps in digitization which is the reason for profit when it meets the sustainability factor of the product</w:t>
      </w:r>
      <w:r>
        <w:rPr>
          <w:rFonts w:ascii="Helvetica" w:hAnsi="Helvetica" w:cs="Helvetica"/>
          <w:color w:val="000000"/>
        </w:rPr>
        <w:t xml:space="preserve"> (Mayer &amp; Woltering, 2017)</w:t>
      </w:r>
      <w:r>
        <w:rPr>
          <w:rFonts w:ascii="Times New Roman" w:hAnsi="Times New Roman" w:cs="Times New Roman"/>
          <w:sz w:val="24"/>
          <w:szCs w:val="24"/>
          <w:lang w:val="en-AU"/>
        </w:rPr>
        <w:t>.</w:t>
      </w:r>
    </w:p>
    <w:p w14:paraId="523029B2">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One of the basic pillars of all our processes is the environmental part backed by sustainable activities. On the other hand, with the increasing level of environmental awareness among the customers and the consequent green trend in the market, our commitment to green practices becomes more likely to stand out. We aim to realise some of the possibilities mentioned above and make this a large part of our strategic plan. The depth of the project is also related to ecological culture as the consumption model is beneficial to environmental problems. The company's mission is to provide a pleasant trip that is inclusive of the culture exotic, last but not least with the do's and don'ts of efficient behaviour. </w:t>
      </w:r>
    </w:p>
    <w:p w14:paraId="1CBC6FDA">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Reducing the costs and improving the efficiency of the company is crucial to its survival. We will install statistics for financial performance and make sure that they correlate with the precise estimates. A safety cushion is equally essential for dealing with unexpected expenses and volatile market conditions, respectively. How we manage this problem allows us either to scale down or divert our efforts towards fast-growing sectors to support the process of financial self-sustainable</w:t>
      </w:r>
      <w:r>
        <w:rPr>
          <w:rFonts w:ascii="Helvetica" w:hAnsi="Helvetica" w:cs="Helvetica"/>
          <w:color w:val="000000"/>
        </w:rPr>
        <w:t xml:space="preserve"> (Buhalis &amp; Law, 2008)</w:t>
      </w:r>
      <w:r>
        <w:rPr>
          <w:rFonts w:ascii="Times New Roman" w:hAnsi="Times New Roman" w:cs="Times New Roman"/>
          <w:sz w:val="24"/>
          <w:szCs w:val="24"/>
          <w:lang w:val="en-AU"/>
        </w:rPr>
        <w:t>.</w:t>
      </w:r>
    </w:p>
    <w:p w14:paraId="041BBE0A">
      <w:pPr>
        <w:pStyle w:val="2"/>
        <w:rPr>
          <w:lang w:val="en-AU"/>
        </w:rPr>
      </w:pPr>
      <w:bookmarkStart w:id="30" w:name="_Toc193832771"/>
      <w:r>
        <w:rPr>
          <w:lang w:val="en-AU"/>
        </w:rPr>
        <w:t>Key Recommendations:</w:t>
      </w:r>
      <w:bookmarkEnd w:id="30"/>
    </w:p>
    <w:p w14:paraId="53D9FD45">
      <w:pPr>
        <w:rPr>
          <w:lang w:val="en-AU"/>
        </w:rPr>
      </w:pPr>
    </w:p>
    <w:p w14:paraId="37562FD1">
      <w:pPr>
        <w:spacing w:line="480" w:lineRule="auto"/>
        <w:jc w:val="both"/>
        <w:rPr>
          <w:rFonts w:ascii="Times New Roman" w:hAnsi="Times New Roman" w:cs="Times New Roman"/>
          <w:b/>
          <w:bCs/>
          <w:sz w:val="24"/>
          <w:szCs w:val="24"/>
          <w:lang w:val="en-AU"/>
        </w:rPr>
      </w:pPr>
      <w:r>
        <w:rPr>
          <w:rFonts w:ascii="Times New Roman" w:hAnsi="Times New Roman" w:cs="Times New Roman"/>
          <w:b/>
          <w:bCs/>
          <w:sz w:val="24"/>
          <w:szCs w:val="24"/>
          <w:lang w:val="en-AU"/>
        </w:rPr>
        <w:t>Invest in Technology:</w:t>
      </w:r>
    </w:p>
    <w:p w14:paraId="007548E2">
      <w:pPr>
        <w:pStyle w:val="16"/>
        <w:numPr>
          <w:ilvl w:val="0"/>
          <w:numId w:val="18"/>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Besides this, we will also continue with the digital booking platform and create real-time safety infrastructure so that our customers experience a richer and higher level of personalization, privacy, and security.</w:t>
      </w:r>
    </w:p>
    <w:p w14:paraId="2E79C56B">
      <w:pPr>
        <w:spacing w:line="480" w:lineRule="auto"/>
        <w:jc w:val="both"/>
        <w:rPr>
          <w:rFonts w:ascii="Times New Roman" w:hAnsi="Times New Roman" w:cs="Times New Roman"/>
          <w:b/>
          <w:bCs/>
          <w:sz w:val="24"/>
          <w:szCs w:val="24"/>
          <w:lang w:val="en-AU"/>
        </w:rPr>
      </w:pPr>
      <w:r>
        <w:rPr>
          <w:rFonts w:ascii="Times New Roman" w:hAnsi="Times New Roman" w:cs="Times New Roman"/>
          <w:b/>
          <w:bCs/>
          <w:sz w:val="24"/>
          <w:szCs w:val="24"/>
          <w:lang w:val="en-AU"/>
        </w:rPr>
        <w:t>Focus on Training and Certification:</w:t>
      </w:r>
    </w:p>
    <w:p w14:paraId="10976002">
      <w:pPr>
        <w:pStyle w:val="16"/>
        <w:numPr>
          <w:ilvl w:val="0"/>
          <w:numId w:val="18"/>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Make it sure that all the workforce and guides are consistently taught and checked through different professional development programs and certification sessions to keep security as the highest priority</w:t>
      </w:r>
      <w:r>
        <w:rPr>
          <w:rFonts w:ascii="Helvetica" w:hAnsi="Helvetica" w:cs="Helvetica"/>
          <w:color w:val="000000"/>
        </w:rPr>
        <w:t xml:space="preserve"> (Asscoiation &amp; Travel, 2013)</w:t>
      </w:r>
      <w:r>
        <w:rPr>
          <w:rFonts w:ascii="Times New Roman" w:hAnsi="Times New Roman" w:cs="Times New Roman"/>
          <w:sz w:val="24"/>
          <w:szCs w:val="24"/>
          <w:lang w:val="en-AU"/>
        </w:rPr>
        <w:t>.</w:t>
      </w:r>
    </w:p>
    <w:p w14:paraId="1A4AEC4E">
      <w:pPr>
        <w:spacing w:line="480" w:lineRule="auto"/>
        <w:jc w:val="both"/>
        <w:rPr>
          <w:rFonts w:ascii="Times New Roman" w:hAnsi="Times New Roman" w:cs="Times New Roman"/>
          <w:b/>
          <w:bCs/>
          <w:sz w:val="24"/>
          <w:szCs w:val="24"/>
          <w:lang w:val="en-AU"/>
        </w:rPr>
      </w:pPr>
      <w:r>
        <w:rPr>
          <w:rFonts w:ascii="Times New Roman" w:hAnsi="Times New Roman" w:cs="Times New Roman"/>
          <w:b/>
          <w:bCs/>
          <w:sz w:val="24"/>
          <w:szCs w:val="24"/>
          <w:lang w:val="en-AU"/>
        </w:rPr>
        <w:t>Aggressive Marketing:</w:t>
      </w:r>
    </w:p>
    <w:p w14:paraId="475837AD">
      <w:pPr>
        <w:pStyle w:val="16"/>
        <w:numPr>
          <w:ilvl w:val="0"/>
          <w:numId w:val="18"/>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Roto Meister should execute a wide-ranging digital marketing campaign, such as SEO, social media, viral marketing, and influencer collaboration, which would at the same time expand our customer community and rise our market share.</w:t>
      </w:r>
    </w:p>
    <w:p w14:paraId="1E5CC70C">
      <w:pPr>
        <w:spacing w:line="480" w:lineRule="auto"/>
        <w:jc w:val="both"/>
        <w:rPr>
          <w:rFonts w:ascii="Times New Roman" w:hAnsi="Times New Roman" w:cs="Times New Roman"/>
          <w:b/>
          <w:bCs/>
          <w:sz w:val="24"/>
          <w:szCs w:val="24"/>
          <w:lang w:val="en-AU"/>
        </w:rPr>
      </w:pPr>
      <w:r>
        <w:rPr>
          <w:rFonts w:ascii="Times New Roman" w:hAnsi="Times New Roman" w:cs="Times New Roman"/>
          <w:b/>
          <w:bCs/>
          <w:sz w:val="24"/>
          <w:szCs w:val="24"/>
          <w:lang w:val="en-AU"/>
        </w:rPr>
        <w:t>Expand Sustainability Initiatives:</w:t>
      </w:r>
    </w:p>
    <w:p w14:paraId="684CD566">
      <w:pPr>
        <w:pStyle w:val="16"/>
        <w:numPr>
          <w:ilvl w:val="0"/>
          <w:numId w:val="18"/>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growing amount of money coming from renewable energy endeavours and other green activities will translate to the company’s participation in greenhouse gas emissions and its appeal to eco-travellers to the extent that it will be a very successful and industry-leading player</w:t>
      </w:r>
      <w:r>
        <w:rPr>
          <w:rFonts w:ascii="Helvetica" w:hAnsi="Helvetica" w:cs="Helvetica"/>
          <w:color w:val="000000"/>
        </w:rPr>
        <w:t xml:space="preserve"> (Asscoiation &amp; Travel, 2013)</w:t>
      </w:r>
      <w:r>
        <w:rPr>
          <w:rFonts w:ascii="Times New Roman" w:hAnsi="Times New Roman" w:cs="Times New Roman"/>
          <w:sz w:val="24"/>
          <w:szCs w:val="24"/>
          <w:lang w:val="en-AU"/>
        </w:rPr>
        <w:t>.</w:t>
      </w:r>
    </w:p>
    <w:p w14:paraId="66A3932D">
      <w:pPr>
        <w:spacing w:line="480" w:lineRule="auto"/>
        <w:jc w:val="both"/>
        <w:rPr>
          <w:rFonts w:ascii="Times New Roman" w:hAnsi="Times New Roman" w:cs="Times New Roman"/>
          <w:b/>
          <w:bCs/>
          <w:sz w:val="24"/>
          <w:szCs w:val="24"/>
          <w:lang w:val="en-AU"/>
        </w:rPr>
      </w:pPr>
      <w:r>
        <w:rPr>
          <w:rFonts w:ascii="Times New Roman" w:hAnsi="Times New Roman" w:cs="Times New Roman"/>
          <w:b/>
          <w:bCs/>
          <w:sz w:val="24"/>
          <w:szCs w:val="24"/>
          <w:lang w:val="en-AU"/>
        </w:rPr>
        <w:t>Monitor Financial Performance:</w:t>
      </w:r>
    </w:p>
    <w:p w14:paraId="2C521F7B">
      <w:pPr>
        <w:pStyle w:val="16"/>
        <w:numPr>
          <w:ilvl w:val="0"/>
          <w:numId w:val="18"/>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To keep the track of the financial results under projections, the company may not only review the financial performance but also set up a contingency finance mechanism to cope with the unforeseen costs and market fluctuations as well</w:t>
      </w:r>
      <w:r>
        <w:rPr>
          <w:rFonts w:ascii="Helvetica" w:hAnsi="Helvetica" w:cs="Helvetica"/>
          <w:color w:val="000000"/>
        </w:rPr>
        <w:t xml:space="preserve"> (Abicht &amp; Freikamp, 2005)</w:t>
      </w:r>
      <w:r>
        <w:rPr>
          <w:rFonts w:ascii="Times New Roman" w:hAnsi="Times New Roman" w:cs="Times New Roman"/>
          <w:sz w:val="24"/>
          <w:szCs w:val="24"/>
          <w:lang w:val="en-AU"/>
        </w:rPr>
        <w:t>.</w:t>
      </w:r>
    </w:p>
    <w:p w14:paraId="658E8E5E">
      <w:pPr>
        <w:spacing w:line="480" w:lineRule="auto"/>
        <w:jc w:val="both"/>
        <w:rPr>
          <w:rFonts w:ascii="Times New Roman" w:hAnsi="Times New Roman" w:cs="Times New Roman"/>
          <w:sz w:val="24"/>
          <w:szCs w:val="24"/>
          <w:lang w:val="en-AU"/>
        </w:rPr>
      </w:pPr>
    </w:p>
    <w:p w14:paraId="28F8A070">
      <w:pPr>
        <w:spacing w:line="480" w:lineRule="auto"/>
        <w:jc w:val="both"/>
        <w:rPr>
          <w:rFonts w:ascii="Times New Roman" w:hAnsi="Times New Roman" w:cs="Times New Roman"/>
          <w:sz w:val="24"/>
          <w:szCs w:val="24"/>
          <w:lang w:val="en-AU"/>
        </w:rPr>
      </w:pPr>
    </w:p>
    <w:p w14:paraId="342937CB">
      <w:pPr>
        <w:pStyle w:val="2"/>
        <w:rPr>
          <w:rFonts w:eastAsia="Times New Roman"/>
          <w:lang w:val="en-IN" w:eastAsia="en-IN"/>
        </w:rPr>
      </w:pPr>
      <w:bookmarkStart w:id="31" w:name="_Toc193832772"/>
    </w:p>
    <w:p w14:paraId="6835A776">
      <w:pPr>
        <w:pStyle w:val="2"/>
        <w:rPr>
          <w:rFonts w:eastAsia="Times New Roman"/>
          <w:lang w:val="en-IN" w:eastAsia="en-IN"/>
        </w:rPr>
      </w:pPr>
    </w:p>
    <w:p w14:paraId="7C560202">
      <w:pPr>
        <w:pStyle w:val="2"/>
        <w:rPr>
          <w:rFonts w:eastAsia="Times New Roman"/>
          <w:lang w:val="en-IN" w:eastAsia="en-IN"/>
        </w:rPr>
      </w:pPr>
    </w:p>
    <w:p w14:paraId="3B54A5A9">
      <w:pPr>
        <w:pStyle w:val="2"/>
        <w:rPr>
          <w:rFonts w:eastAsia="Times New Roman"/>
          <w:lang w:val="en-IN" w:eastAsia="en-IN"/>
        </w:rPr>
      </w:pPr>
    </w:p>
    <w:p w14:paraId="358D6BEB">
      <w:pPr>
        <w:pStyle w:val="2"/>
        <w:rPr>
          <w:rFonts w:eastAsia="Times New Roman"/>
          <w:lang w:val="en-IN" w:eastAsia="en-IN"/>
        </w:rPr>
      </w:pPr>
    </w:p>
    <w:p w14:paraId="25FFB0F4">
      <w:pPr>
        <w:pStyle w:val="2"/>
        <w:rPr>
          <w:rFonts w:eastAsia="Times New Roman"/>
          <w:lang w:val="en-IN" w:eastAsia="en-IN"/>
        </w:rPr>
      </w:pPr>
    </w:p>
    <w:p w14:paraId="59ABA414">
      <w:pPr>
        <w:pStyle w:val="2"/>
        <w:rPr>
          <w:rFonts w:eastAsia="Times New Roman"/>
          <w:lang w:val="en-IN" w:eastAsia="en-IN"/>
        </w:rPr>
      </w:pPr>
    </w:p>
    <w:p w14:paraId="13497F54">
      <w:pPr>
        <w:pStyle w:val="2"/>
        <w:rPr>
          <w:rFonts w:eastAsia="Times New Roman"/>
          <w:lang w:val="en-IN" w:eastAsia="en-IN"/>
        </w:rPr>
      </w:pPr>
    </w:p>
    <w:p w14:paraId="7D8CAE1C">
      <w:pPr>
        <w:pStyle w:val="2"/>
        <w:rPr>
          <w:rFonts w:eastAsia="Times New Roman"/>
          <w:lang w:val="en-IN" w:eastAsia="en-IN"/>
        </w:rPr>
      </w:pPr>
    </w:p>
    <w:p w14:paraId="663FC7D4">
      <w:pPr>
        <w:pStyle w:val="2"/>
        <w:rPr>
          <w:rFonts w:eastAsia="Times New Roman"/>
          <w:lang w:val="en-IN" w:eastAsia="en-IN"/>
        </w:rPr>
      </w:pPr>
    </w:p>
    <w:p w14:paraId="59EF5710">
      <w:pPr>
        <w:pStyle w:val="2"/>
        <w:rPr>
          <w:rFonts w:eastAsia="Times New Roman"/>
          <w:lang w:val="en-IN" w:eastAsia="en-IN"/>
        </w:rPr>
      </w:pPr>
    </w:p>
    <w:p w14:paraId="70B9524C">
      <w:pPr>
        <w:pStyle w:val="2"/>
        <w:rPr>
          <w:rFonts w:eastAsia="Times New Roman"/>
          <w:lang w:val="en-IN" w:eastAsia="en-IN"/>
        </w:rPr>
      </w:pPr>
    </w:p>
    <w:p w14:paraId="696551A6">
      <w:pPr>
        <w:pStyle w:val="2"/>
        <w:rPr>
          <w:rFonts w:eastAsia="Times New Roman"/>
          <w:lang w:val="en-IN" w:eastAsia="en-IN"/>
        </w:rPr>
      </w:pPr>
    </w:p>
    <w:p w14:paraId="28FD9645">
      <w:pPr>
        <w:pStyle w:val="2"/>
        <w:rPr>
          <w:rFonts w:eastAsia="Times New Roman"/>
          <w:lang w:val="en-IN" w:eastAsia="en-IN"/>
        </w:rPr>
      </w:pPr>
    </w:p>
    <w:bookmarkEnd w:id="31"/>
    <w:p w14:paraId="4CAADB76">
      <w:pPr>
        <w:pStyle w:val="2"/>
        <w:rPr>
          <w:rFonts w:eastAsia="Times New Roman"/>
          <w:lang w:val="en-IN" w:eastAsia="en-IN"/>
        </w:rPr>
      </w:pPr>
    </w:p>
    <w:p w14:paraId="6C84945F">
      <w:pPr>
        <w:spacing w:before="100" w:beforeAutospacing="1" w:after="0" w:line="480" w:lineRule="auto"/>
        <w:ind w:left="720" w:hanging="720"/>
        <w:rPr>
          <w:rFonts w:ascii="Georgia" w:hAnsi="Georgia" w:eastAsia="Times New Roman" w:cs="Helvetica"/>
          <w:color w:val="000000"/>
          <w:sz w:val="24"/>
          <w:szCs w:val="24"/>
          <w:lang w:val="en-IN" w:eastAsia="en-IN"/>
        </w:rPr>
      </w:pPr>
    </w:p>
    <w:p w14:paraId="290D3EEB">
      <w:pPr>
        <w:spacing w:before="100" w:beforeAutospacing="1" w:after="0" w:line="480" w:lineRule="auto"/>
        <w:ind w:left="720" w:hanging="720"/>
        <w:rPr>
          <w:rFonts w:ascii="Georgia" w:hAnsi="Georgia" w:eastAsia="Times New Roman" w:cs="Helvetica"/>
          <w:color w:val="000000"/>
          <w:sz w:val="24"/>
          <w:szCs w:val="24"/>
          <w:lang w:val="en-IN" w:eastAsia="en-IN"/>
        </w:rPr>
      </w:pPr>
    </w:p>
    <w:p w14:paraId="28F5E8A6">
      <w:pPr>
        <w:spacing w:before="100" w:beforeAutospacing="1" w:after="0" w:line="480" w:lineRule="auto"/>
        <w:ind w:left="720" w:hanging="720"/>
        <w:rPr>
          <w:rFonts w:hint="default" w:ascii="Georgia Bold" w:hAnsi="Georgia Bold" w:eastAsia="Times New Roman" w:cs="Georgia Bold"/>
          <w:b/>
          <w:bCs/>
          <w:color w:val="000000"/>
          <w:sz w:val="24"/>
          <w:szCs w:val="24"/>
          <w:lang w:val="de-DE" w:eastAsia="en-IN"/>
        </w:rPr>
      </w:pPr>
      <w:r>
        <w:rPr>
          <w:rFonts w:hint="default" w:ascii="Georgia Bold" w:hAnsi="Georgia Bold" w:eastAsia="Times New Roman" w:cs="Georgia Bold"/>
          <w:b/>
          <w:bCs/>
          <w:color w:val="000000"/>
          <w:sz w:val="24"/>
          <w:szCs w:val="24"/>
          <w:lang w:val="de-DE" w:eastAsia="en-IN"/>
        </w:rPr>
        <w:t>References</w:t>
      </w:r>
    </w:p>
    <w:p w14:paraId="51B21DB3">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Abicht, L., &amp; Freikamp, H. (2005). </w:t>
      </w:r>
      <w:r>
        <w:rPr>
          <w:rFonts w:ascii="Georgia" w:hAnsi="Georgia" w:eastAsia="Times New Roman" w:cs="Helvetica"/>
          <w:i/>
          <w:iCs/>
          <w:color w:val="000000"/>
          <w:sz w:val="24"/>
          <w:szCs w:val="24"/>
          <w:lang w:val="en-IN" w:eastAsia="en-IN"/>
        </w:rPr>
        <w:t>Tourism in Germany: trends, facts and figures. Trends and skill needs in tourism</w:t>
      </w:r>
      <w:r>
        <w:rPr>
          <w:rFonts w:ascii="Georgia" w:hAnsi="Georgia" w:eastAsia="Times New Roman" w:cs="Helvetica"/>
          <w:color w:val="000000"/>
          <w:sz w:val="24"/>
          <w:szCs w:val="24"/>
          <w:lang w:val="en-IN" w:eastAsia="en-IN"/>
        </w:rPr>
        <w:t>.</w:t>
      </w:r>
    </w:p>
    <w:p w14:paraId="392A4215">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Asscoiation, A. T. T., &amp; Travel, A. (2013). </w:t>
      </w:r>
      <w:r>
        <w:rPr>
          <w:rFonts w:ascii="Georgia" w:hAnsi="Georgia" w:eastAsia="Times New Roman" w:cs="Helvetica"/>
          <w:i/>
          <w:iCs/>
          <w:color w:val="000000"/>
          <w:sz w:val="24"/>
          <w:szCs w:val="24"/>
          <w:lang w:val="en-IN" w:eastAsia="en-IN"/>
        </w:rPr>
        <w:t>Adventure Tourism Market Study</w:t>
      </w:r>
      <w:r>
        <w:rPr>
          <w:rFonts w:ascii="Georgia" w:hAnsi="Georgia" w:eastAsia="Times New Roman" w:cs="Helvetica"/>
          <w:color w:val="000000"/>
          <w:sz w:val="24"/>
          <w:szCs w:val="24"/>
          <w:lang w:val="en-IN" w:eastAsia="en-IN"/>
        </w:rPr>
        <w:t>.</w:t>
      </w:r>
    </w:p>
    <w:p w14:paraId="2535E23E">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Bruyninckx, H. H. D., Hellweg, S., Schandl, S., Vidal, H., Razian, B., Nohl, H., &amp; Christopher Pfister. (2024). Global Resources Outlook 2024: Bend the trend-Pathways to a liveable planet as resource use spikes. </w:t>
      </w:r>
      <w:r>
        <w:rPr>
          <w:rFonts w:ascii="Georgia" w:hAnsi="Georgia" w:eastAsia="Times New Roman" w:cs="Helvetica"/>
          <w:i/>
          <w:iCs/>
          <w:color w:val="000000"/>
          <w:sz w:val="24"/>
          <w:szCs w:val="24"/>
          <w:lang w:val="en-IN" w:eastAsia="en-IN"/>
        </w:rPr>
        <w:t>United Nations Environment Programme</w:t>
      </w:r>
      <w:r>
        <w:rPr>
          <w:rFonts w:ascii="Georgia" w:hAnsi="Georgia" w:eastAsia="Times New Roman" w:cs="Helvetica"/>
          <w:color w:val="000000"/>
          <w:sz w:val="24"/>
          <w:szCs w:val="24"/>
          <w:lang w:val="en-IN" w:eastAsia="en-IN"/>
        </w:rPr>
        <w:t>.</w:t>
      </w:r>
    </w:p>
    <w:p w14:paraId="1F352A5C">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Buhalis, D., &amp; Law, R. (2008). Progress in information technology and tourism management: 20 years on and 10 years after the Internet—The state of eTourism research. </w:t>
      </w:r>
      <w:r>
        <w:rPr>
          <w:rFonts w:ascii="Georgia" w:hAnsi="Georgia" w:eastAsia="Times New Roman" w:cs="Helvetica"/>
          <w:i/>
          <w:iCs/>
          <w:color w:val="000000"/>
          <w:sz w:val="24"/>
          <w:szCs w:val="24"/>
          <w:lang w:val="en-IN" w:eastAsia="en-IN"/>
        </w:rPr>
        <w:t>Tourism Management</w:t>
      </w:r>
      <w:r>
        <w:rPr>
          <w:rFonts w:ascii="Georgia" w:hAnsi="Georgia" w:eastAsia="Times New Roman" w:cs="Helvetica"/>
          <w:color w:val="000000"/>
          <w:sz w:val="24"/>
          <w:szCs w:val="24"/>
          <w:lang w:val="en-IN" w:eastAsia="en-IN"/>
        </w:rPr>
        <w:t>, </w:t>
      </w:r>
      <w:r>
        <w:rPr>
          <w:rFonts w:ascii="Georgia" w:hAnsi="Georgia" w:eastAsia="Times New Roman" w:cs="Helvetica"/>
          <w:i/>
          <w:iCs/>
          <w:color w:val="000000"/>
          <w:sz w:val="24"/>
          <w:szCs w:val="24"/>
          <w:lang w:val="en-IN" w:eastAsia="en-IN"/>
        </w:rPr>
        <w:t>29</w:t>
      </w:r>
      <w:r>
        <w:rPr>
          <w:rFonts w:ascii="Georgia" w:hAnsi="Georgia" w:eastAsia="Times New Roman" w:cs="Helvetica"/>
          <w:color w:val="000000"/>
          <w:sz w:val="24"/>
          <w:szCs w:val="24"/>
          <w:lang w:val="en-IN" w:eastAsia="en-IN"/>
        </w:rPr>
        <w:t>(4), 609–623. https://doi.org/10.1016/j.tourman.2008.01.005</w:t>
      </w:r>
    </w:p>
    <w:p w14:paraId="55A6C9FC">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Digital innovation in tourism management: Transforming the travel experience. (n.d.). </w:t>
      </w:r>
      <w:r>
        <w:rPr>
          <w:rFonts w:ascii="Georgia" w:hAnsi="Georgia" w:eastAsia="Times New Roman" w:cs="Helvetica"/>
          <w:i/>
          <w:iCs/>
          <w:color w:val="000000"/>
          <w:sz w:val="24"/>
          <w:szCs w:val="24"/>
          <w:lang w:val="en-IN" w:eastAsia="en-IN"/>
        </w:rPr>
        <w:t>Tourism Management</w:t>
      </w:r>
      <w:r>
        <w:rPr>
          <w:rFonts w:ascii="Georgia" w:hAnsi="Georgia" w:eastAsia="Times New Roman" w:cs="Helvetica"/>
          <w:color w:val="000000"/>
          <w:sz w:val="24"/>
          <w:szCs w:val="24"/>
          <w:lang w:val="en-IN" w:eastAsia="en-IN"/>
        </w:rPr>
        <w:t>, </w:t>
      </w:r>
      <w:r>
        <w:rPr>
          <w:rFonts w:ascii="Georgia" w:hAnsi="Georgia" w:eastAsia="Times New Roman" w:cs="Helvetica"/>
          <w:i/>
          <w:iCs/>
          <w:color w:val="000000"/>
          <w:sz w:val="24"/>
          <w:szCs w:val="24"/>
          <w:lang w:val="en-IN" w:eastAsia="en-IN"/>
        </w:rPr>
        <w:t>48</w:t>
      </w:r>
      <w:r>
        <w:rPr>
          <w:rFonts w:ascii="Georgia" w:hAnsi="Georgia" w:eastAsia="Times New Roman" w:cs="Helvetica"/>
          <w:color w:val="000000"/>
          <w:sz w:val="24"/>
          <w:szCs w:val="24"/>
          <w:lang w:val="en-IN" w:eastAsia="en-IN"/>
        </w:rPr>
        <w:t>, 63–82.</w:t>
      </w:r>
    </w:p>
    <w:p w14:paraId="7A9FBC15">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Enger, A., Sandvik, K., &amp; Kildal Iversen, E. (2015). Developing scenarios for the Norwegian travel industry 2025. </w:t>
      </w:r>
      <w:r>
        <w:rPr>
          <w:rFonts w:ascii="Georgia" w:hAnsi="Georgia" w:eastAsia="Times New Roman" w:cs="Helvetica"/>
          <w:i/>
          <w:iCs/>
          <w:color w:val="000000"/>
          <w:sz w:val="24"/>
          <w:szCs w:val="24"/>
          <w:lang w:val="en-IN" w:eastAsia="en-IN"/>
        </w:rPr>
        <w:t>Journal of Tourism Futures</w:t>
      </w:r>
      <w:r>
        <w:rPr>
          <w:rFonts w:ascii="Georgia" w:hAnsi="Georgia" w:eastAsia="Times New Roman" w:cs="Helvetica"/>
          <w:color w:val="000000"/>
          <w:sz w:val="24"/>
          <w:szCs w:val="24"/>
          <w:lang w:val="en-IN" w:eastAsia="en-IN"/>
        </w:rPr>
        <w:t>, </w:t>
      </w:r>
      <w:r>
        <w:rPr>
          <w:rFonts w:ascii="Georgia" w:hAnsi="Georgia" w:eastAsia="Times New Roman" w:cs="Helvetica"/>
          <w:i/>
          <w:iCs/>
          <w:color w:val="000000"/>
          <w:sz w:val="24"/>
          <w:szCs w:val="24"/>
          <w:lang w:val="en-IN" w:eastAsia="en-IN"/>
        </w:rPr>
        <w:t>1</w:t>
      </w:r>
      <w:r>
        <w:rPr>
          <w:rFonts w:ascii="Georgia" w:hAnsi="Georgia" w:eastAsia="Times New Roman" w:cs="Helvetica"/>
          <w:color w:val="000000"/>
          <w:sz w:val="24"/>
          <w:szCs w:val="24"/>
          <w:lang w:val="en-IN" w:eastAsia="en-IN"/>
        </w:rPr>
        <w:t>(1), 6–18. https://doi.org/10.1108/jtf-12-2014-0018</w:t>
      </w:r>
    </w:p>
    <w:p w14:paraId="5CFF7547">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Farkić, J., &amp; Gebbels, M. (2022). Enframing adventure tourism in 21st century. In </w:t>
      </w:r>
      <w:r>
        <w:rPr>
          <w:rFonts w:ascii="Georgia" w:hAnsi="Georgia" w:eastAsia="Times New Roman" w:cs="Helvetica"/>
          <w:i/>
          <w:iCs/>
          <w:color w:val="000000"/>
          <w:sz w:val="24"/>
          <w:szCs w:val="24"/>
          <w:lang w:val="en-IN" w:eastAsia="en-IN"/>
        </w:rPr>
        <w:t>The Adventure Tourist: Being, Knowing, Becoming</w:t>
      </w:r>
      <w:r>
        <w:rPr>
          <w:rFonts w:ascii="Georgia" w:hAnsi="Georgia" w:eastAsia="Times New Roman" w:cs="Helvetica"/>
          <w:color w:val="000000"/>
          <w:sz w:val="24"/>
          <w:szCs w:val="24"/>
          <w:lang w:val="en-IN" w:eastAsia="en-IN"/>
        </w:rPr>
        <w:t> (pp. 9–31). Emerald Publishing Limited.</w:t>
      </w:r>
    </w:p>
    <w:p w14:paraId="4F43042D">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Giorgi, L. (2024). Scenarios for the future of nature tourism in Portugal-time. In </w:t>
      </w:r>
      <w:r>
        <w:rPr>
          <w:rFonts w:ascii="Georgia" w:hAnsi="Georgia" w:eastAsia="Times New Roman" w:cs="Helvetica"/>
          <w:i/>
          <w:iCs/>
          <w:color w:val="000000"/>
          <w:sz w:val="24"/>
          <w:szCs w:val="24"/>
          <w:lang w:val="en-IN" w:eastAsia="en-IN"/>
        </w:rPr>
        <w:t>years Traditional Tranquility (Master’s thesis)</w:t>
      </w:r>
      <w:r>
        <w:rPr>
          <w:rFonts w:ascii="Georgia" w:hAnsi="Georgia" w:eastAsia="Times New Roman" w:cs="Helvetica"/>
          <w:color w:val="000000"/>
          <w:sz w:val="24"/>
          <w:szCs w:val="24"/>
          <w:lang w:val="en-IN" w:eastAsia="en-IN"/>
        </w:rPr>
        <w:t>.</w:t>
      </w:r>
    </w:p>
    <w:p w14:paraId="590414F4">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Hausmann, A. (2007). Cultural tourism: Marketing challenges and opportunities for German cultural heritage. </w:t>
      </w:r>
      <w:r>
        <w:rPr>
          <w:rFonts w:ascii="Georgia" w:hAnsi="Georgia" w:eastAsia="Times New Roman" w:cs="Helvetica"/>
          <w:i/>
          <w:iCs/>
          <w:color w:val="000000"/>
          <w:sz w:val="24"/>
          <w:szCs w:val="24"/>
          <w:lang w:val="en-IN" w:eastAsia="en-IN"/>
        </w:rPr>
        <w:t>International Journal of Heritage Studies</w:t>
      </w:r>
      <w:r>
        <w:rPr>
          <w:rFonts w:ascii="Georgia" w:hAnsi="Georgia" w:eastAsia="Times New Roman" w:cs="Helvetica"/>
          <w:color w:val="000000"/>
          <w:sz w:val="24"/>
          <w:szCs w:val="24"/>
          <w:lang w:val="en-IN" w:eastAsia="en-IN"/>
        </w:rPr>
        <w:t>, </w:t>
      </w:r>
      <w:r>
        <w:rPr>
          <w:rFonts w:ascii="Georgia" w:hAnsi="Georgia" w:eastAsia="Times New Roman" w:cs="Helvetica"/>
          <w:i/>
          <w:iCs/>
          <w:color w:val="000000"/>
          <w:sz w:val="24"/>
          <w:szCs w:val="24"/>
          <w:lang w:val="en-IN" w:eastAsia="en-IN"/>
        </w:rPr>
        <w:t>13</w:t>
      </w:r>
      <w:r>
        <w:rPr>
          <w:rFonts w:ascii="Georgia" w:hAnsi="Georgia" w:eastAsia="Times New Roman" w:cs="Helvetica"/>
          <w:color w:val="000000"/>
          <w:sz w:val="24"/>
          <w:szCs w:val="24"/>
          <w:lang w:val="en-IN" w:eastAsia="en-IN"/>
        </w:rPr>
        <w:t>(2), 170–184. https://doi.org/10.1080/13527250601121351</w:t>
      </w:r>
    </w:p>
    <w:p w14:paraId="0CA4AFFB">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Law, R., Leung, D., &amp; Chan, I. C. C. (2020). Progression and development of information and communication technology research in hospitality and tourism: A state-of-the-art review. </w:t>
      </w:r>
      <w:r>
        <w:rPr>
          <w:rFonts w:ascii="Georgia" w:hAnsi="Georgia" w:eastAsia="Times New Roman" w:cs="Helvetica"/>
          <w:i/>
          <w:iCs/>
          <w:color w:val="000000"/>
          <w:sz w:val="24"/>
          <w:szCs w:val="24"/>
          <w:lang w:val="en-IN" w:eastAsia="en-IN"/>
        </w:rPr>
        <w:t>International Journal of Contemporary Hospitality Management</w:t>
      </w:r>
      <w:r>
        <w:rPr>
          <w:rFonts w:ascii="Georgia" w:hAnsi="Georgia" w:eastAsia="Times New Roman" w:cs="Helvetica"/>
          <w:color w:val="000000"/>
          <w:sz w:val="24"/>
          <w:szCs w:val="24"/>
          <w:lang w:val="en-IN" w:eastAsia="en-IN"/>
        </w:rPr>
        <w:t>, </w:t>
      </w:r>
      <w:r>
        <w:rPr>
          <w:rFonts w:ascii="Georgia" w:hAnsi="Georgia" w:eastAsia="Times New Roman" w:cs="Helvetica"/>
          <w:i/>
          <w:iCs/>
          <w:color w:val="000000"/>
          <w:sz w:val="24"/>
          <w:szCs w:val="24"/>
          <w:lang w:val="en-IN" w:eastAsia="en-IN"/>
        </w:rPr>
        <w:t>32</w:t>
      </w:r>
      <w:r>
        <w:rPr>
          <w:rFonts w:ascii="Georgia" w:hAnsi="Georgia" w:eastAsia="Times New Roman" w:cs="Helvetica"/>
          <w:color w:val="000000"/>
          <w:sz w:val="24"/>
          <w:szCs w:val="24"/>
          <w:lang w:val="en-IN" w:eastAsia="en-IN"/>
        </w:rPr>
        <w:t>(2), 511–534. https://doi.org/10.1108/ijchm-07-2018-0586</w:t>
      </w:r>
    </w:p>
    <w:p w14:paraId="24FFF3C5">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Mawarni, G., Moutinho, N., Fernandes, P. O., &amp; Nunes, A. (2022). Factors affecting the adventure tourism development index: A worldwide analysis. In </w:t>
      </w:r>
      <w:r>
        <w:rPr>
          <w:rFonts w:ascii="Georgia" w:hAnsi="Georgia" w:eastAsia="Times New Roman" w:cs="Helvetica"/>
          <w:i/>
          <w:iCs/>
          <w:color w:val="000000"/>
          <w:sz w:val="24"/>
          <w:szCs w:val="24"/>
          <w:lang w:val="en-IN" w:eastAsia="en-IN"/>
        </w:rPr>
        <w:t>Advances in Tourism, Technology and Systems</w:t>
      </w:r>
      <w:r>
        <w:rPr>
          <w:rFonts w:ascii="Georgia" w:hAnsi="Georgia" w:eastAsia="Times New Roman" w:cs="Helvetica"/>
          <w:color w:val="000000"/>
          <w:sz w:val="24"/>
          <w:szCs w:val="24"/>
          <w:lang w:val="en-IN" w:eastAsia="en-IN"/>
        </w:rPr>
        <w:t> (pp. 371–383). Springer Nature Singapore.</w:t>
      </w:r>
    </w:p>
    <w:p w14:paraId="0A37A044">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Mayer, M., &amp; Woltering, M. (2017). Nature tourism in Germany’s protected areas. In </w:t>
      </w:r>
      <w:r>
        <w:rPr>
          <w:rFonts w:ascii="Georgia" w:hAnsi="Georgia" w:eastAsia="Times New Roman" w:cs="Helvetica"/>
          <w:i/>
          <w:iCs/>
          <w:color w:val="000000"/>
          <w:sz w:val="24"/>
          <w:szCs w:val="24"/>
          <w:lang w:val="en-IN" w:eastAsia="en-IN"/>
        </w:rPr>
        <w:t>Nature tourism</w:t>
      </w:r>
      <w:r>
        <w:rPr>
          <w:rFonts w:ascii="Georgia" w:hAnsi="Georgia" w:eastAsia="Times New Roman" w:cs="Helvetica"/>
          <w:color w:val="000000"/>
          <w:sz w:val="24"/>
          <w:szCs w:val="24"/>
          <w:lang w:val="en-IN" w:eastAsia="en-IN"/>
        </w:rPr>
        <w:t> (pp. 131–145).</w:t>
      </w:r>
    </w:p>
    <w:p w14:paraId="130C0010">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Müller, S. (2022). </w:t>
      </w:r>
      <w:r>
        <w:rPr>
          <w:rFonts w:ascii="Georgia" w:hAnsi="Georgia" w:eastAsia="Times New Roman" w:cs="Helvetica"/>
          <w:i/>
          <w:iCs/>
          <w:color w:val="000000"/>
          <w:sz w:val="24"/>
          <w:szCs w:val="24"/>
          <w:lang w:val="en-IN" w:eastAsia="en-IN"/>
        </w:rPr>
        <w:t>The future development of surf tourism in coastal destinations in Western Europe: analysis of the potential development of surf tourism in Western Europe and how it can set a benchmark for sustainable adventure tourism</w:t>
      </w:r>
      <w:r>
        <w:rPr>
          <w:rFonts w:ascii="Georgia" w:hAnsi="Georgia" w:eastAsia="Times New Roman" w:cs="Helvetica"/>
          <w:color w:val="000000"/>
          <w:sz w:val="24"/>
          <w:szCs w:val="24"/>
          <w:lang w:val="en-IN" w:eastAsia="en-IN"/>
        </w:rPr>
        <w:t>.</w:t>
      </w:r>
    </w:p>
    <w:p w14:paraId="4E6B117F">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Navío-Marco, J., Ruiz-Gómez, L. M., &amp; Sevilla-Sevilla, C. (2018). Progress in information technology and tourism management: 30 years on and 20 years after the internet - Revisiting Buhalis &amp; Law’s landmark study about eTourism. </w:t>
      </w:r>
      <w:r>
        <w:rPr>
          <w:rFonts w:ascii="Georgia" w:hAnsi="Georgia" w:eastAsia="Times New Roman" w:cs="Helvetica"/>
          <w:i/>
          <w:iCs/>
          <w:color w:val="000000"/>
          <w:sz w:val="24"/>
          <w:szCs w:val="24"/>
          <w:lang w:val="en-IN" w:eastAsia="en-IN"/>
        </w:rPr>
        <w:t>Tourism Management</w:t>
      </w:r>
      <w:r>
        <w:rPr>
          <w:rFonts w:ascii="Georgia" w:hAnsi="Georgia" w:eastAsia="Times New Roman" w:cs="Helvetica"/>
          <w:color w:val="000000"/>
          <w:sz w:val="24"/>
          <w:szCs w:val="24"/>
          <w:lang w:val="en-IN" w:eastAsia="en-IN"/>
        </w:rPr>
        <w:t>, </w:t>
      </w:r>
      <w:r>
        <w:rPr>
          <w:rFonts w:ascii="Georgia" w:hAnsi="Georgia" w:eastAsia="Times New Roman" w:cs="Helvetica"/>
          <w:i/>
          <w:iCs/>
          <w:color w:val="000000"/>
          <w:sz w:val="24"/>
          <w:szCs w:val="24"/>
          <w:lang w:val="en-IN" w:eastAsia="en-IN"/>
        </w:rPr>
        <w:t>69</w:t>
      </w:r>
      <w:r>
        <w:rPr>
          <w:rFonts w:ascii="Georgia" w:hAnsi="Georgia" w:eastAsia="Times New Roman" w:cs="Helvetica"/>
          <w:color w:val="000000"/>
          <w:sz w:val="24"/>
          <w:szCs w:val="24"/>
          <w:lang w:val="en-IN" w:eastAsia="en-IN"/>
        </w:rPr>
        <w:t>, 460–470. https://doi.org/10.1016/j.tourman.2018.06.002</w:t>
      </w:r>
    </w:p>
    <w:p w14:paraId="7C8B0B00">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Papak, M. K., Kovačić, K., &amp; Petričević, D. (2017). Comparing the legal framework of adventure tourism. In </w:t>
      </w:r>
      <w:r>
        <w:rPr>
          <w:rFonts w:ascii="Georgia" w:hAnsi="Georgia" w:eastAsia="Times New Roman" w:cs="Helvetica"/>
          <w:i/>
          <w:iCs/>
          <w:color w:val="000000"/>
          <w:sz w:val="24"/>
          <w:szCs w:val="24"/>
          <w:lang w:val="en-IN" w:eastAsia="en-IN"/>
        </w:rPr>
        <w:t>Proceedings Book: 6th International Scientific Conference Contemporary Kinesiology: Split</w:t>
      </w:r>
      <w:r>
        <w:rPr>
          <w:rFonts w:ascii="Georgia" w:hAnsi="Georgia" w:eastAsia="Times New Roman" w:cs="Helvetica"/>
          <w:color w:val="000000"/>
          <w:sz w:val="24"/>
          <w:szCs w:val="24"/>
          <w:lang w:val="en-IN" w:eastAsia="en-IN"/>
        </w:rPr>
        <w:t>.</w:t>
      </w:r>
    </w:p>
    <w:p w14:paraId="7D320558">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Polukhina, A., Sheresheva, M., Napolskikh, D., &amp; Lezhnin, V. (2024). Digital solutions in tourism as a way to boost sustainable development: Evidence from a transition economy. In </w:t>
      </w:r>
      <w:r>
        <w:rPr>
          <w:rFonts w:ascii="Georgia" w:hAnsi="Georgia" w:eastAsia="Times New Roman" w:cs="Helvetica"/>
          <w:i/>
          <w:iCs/>
          <w:color w:val="000000"/>
          <w:sz w:val="24"/>
          <w:szCs w:val="24"/>
          <w:lang w:val="en-IN" w:eastAsia="en-IN"/>
        </w:rPr>
        <w:t>Preprints</w:t>
      </w:r>
      <w:r>
        <w:rPr>
          <w:rFonts w:ascii="Georgia" w:hAnsi="Georgia" w:eastAsia="Times New Roman" w:cs="Helvetica"/>
          <w:color w:val="000000"/>
          <w:sz w:val="24"/>
          <w:szCs w:val="24"/>
          <w:lang w:val="en-IN" w:eastAsia="en-IN"/>
        </w:rPr>
        <w:t>. https://doi.org/10.20944/preprints202412.1578.v1</w:t>
      </w:r>
    </w:p>
    <w:p w14:paraId="35681FC7">
      <w:pPr>
        <w:spacing w:line="480" w:lineRule="auto"/>
        <w:jc w:val="both"/>
        <w:rPr>
          <w:rFonts w:ascii="Times New Roman" w:hAnsi="Times New Roman" w:cs="Times New Roman"/>
          <w:sz w:val="24"/>
          <w:szCs w:val="24"/>
          <w:lang w:val="en-AU"/>
        </w:rPr>
      </w:pPr>
    </w:p>
    <w:sectPr>
      <w:footerReference r:id="rId5"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汉仪书宋二KW"/>
    <w:panose1 w:val="00000000000000000000"/>
    <w:charset w:val="86"/>
    <w:family w:val="auto"/>
    <w:pitch w:val="default"/>
    <w:sig w:usb0="00000000" w:usb1="00000000" w:usb2="00000000" w:usb3="00000000" w:csb0="00000000" w:csb1="00000000"/>
  </w:font>
  <w:font w:name="Arial">
    <w:panose1 w:val="020B0604020202090204"/>
    <w:charset w:val="00"/>
    <w:family w:val="swiss"/>
    <w:pitch w:val="default"/>
    <w:sig w:usb0="E0000AFF" w:usb1="00007843" w:usb2="00000001" w:usb3="00000000" w:csb0="400001BF" w:csb1="DFF70000"/>
  </w:font>
  <w:font w:name="SimHei">
    <w:altName w:val="汉仪中黑KW"/>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86"/>
    <w:family w:val="swiss"/>
    <w:pitch w:val="default"/>
    <w:sig w:usb0="00000000" w:usb1="00000000" w:usb2="00000001" w:usb3="00000000" w:csb0="0000019F" w:csb1="00000000"/>
  </w:font>
  <w:font w:name="SimSun">
    <w:altName w:val="汉仪书宋二KW"/>
    <w:panose1 w:val="02010600030101010101"/>
    <w:charset w:val="86"/>
    <w:family w:val="auto"/>
    <w:pitch w:val="default"/>
    <w:sig w:usb0="00000000" w:usb1="00000000" w:usb2="00000016" w:usb3="00000000" w:csb0="00040001" w:csb1="00000000"/>
  </w:font>
  <w:font w:name="Calibri">
    <w:altName w:val="Helvetica Neue"/>
    <w:panose1 w:val="00000000000000000000"/>
    <w:charset w:val="00"/>
    <w:family w:val="auto"/>
    <w:pitch w:val="default"/>
    <w:sig w:usb0="00000000" w:usb1="00000000" w:usb2="00000000" w:usb3="00000000" w:csb0="00000000" w:csb1="00000000"/>
  </w:font>
  <w:font w:name="等线 Light">
    <w:altName w:val="汉仪中等线KW"/>
    <w:panose1 w:val="00000000000000000000"/>
    <w:charset w:val="00"/>
    <w:family w:val="auto"/>
    <w:pitch w:val="default"/>
    <w:sig w:usb0="00000000" w:usb1="00000000" w:usb2="00000000" w:usb3="00000000" w:csb0="00000000" w:csb1="00000000"/>
  </w:font>
  <w:font w:name="Calibri Light">
    <w:altName w:val="Helvetica Neue"/>
    <w:panose1 w:val="020F0302020204030204"/>
    <w:charset w:val="00"/>
    <w:family w:val="swiss"/>
    <w:pitch w:val="default"/>
    <w:sig w:usb0="00000000" w:usb1="00000000" w:usb2="00000009" w:usb3="00000000" w:csb0="000001FF" w:csb1="00000000"/>
  </w:font>
  <w:font w:name="等线">
    <w:altName w:val="汉仪中等线KW"/>
    <w:panose1 w:val="00000000000000000000"/>
    <w:charset w:val="00"/>
    <w:family w:val="auto"/>
    <w:pitch w:val="default"/>
    <w:sig w:usb0="00000000" w:usb1="00000000" w:usb2="00000000" w:usb3="00000000" w:csb0="00000000" w:csb1="00000000"/>
  </w:font>
  <w:font w:name="Helvetica">
    <w:panose1 w:val="00000000000000000000"/>
    <w:charset w:val="00"/>
    <w:family w:val="swiss"/>
    <w:pitch w:val="default"/>
    <w:sig w:usb0="E00002FF" w:usb1="5000785B" w:usb2="00000000" w:usb3="00000000" w:csb0="2000019F" w:csb1="4F010000"/>
  </w:font>
  <w:font w:name="Symbol">
    <w:altName w:val="Kingsoft Sign"/>
    <w:panose1 w:val="05050102010706020507"/>
    <w:charset w:val="02"/>
    <w:family w:val="roman"/>
    <w:pitch w:val="default"/>
    <w:sig w:usb0="00000000" w:usb1="0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Georgia">
    <w:panose1 w:val="02040502050405090303"/>
    <w:charset w:val="00"/>
    <w:family w:val="roman"/>
    <w:pitch w:val="default"/>
    <w:sig w:usb0="00000287" w:usb1="00000000" w:usb2="00000000" w:usb3="00000000" w:csb0="2000009F" w:csb1="00000000"/>
  </w:font>
  <w:font w:name="Helvetica Neue">
    <w:panose1 w:val="02000503000000020004"/>
    <w:charset w:val="00"/>
    <w:family w:val="auto"/>
    <w:pitch w:val="default"/>
    <w:sig w:usb0="E50002FF" w:usb1="500079DB" w:usb2="00000010" w:usb3="00000000" w:csb0="00000000" w:csb1="00000000"/>
  </w:font>
  <w:font w:name="Hiragino Sans CNS">
    <w:panose1 w:val="020B0300000000000000"/>
    <w:charset w:val="88"/>
    <w:family w:val="auto"/>
    <w:pitch w:val="default"/>
    <w:sig w:usb0="00000001" w:usb1="1A0F1900" w:usb2="00000016" w:usb3="00000000" w:csb0="00120005" w:csb1="00000000"/>
  </w:font>
  <w:font w:name="Kingsoft Sign">
    <w:panose1 w:val="05050102010706020507"/>
    <w:charset w:val="00"/>
    <w:family w:val="auto"/>
    <w:pitch w:val="default"/>
    <w:sig w:usb0="00000000" w:usb1="10000000" w:usb2="00000000" w:usb3="00000000" w:csb0="00000001" w:csb1="00000000"/>
  </w:font>
  <w:font w:name="汉仪中等线KW">
    <w:panose1 w:val="01010104010101010101"/>
    <w:charset w:val="86"/>
    <w:family w:val="auto"/>
    <w:pitch w:val="default"/>
    <w:sig w:usb0="800002BF" w:usb1="004F7CFA" w:usb2="00000000" w:usb3="00000000" w:csb0="00040001"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Times New Roman Bold">
    <w:panose1 w:val="02020503050405090304"/>
    <w:charset w:val="00"/>
    <w:family w:val="auto"/>
    <w:pitch w:val="default"/>
    <w:sig w:usb0="E0000AFF" w:usb1="00007843" w:usb2="00000001" w:usb3="00000000" w:csb0="400001BF" w:csb1="DFF70000"/>
  </w:font>
  <w:font w:name="Georgia Bold">
    <w:panose1 w:val="02040502050405090303"/>
    <w:charset w:val="00"/>
    <w:family w:val="auto"/>
    <w:pitch w:val="default"/>
    <w:sig w:usb0="00000287" w:usb1="00000000"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78642438"/>
      <w:docPartObj>
        <w:docPartGallery w:val="AutoText"/>
      </w:docPartObj>
    </w:sdtPr>
    <w:sdtEndPr>
      <w:rPr>
        <w:color w:val="808080" w:themeColor="background1" w:themeShade="80"/>
        <w:spacing w:val="60"/>
      </w:rPr>
    </w:sdtEndPr>
    <w:sdtContent>
      <w:p w14:paraId="3877B171">
        <w:pPr>
          <w:pStyle w:val="6"/>
          <w:pBdr>
            <w:top w:val="single" w:color="D8D8D8" w:themeColor="background1" w:themeShade="D9" w:sz="4" w:space="1"/>
          </w:pBdr>
          <w:rPr>
            <w:b/>
            <w:bCs/>
          </w:rPr>
        </w:pPr>
        <w:r>
          <w:fldChar w:fldCharType="begin"/>
        </w:r>
        <w:r>
          <w:instrText xml:space="preserve"> PAGE   \* MERGEFORMAT </w:instrText>
        </w:r>
        <w:r>
          <w:fldChar w:fldCharType="separate"/>
        </w:r>
        <w:r>
          <w:rPr>
            <w:b/>
            <w:bCs/>
          </w:rPr>
          <w:t>2</w:t>
        </w:r>
        <w:r>
          <w:rPr>
            <w:b/>
            <w:bCs/>
          </w:rPr>
          <w:fldChar w:fldCharType="end"/>
        </w:r>
        <w:r>
          <w:rPr>
            <w:b/>
            <w:bCs/>
          </w:rPr>
          <w:t xml:space="preserve"> | </w:t>
        </w:r>
        <w:r>
          <w:rPr>
            <w:color w:val="808080" w:themeColor="background1" w:themeShade="80"/>
            <w:spacing w:val="60"/>
          </w:rPr>
          <w:t>Page</w:t>
        </w:r>
      </w:p>
    </w:sdtContent>
  </w:sdt>
  <w:p w14:paraId="03BAEC75">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5745B1"/>
    <w:multiLevelType w:val="multilevel"/>
    <w:tmpl w:val="075745B1"/>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151E5946"/>
    <w:multiLevelType w:val="multilevel"/>
    <w:tmpl w:val="151E594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18DF639F"/>
    <w:multiLevelType w:val="multilevel"/>
    <w:tmpl w:val="18DF639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1E6662CE"/>
    <w:multiLevelType w:val="multilevel"/>
    <w:tmpl w:val="1E6662CE"/>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2FF62CB5"/>
    <w:multiLevelType w:val="multilevel"/>
    <w:tmpl w:val="2FF62CB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30B71A9A"/>
    <w:multiLevelType w:val="multilevel"/>
    <w:tmpl w:val="30B71A9A"/>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30D879A9"/>
    <w:multiLevelType w:val="multilevel"/>
    <w:tmpl w:val="30D879A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37F32B88"/>
    <w:multiLevelType w:val="multilevel"/>
    <w:tmpl w:val="37F32B8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38682022"/>
    <w:multiLevelType w:val="multilevel"/>
    <w:tmpl w:val="38682022"/>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3B031088"/>
    <w:multiLevelType w:val="multilevel"/>
    <w:tmpl w:val="3B031088"/>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42B267A2"/>
    <w:multiLevelType w:val="multilevel"/>
    <w:tmpl w:val="42B267A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1">
    <w:nsid w:val="442A513C"/>
    <w:multiLevelType w:val="multilevel"/>
    <w:tmpl w:val="442A513C"/>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4931263D"/>
    <w:multiLevelType w:val="multilevel"/>
    <w:tmpl w:val="4931263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3">
    <w:nsid w:val="56C46725"/>
    <w:multiLevelType w:val="multilevel"/>
    <w:tmpl w:val="56C46725"/>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69011D72"/>
    <w:multiLevelType w:val="multilevel"/>
    <w:tmpl w:val="69011D72"/>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5">
    <w:nsid w:val="6CD57024"/>
    <w:multiLevelType w:val="multilevel"/>
    <w:tmpl w:val="6CD5702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6">
    <w:nsid w:val="71372D6A"/>
    <w:multiLevelType w:val="multilevel"/>
    <w:tmpl w:val="71372D6A"/>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7">
    <w:nsid w:val="7C034A26"/>
    <w:multiLevelType w:val="multilevel"/>
    <w:tmpl w:val="7C034A2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6"/>
  </w:num>
  <w:num w:numId="2">
    <w:abstractNumId w:val="3"/>
  </w:num>
  <w:num w:numId="3">
    <w:abstractNumId w:val="8"/>
  </w:num>
  <w:num w:numId="4">
    <w:abstractNumId w:val="9"/>
  </w:num>
  <w:num w:numId="5">
    <w:abstractNumId w:val="11"/>
  </w:num>
  <w:num w:numId="6">
    <w:abstractNumId w:val="16"/>
  </w:num>
  <w:num w:numId="7">
    <w:abstractNumId w:val="14"/>
  </w:num>
  <w:num w:numId="8">
    <w:abstractNumId w:val="0"/>
  </w:num>
  <w:num w:numId="9">
    <w:abstractNumId w:val="5"/>
  </w:num>
  <w:num w:numId="10">
    <w:abstractNumId w:val="17"/>
  </w:num>
  <w:num w:numId="11">
    <w:abstractNumId w:val="13"/>
  </w:num>
  <w:num w:numId="12">
    <w:abstractNumId w:val="1"/>
  </w:num>
  <w:num w:numId="13">
    <w:abstractNumId w:val="4"/>
  </w:num>
  <w:num w:numId="14">
    <w:abstractNumId w:val="12"/>
  </w:num>
  <w:num w:numId="15">
    <w:abstractNumId w:val="10"/>
  </w:num>
  <w:num w:numId="16">
    <w:abstractNumId w:val="2"/>
  </w:num>
  <w:num w:numId="17">
    <w:abstractNumId w:val="7"/>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7"/>
  <w:removePersonalInformation/>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488"/>
    <w:rsid w:val="000D1AA2"/>
    <w:rsid w:val="00164FCC"/>
    <w:rsid w:val="001840E8"/>
    <w:rsid w:val="001D7AD5"/>
    <w:rsid w:val="00361C09"/>
    <w:rsid w:val="003D2488"/>
    <w:rsid w:val="004E4E3E"/>
    <w:rsid w:val="00766298"/>
    <w:rsid w:val="00874F13"/>
    <w:rsid w:val="00945352"/>
    <w:rsid w:val="00C9485A"/>
    <w:rsid w:val="00CC7D0F"/>
    <w:rsid w:val="00DA3ED3"/>
    <w:rsid w:val="00DE4481"/>
    <w:rsid w:val="00FF05FA"/>
    <w:rsid w:val="2FCFA4DF"/>
    <w:rsid w:val="2FDF92F1"/>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14"/>
    <w:qFormat/>
    <w:uiPriority w:val="9"/>
    <w:pPr>
      <w:keepNext/>
      <w:keepLines/>
      <w:spacing w:before="240" w:after="0"/>
      <w:outlineLvl w:val="0"/>
    </w:pPr>
    <w:rPr>
      <w:rFonts w:ascii="Times New Roman" w:hAnsi="Times New Roman" w:eastAsiaTheme="majorEastAsia" w:cstheme="majorBidi"/>
      <w:b/>
      <w:sz w:val="24"/>
      <w:szCs w:val="32"/>
    </w:rPr>
  </w:style>
  <w:style w:type="paragraph" w:styleId="3">
    <w:name w:val="heading 2"/>
    <w:basedOn w:val="1"/>
    <w:next w:val="1"/>
    <w:link w:val="15"/>
    <w:unhideWhenUsed/>
    <w:qFormat/>
    <w:uiPriority w:val="9"/>
    <w:pPr>
      <w:keepNext/>
      <w:keepLines/>
      <w:spacing w:before="40" w:after="0"/>
      <w:outlineLvl w:val="1"/>
    </w:pPr>
    <w:rPr>
      <w:rFonts w:ascii="Times New Roman" w:hAnsi="Times New Roman" w:eastAsiaTheme="majorEastAsia" w:cstheme="majorBidi"/>
      <w:b/>
      <w:i/>
      <w:sz w:val="24"/>
      <w:szCs w:val="26"/>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6">
    <w:name w:val="footer"/>
    <w:basedOn w:val="1"/>
    <w:link w:val="13"/>
    <w:unhideWhenUsed/>
    <w:uiPriority w:val="99"/>
    <w:pPr>
      <w:tabs>
        <w:tab w:val="center" w:pos="4513"/>
        <w:tab w:val="right" w:pos="9026"/>
      </w:tabs>
      <w:spacing w:after="0" w:line="240" w:lineRule="auto"/>
    </w:pPr>
  </w:style>
  <w:style w:type="paragraph" w:styleId="7">
    <w:name w:val="header"/>
    <w:basedOn w:val="1"/>
    <w:link w:val="12"/>
    <w:unhideWhenUsed/>
    <w:uiPriority w:val="99"/>
    <w:pPr>
      <w:tabs>
        <w:tab w:val="center" w:pos="4513"/>
        <w:tab w:val="right" w:pos="9026"/>
      </w:tabs>
      <w:spacing w:after="0" w:line="240" w:lineRule="auto"/>
    </w:pPr>
  </w:style>
  <w:style w:type="character" w:styleId="8">
    <w:name w:val="Hyperlink"/>
    <w:basedOn w:val="4"/>
    <w:unhideWhenUsed/>
    <w:uiPriority w:val="99"/>
    <w:rPr>
      <w:color w:val="0563C1" w:themeColor="hyperlink"/>
      <w:u w:val="single"/>
      <w14:textFill>
        <w14:solidFill>
          <w14:schemeClr w14:val="hlink"/>
        </w14:solidFill>
      </w14:textFill>
    </w:rPr>
  </w:style>
  <w:style w:type="paragraph" w:styleId="9">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sz w:val="24"/>
      <w:szCs w:val="24"/>
      <w:lang w:val="en-IN" w:eastAsia="en-IN"/>
    </w:rPr>
  </w:style>
  <w:style w:type="paragraph" w:styleId="10">
    <w:name w:val="toc 1"/>
    <w:basedOn w:val="1"/>
    <w:next w:val="1"/>
    <w:autoRedefine/>
    <w:unhideWhenUsed/>
    <w:uiPriority w:val="39"/>
    <w:pPr>
      <w:spacing w:after="100"/>
    </w:pPr>
  </w:style>
  <w:style w:type="paragraph" w:styleId="11">
    <w:name w:val="toc 2"/>
    <w:basedOn w:val="1"/>
    <w:next w:val="1"/>
    <w:autoRedefine/>
    <w:unhideWhenUsed/>
    <w:uiPriority w:val="39"/>
    <w:pPr>
      <w:spacing w:after="100"/>
      <w:ind w:left="220"/>
    </w:pPr>
  </w:style>
  <w:style w:type="character" w:customStyle="1" w:styleId="12">
    <w:name w:val="Header Char"/>
    <w:basedOn w:val="4"/>
    <w:link w:val="7"/>
    <w:uiPriority w:val="99"/>
    <w:rPr>
      <w:lang w:val="en-US"/>
    </w:rPr>
  </w:style>
  <w:style w:type="character" w:customStyle="1" w:styleId="13">
    <w:name w:val="Footer Char"/>
    <w:basedOn w:val="4"/>
    <w:link w:val="6"/>
    <w:uiPriority w:val="99"/>
    <w:rPr>
      <w:lang w:val="en-US"/>
    </w:rPr>
  </w:style>
  <w:style w:type="character" w:customStyle="1" w:styleId="14">
    <w:name w:val="Heading 1 Char"/>
    <w:basedOn w:val="4"/>
    <w:link w:val="2"/>
    <w:uiPriority w:val="9"/>
    <w:rPr>
      <w:rFonts w:ascii="Times New Roman" w:hAnsi="Times New Roman" w:eastAsiaTheme="majorEastAsia" w:cstheme="majorBidi"/>
      <w:b/>
      <w:sz w:val="24"/>
      <w:szCs w:val="32"/>
      <w:lang w:val="en-US"/>
    </w:rPr>
  </w:style>
  <w:style w:type="character" w:customStyle="1" w:styleId="15">
    <w:name w:val="Heading 2 Char"/>
    <w:basedOn w:val="4"/>
    <w:link w:val="3"/>
    <w:uiPriority w:val="9"/>
    <w:rPr>
      <w:rFonts w:ascii="Times New Roman" w:hAnsi="Times New Roman" w:eastAsiaTheme="majorEastAsia" w:cstheme="majorBidi"/>
      <w:b/>
      <w:i/>
      <w:sz w:val="24"/>
      <w:szCs w:val="26"/>
      <w:lang w:val="en-US"/>
    </w:rPr>
  </w:style>
  <w:style w:type="paragraph" w:styleId="16">
    <w:name w:val="List Paragraph"/>
    <w:basedOn w:val="1"/>
    <w:qFormat/>
    <w:uiPriority w:val="34"/>
    <w:pPr>
      <w:ind w:left="720"/>
      <w:contextualSpacing/>
    </w:pPr>
  </w:style>
  <w:style w:type="paragraph" w:customStyle="1" w:styleId="17">
    <w:name w:val="TOC Heading"/>
    <w:basedOn w:val="2"/>
    <w:next w:val="1"/>
    <w:unhideWhenUsed/>
    <w:qFormat/>
    <w:uiPriority w:val="39"/>
    <w:pPr>
      <w:outlineLvl w:val="9"/>
    </w:pPr>
    <w:rPr>
      <w:rFonts w:asciiTheme="majorHAnsi" w:hAnsiTheme="majorHAnsi"/>
      <w:b w:val="0"/>
      <w:color w:val="2F5597" w:themeColor="accent1" w:themeShade="BF"/>
      <w:sz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3.emf"/><Relationship Id="rId8" Type="http://schemas.openxmlformats.org/officeDocument/2006/relationships/image" Target="media/image2.jpe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1.xml"/><Relationship Id="rId17" Type="http://schemas.openxmlformats.org/officeDocument/2006/relationships/numbering" Target="numbering.xml"/><Relationship Id="rId16" Type="http://schemas.openxmlformats.org/officeDocument/2006/relationships/image" Target="media/image10.emf"/><Relationship Id="rId15" Type="http://schemas.openxmlformats.org/officeDocument/2006/relationships/image" Target="media/image9.emf"/><Relationship Id="rId14" Type="http://schemas.openxmlformats.org/officeDocument/2006/relationships/image" Target="media/image8.emf"/><Relationship Id="rId13" Type="http://schemas.openxmlformats.org/officeDocument/2006/relationships/image" Target="media/image7.emf"/><Relationship Id="rId12" Type="http://schemas.openxmlformats.org/officeDocument/2006/relationships/image" Target="media/image6.emf"/><Relationship Id="rId11" Type="http://schemas.openxmlformats.org/officeDocument/2006/relationships/image" Target="media/image5.emf"/><Relationship Id="rId10" Type="http://schemas.openxmlformats.org/officeDocument/2006/relationships/image" Target="media/image4.emf"/><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524E636-F4E3-4197-A66B-D5A1BF1A3DC8}">
  <ds:schemaRefs/>
</ds:datastoreItem>
</file>

<file path=docProps/app.xml><?xml version="1.0" encoding="utf-8"?>
<Properties xmlns="http://schemas.openxmlformats.org/officeDocument/2006/extended-properties" xmlns:vt="http://schemas.openxmlformats.org/officeDocument/2006/docPropsVTypes">
  <Template>Normal</Template>
  <Pages>31</Pages>
  <Words>5910</Words>
  <Characters>33691</Characters>
  <Lines>280</Lines>
  <Paragraphs>79</Paragraphs>
  <TotalTime>23</TotalTime>
  <ScaleCrop>false</ScaleCrop>
  <LinksUpToDate>false</LinksUpToDate>
  <CharactersWithSpaces>39522</CharactersWithSpaces>
  <Application>WPS Office_6.11.0.8615_F1E327BC-269C-435d-A152-05C5408002CA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2025-03-25T10:24:00Z</dcterms:created>
  <dcterms:modified xsi:type="dcterms:W3CDTF">2025-04-04T14:56:50Z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1033-6.11.0.8615</vt:lpwstr>
  </property>
  <property fmtid="{D5CDD505-2E9C-101B-9397-08002B2CF9AE}" pid="3" name="ICV">
    <vt:lpwstr>1E28BEE0A0C5520B1AD1EF6761BA8856_42</vt:lpwstr>
  </property>
</Properties>
</file>