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CC67E8" w:rsidRDefault="00DC2FF7" w:rsidP="006B6E2B">
      <w:pPr>
        <w:spacing w:line="480" w:lineRule="auto"/>
        <w:jc w:val="center"/>
        <w:rPr>
          <w:rFonts w:ascii="Times New Roman" w:hAnsi="Times New Roman" w:cs="Times New Roman"/>
          <w:szCs w:val="24"/>
        </w:rPr>
      </w:pPr>
      <w:r w:rsidRPr="00CC67E8">
        <w:rPr>
          <w:rFonts w:ascii="Times New Roman" w:hAnsi="Times New Roman" w:cs="Times New Roman"/>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1F81B004" w14:textId="77777777" w:rsidR="006B6E2B" w:rsidRPr="006B6E2B" w:rsidRDefault="006B6E2B" w:rsidP="006B6E2B">
      <w:pPr>
        <w:spacing w:line="480" w:lineRule="auto"/>
        <w:jc w:val="center"/>
        <w:rPr>
          <w:rFonts w:ascii="Times New Roman" w:hAnsi="Times New Roman" w:cs="Times New Roman"/>
          <w:b/>
          <w:bCs/>
          <w:szCs w:val="24"/>
        </w:rPr>
      </w:pPr>
      <w:proofErr w:type="spellStart"/>
      <w:r w:rsidRPr="006B6E2B">
        <w:rPr>
          <w:rFonts w:ascii="Times New Roman" w:hAnsi="Times New Roman" w:cs="Times New Roman"/>
          <w:b/>
          <w:bCs/>
          <w:szCs w:val="24"/>
        </w:rPr>
        <w:t>Accouting</w:t>
      </w:r>
      <w:proofErr w:type="spellEnd"/>
      <w:r w:rsidRPr="006B6E2B">
        <w:rPr>
          <w:rFonts w:ascii="Times New Roman" w:hAnsi="Times New Roman" w:cs="Times New Roman"/>
          <w:b/>
          <w:bCs/>
          <w:szCs w:val="24"/>
        </w:rPr>
        <w:t xml:space="preserve"> Fundamentals February BATTBM</w:t>
      </w:r>
    </w:p>
    <w:p w14:paraId="0C07834F" w14:textId="2CE259A7" w:rsidR="00DC2FF7" w:rsidRPr="00CC67E8" w:rsidRDefault="006B6E2B" w:rsidP="006B6E2B">
      <w:pPr>
        <w:spacing w:line="480" w:lineRule="auto"/>
        <w:jc w:val="center"/>
        <w:rPr>
          <w:rFonts w:ascii="Times New Roman" w:hAnsi="Times New Roman" w:cs="Times New Roman"/>
          <w:b/>
          <w:bCs/>
          <w:szCs w:val="24"/>
        </w:rPr>
      </w:pPr>
      <w:r w:rsidRPr="00CC67E8">
        <w:rPr>
          <w:rFonts w:ascii="Times New Roman" w:hAnsi="Times New Roman" w:cs="Times New Roman"/>
          <w:b/>
          <w:bCs/>
          <w:szCs w:val="24"/>
        </w:rPr>
        <w:t>Assignment 1: Advanced Theoretical Concepts of Accounting and Their Application in Modern Business Practices</w:t>
      </w:r>
    </w:p>
    <w:p w14:paraId="688A41E5" w14:textId="77777777" w:rsidR="006B6E2B" w:rsidRPr="00CC67E8" w:rsidRDefault="006B6E2B" w:rsidP="006B6E2B">
      <w:pPr>
        <w:spacing w:line="480" w:lineRule="auto"/>
        <w:jc w:val="center"/>
        <w:rPr>
          <w:rFonts w:ascii="Times New Roman" w:hAnsi="Times New Roman" w:cs="Times New Roman"/>
          <w:b/>
          <w:bCs/>
          <w:szCs w:val="24"/>
        </w:rPr>
      </w:pPr>
    </w:p>
    <w:p w14:paraId="25E2559E" w14:textId="77777777" w:rsidR="006B6E2B" w:rsidRPr="00CC67E8" w:rsidRDefault="006B6E2B" w:rsidP="006B6E2B">
      <w:pPr>
        <w:spacing w:line="480" w:lineRule="auto"/>
        <w:jc w:val="center"/>
        <w:rPr>
          <w:rFonts w:ascii="Times New Roman" w:hAnsi="Times New Roman" w:cs="Times New Roman"/>
          <w:b/>
          <w:bCs/>
          <w:szCs w:val="24"/>
        </w:rPr>
      </w:pPr>
    </w:p>
    <w:p w14:paraId="220689EF" w14:textId="77777777" w:rsidR="006B6E2B" w:rsidRPr="00CC67E8" w:rsidRDefault="006B6E2B" w:rsidP="006B6E2B">
      <w:pPr>
        <w:spacing w:line="480" w:lineRule="auto"/>
        <w:jc w:val="center"/>
        <w:rPr>
          <w:rFonts w:ascii="Times New Roman" w:hAnsi="Times New Roman" w:cs="Times New Roman"/>
          <w:b/>
          <w:bCs/>
          <w:szCs w:val="24"/>
        </w:rPr>
      </w:pPr>
    </w:p>
    <w:p w14:paraId="7428F784" w14:textId="77777777" w:rsidR="006B6E2B" w:rsidRPr="00CC67E8" w:rsidRDefault="006B6E2B" w:rsidP="006B6E2B">
      <w:pPr>
        <w:spacing w:line="480" w:lineRule="auto"/>
        <w:jc w:val="center"/>
        <w:rPr>
          <w:rFonts w:ascii="Times New Roman" w:hAnsi="Times New Roman" w:cs="Times New Roman"/>
          <w:b/>
          <w:bCs/>
          <w:szCs w:val="24"/>
        </w:rPr>
      </w:pPr>
    </w:p>
    <w:p w14:paraId="0E3372A9" w14:textId="77777777" w:rsidR="006B6E2B" w:rsidRPr="00CC67E8" w:rsidRDefault="006B6E2B" w:rsidP="006B6E2B">
      <w:pPr>
        <w:spacing w:line="480" w:lineRule="auto"/>
        <w:jc w:val="center"/>
        <w:rPr>
          <w:rFonts w:ascii="Times New Roman" w:hAnsi="Times New Roman" w:cs="Times New Roman"/>
          <w:b/>
          <w:bCs/>
          <w:szCs w:val="24"/>
        </w:rPr>
      </w:pPr>
    </w:p>
    <w:p w14:paraId="5005E36E" w14:textId="77777777" w:rsidR="006B6E2B" w:rsidRPr="00CC67E8" w:rsidRDefault="006B6E2B" w:rsidP="006B6E2B">
      <w:pPr>
        <w:spacing w:line="480" w:lineRule="auto"/>
        <w:jc w:val="center"/>
        <w:rPr>
          <w:rFonts w:ascii="Times New Roman" w:hAnsi="Times New Roman" w:cs="Times New Roman"/>
          <w:b/>
          <w:bCs/>
          <w:szCs w:val="24"/>
        </w:rPr>
      </w:pPr>
    </w:p>
    <w:p w14:paraId="580C98A3" w14:textId="77777777" w:rsidR="006B6E2B" w:rsidRPr="00CC67E8" w:rsidRDefault="006B6E2B" w:rsidP="006B6E2B">
      <w:pPr>
        <w:spacing w:line="480" w:lineRule="auto"/>
        <w:jc w:val="center"/>
        <w:rPr>
          <w:rFonts w:ascii="Times New Roman" w:hAnsi="Times New Roman" w:cs="Times New Roman"/>
          <w:b/>
          <w:bCs/>
          <w:szCs w:val="24"/>
        </w:rPr>
      </w:pPr>
    </w:p>
    <w:p w14:paraId="5841969B" w14:textId="77777777" w:rsidR="006B6E2B" w:rsidRPr="00CC67E8" w:rsidRDefault="006B6E2B" w:rsidP="006B6E2B">
      <w:pPr>
        <w:spacing w:line="480" w:lineRule="auto"/>
        <w:jc w:val="center"/>
        <w:rPr>
          <w:rFonts w:ascii="Times New Roman" w:hAnsi="Times New Roman" w:cs="Times New Roman"/>
          <w:b/>
          <w:bCs/>
          <w:szCs w:val="24"/>
        </w:rPr>
      </w:pPr>
    </w:p>
    <w:p w14:paraId="77C39B09" w14:textId="77777777" w:rsidR="006B6E2B" w:rsidRPr="00CC67E8" w:rsidRDefault="006B6E2B" w:rsidP="006B6E2B">
      <w:pPr>
        <w:spacing w:line="480" w:lineRule="auto"/>
        <w:jc w:val="center"/>
        <w:rPr>
          <w:rFonts w:ascii="Times New Roman" w:hAnsi="Times New Roman" w:cs="Times New Roman"/>
          <w:b/>
          <w:bCs/>
          <w:szCs w:val="24"/>
        </w:rPr>
      </w:pPr>
    </w:p>
    <w:p w14:paraId="2818F57F" w14:textId="77777777" w:rsidR="006B6E2B" w:rsidRPr="00CC67E8" w:rsidRDefault="006B6E2B" w:rsidP="006B6E2B">
      <w:pPr>
        <w:spacing w:line="480" w:lineRule="auto"/>
        <w:jc w:val="center"/>
        <w:rPr>
          <w:rFonts w:ascii="Times New Roman" w:hAnsi="Times New Roman" w:cs="Times New Roman"/>
          <w:b/>
          <w:bCs/>
          <w:szCs w:val="24"/>
        </w:rPr>
      </w:pPr>
    </w:p>
    <w:p w14:paraId="64BA8196" w14:textId="77777777" w:rsidR="006B6E2B" w:rsidRPr="00CC67E8" w:rsidRDefault="006B6E2B" w:rsidP="006B6E2B">
      <w:pPr>
        <w:spacing w:line="480" w:lineRule="auto"/>
        <w:jc w:val="center"/>
        <w:rPr>
          <w:rFonts w:ascii="Times New Roman" w:hAnsi="Times New Roman" w:cs="Times New Roman"/>
          <w:b/>
          <w:bCs/>
          <w:szCs w:val="24"/>
        </w:rPr>
      </w:pPr>
    </w:p>
    <w:p w14:paraId="3D6F2BE7" w14:textId="77777777" w:rsidR="006B6E2B" w:rsidRPr="00CC67E8" w:rsidRDefault="006B6E2B" w:rsidP="006B6E2B">
      <w:pPr>
        <w:spacing w:line="480" w:lineRule="auto"/>
        <w:jc w:val="center"/>
        <w:rPr>
          <w:rFonts w:ascii="Times New Roman" w:hAnsi="Times New Roman" w:cs="Times New Roman"/>
          <w:b/>
          <w:bCs/>
          <w:szCs w:val="24"/>
        </w:rPr>
      </w:pPr>
    </w:p>
    <w:p w14:paraId="22CC604F" w14:textId="77777777" w:rsidR="006B6E2B" w:rsidRPr="00CC67E8" w:rsidRDefault="006B6E2B" w:rsidP="006B6E2B">
      <w:pPr>
        <w:spacing w:line="480" w:lineRule="auto"/>
        <w:jc w:val="center"/>
        <w:rPr>
          <w:rFonts w:ascii="Times New Roman" w:hAnsi="Times New Roman" w:cs="Times New Roman"/>
          <w:b/>
          <w:bCs/>
          <w:szCs w:val="24"/>
        </w:rPr>
      </w:pPr>
    </w:p>
    <w:p w14:paraId="226179BC" w14:textId="77777777" w:rsidR="00E4472F" w:rsidRPr="00CC67E8" w:rsidRDefault="00E4472F" w:rsidP="00C76C6F">
      <w:pPr>
        <w:pStyle w:val="Heading2"/>
        <w:rPr>
          <w:rFonts w:ascii="Times New Roman" w:hAnsi="Times New Roman" w:cs="Times New Roman"/>
          <w:sz w:val="24"/>
          <w:szCs w:val="24"/>
        </w:rPr>
      </w:pPr>
      <w:bookmarkStart w:id="0" w:name="_Toc224846299"/>
      <w:r w:rsidRPr="00CC67E8">
        <w:rPr>
          <w:rFonts w:ascii="Times New Roman" w:hAnsi="Times New Roman" w:cs="Times New Roman"/>
          <w:sz w:val="24"/>
          <w:szCs w:val="24"/>
        </w:rPr>
        <w:lastRenderedPageBreak/>
        <w:t>Abstract</w:t>
      </w:r>
      <w:bookmarkEnd w:id="0"/>
    </w:p>
    <w:p w14:paraId="1087E7F5" w14:textId="77777777" w:rsidR="00E4472F" w:rsidRPr="00E4472F" w:rsidRDefault="00E4472F" w:rsidP="00E4472F">
      <w:pPr>
        <w:spacing w:line="480" w:lineRule="auto"/>
        <w:rPr>
          <w:rFonts w:ascii="Times New Roman" w:hAnsi="Times New Roman" w:cs="Times New Roman"/>
          <w:szCs w:val="24"/>
        </w:rPr>
      </w:pPr>
      <w:r w:rsidRPr="00E4472F">
        <w:rPr>
          <w:rFonts w:ascii="Times New Roman" w:hAnsi="Times New Roman" w:cs="Times New Roman"/>
          <w:szCs w:val="24"/>
        </w:rPr>
        <w:t xml:space="preserve">This report critically examines advanced theoretical concepts of accounting and their relevance in modern business practices. It begins by </w:t>
      </w:r>
      <w:proofErr w:type="spellStart"/>
      <w:r w:rsidRPr="00E4472F">
        <w:rPr>
          <w:rFonts w:ascii="Times New Roman" w:hAnsi="Times New Roman" w:cs="Times New Roman"/>
          <w:szCs w:val="24"/>
        </w:rPr>
        <w:t>analyzing</w:t>
      </w:r>
      <w:proofErr w:type="spellEnd"/>
      <w:r w:rsidRPr="00E4472F">
        <w:rPr>
          <w:rFonts w:ascii="Times New Roman" w:hAnsi="Times New Roman" w:cs="Times New Roman"/>
          <w:szCs w:val="24"/>
        </w:rPr>
        <w:t xml:space="preserve"> the evolution of fundamental principles, particularly the accounting equation, and how its interpretation has expanded in response to increasingly complex financial environments. The study further explores the comparative frameworks of International Financial Reporting Standards (IFRS) and Generally Accepted Accounting Principles (GAAP), highlighting their implications for financial reporting quality, comparability, and global decision-making.</w:t>
      </w:r>
    </w:p>
    <w:p w14:paraId="48DA607E" w14:textId="77777777" w:rsidR="00E4472F" w:rsidRPr="00E4472F" w:rsidRDefault="00E4472F" w:rsidP="00E4472F">
      <w:pPr>
        <w:spacing w:line="480" w:lineRule="auto"/>
        <w:rPr>
          <w:rFonts w:ascii="Times New Roman" w:hAnsi="Times New Roman" w:cs="Times New Roman"/>
          <w:szCs w:val="24"/>
        </w:rPr>
      </w:pPr>
      <w:r w:rsidRPr="00E4472F">
        <w:rPr>
          <w:rFonts w:ascii="Times New Roman" w:hAnsi="Times New Roman" w:cs="Times New Roman"/>
          <w:szCs w:val="24"/>
        </w:rPr>
        <w:t xml:space="preserve">The role of corporate governance is also investigated, emphasizing its importance in promoting ethical accounting practices, enhancing transparency, and safeguarding stakeholder interests. Additionally, the report </w:t>
      </w:r>
      <w:proofErr w:type="spellStart"/>
      <w:r w:rsidRPr="00E4472F">
        <w:rPr>
          <w:rFonts w:ascii="Times New Roman" w:hAnsi="Times New Roman" w:cs="Times New Roman"/>
          <w:szCs w:val="24"/>
        </w:rPr>
        <w:t>analyzes</w:t>
      </w:r>
      <w:proofErr w:type="spellEnd"/>
      <w:r w:rsidRPr="00E4472F">
        <w:rPr>
          <w:rFonts w:ascii="Times New Roman" w:hAnsi="Times New Roman" w:cs="Times New Roman"/>
          <w:szCs w:val="24"/>
        </w:rPr>
        <w:t xml:space="preserve"> the interrelationship between key financial statements—balance sheet, income statement, and cash flow statement—and how their integration provides a comprehensive view of an organization’s financial health.</w:t>
      </w:r>
    </w:p>
    <w:p w14:paraId="7CB4AE57" w14:textId="77777777" w:rsidR="00E4472F" w:rsidRPr="00E4472F" w:rsidRDefault="00E4472F" w:rsidP="00E4472F">
      <w:pPr>
        <w:spacing w:line="480" w:lineRule="auto"/>
        <w:rPr>
          <w:rFonts w:ascii="Times New Roman" w:hAnsi="Times New Roman" w:cs="Times New Roman"/>
          <w:szCs w:val="24"/>
        </w:rPr>
      </w:pPr>
      <w:r w:rsidRPr="00E4472F">
        <w:rPr>
          <w:rFonts w:ascii="Times New Roman" w:hAnsi="Times New Roman" w:cs="Times New Roman"/>
          <w:szCs w:val="24"/>
        </w:rPr>
        <w:t>Advanced accounting concepts such as fair value measurement, asset impairment, and off-balance-sheet financing are discussed with reference to real-world applications, demonstrating their practical significance and potential risks. Overall, the report provides a critical and applied perspective on how contemporary accounting frameworks support informed business decisions while addressing the challenges posed by globalization, regulatory diversity, and financial complexity.</w:t>
      </w:r>
    </w:p>
    <w:p w14:paraId="6E3581FB" w14:textId="77777777" w:rsidR="006B6E2B" w:rsidRPr="00CC67E8" w:rsidRDefault="006B6E2B" w:rsidP="006B6E2B">
      <w:pPr>
        <w:spacing w:line="480" w:lineRule="auto"/>
        <w:rPr>
          <w:rFonts w:ascii="Times New Roman" w:hAnsi="Times New Roman" w:cs="Times New Roman"/>
          <w:b/>
          <w:bCs/>
          <w:szCs w:val="24"/>
        </w:rPr>
      </w:pPr>
    </w:p>
    <w:p w14:paraId="337C325C" w14:textId="77777777" w:rsidR="00E4472F" w:rsidRPr="00CC67E8" w:rsidRDefault="00E4472F" w:rsidP="006B6E2B">
      <w:pPr>
        <w:spacing w:line="480" w:lineRule="auto"/>
        <w:rPr>
          <w:rFonts w:ascii="Times New Roman" w:hAnsi="Times New Roman" w:cs="Times New Roman"/>
          <w:b/>
          <w:bCs/>
          <w:szCs w:val="24"/>
        </w:rPr>
      </w:pPr>
    </w:p>
    <w:p w14:paraId="50F39113" w14:textId="77777777" w:rsidR="00E4472F" w:rsidRPr="00CC67E8" w:rsidRDefault="00E4472F" w:rsidP="006B6E2B">
      <w:pPr>
        <w:spacing w:line="480" w:lineRule="auto"/>
        <w:rPr>
          <w:rFonts w:ascii="Times New Roman" w:hAnsi="Times New Roman" w:cs="Times New Roman"/>
          <w:b/>
          <w:bCs/>
          <w:szCs w:val="24"/>
        </w:rPr>
      </w:pPr>
    </w:p>
    <w:sdt>
      <w:sdtPr>
        <w:rPr>
          <w:rFonts w:ascii="Times New Roman" w:hAnsi="Times New Roman" w:cs="Times New Roman"/>
          <w:sz w:val="24"/>
          <w:szCs w:val="24"/>
        </w:rPr>
        <w:id w:val="671619869"/>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363F3AC5" w14:textId="42E57AE9" w:rsidR="00CC67E8" w:rsidRPr="00CC67E8" w:rsidRDefault="00CC67E8">
          <w:pPr>
            <w:pStyle w:val="TOCHeading"/>
            <w:rPr>
              <w:rFonts w:ascii="Times New Roman" w:hAnsi="Times New Roman" w:cs="Times New Roman"/>
              <w:sz w:val="24"/>
              <w:szCs w:val="24"/>
            </w:rPr>
          </w:pPr>
          <w:r w:rsidRPr="00CC67E8">
            <w:rPr>
              <w:rFonts w:ascii="Times New Roman" w:hAnsi="Times New Roman" w:cs="Times New Roman"/>
              <w:sz w:val="24"/>
              <w:szCs w:val="24"/>
            </w:rPr>
            <w:t>Contents</w:t>
          </w:r>
        </w:p>
        <w:p w14:paraId="3BE2C28B" w14:textId="1C8DE226" w:rsidR="00CC67E8" w:rsidRPr="00CC67E8" w:rsidRDefault="00CC67E8">
          <w:pPr>
            <w:pStyle w:val="TOC2"/>
            <w:tabs>
              <w:tab w:val="right" w:leader="dot" w:pos="9350"/>
            </w:tabs>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054E1C93" w14:textId="76C52AA6" w:rsidR="00CC67E8" w:rsidRPr="00CC67E8" w:rsidRDefault="00CC67E8">
          <w:pPr>
            <w:pStyle w:val="TOC2"/>
            <w:tabs>
              <w:tab w:val="right" w:leader="dot" w:pos="9350"/>
            </w:tabs>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20AAF138" w14:textId="3F45D7B7" w:rsidR="00CC67E8" w:rsidRPr="00CC67E8" w:rsidRDefault="00CC67E8">
          <w:pPr>
            <w:pStyle w:val="TOC2"/>
            <w:tabs>
              <w:tab w:val="right" w:leader="dot" w:pos="9350"/>
            </w:tabs>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58F4C590" w14:textId="16C6D9F6" w:rsidR="00CC67E8" w:rsidRPr="00CC67E8" w:rsidRDefault="00CC67E8">
          <w:pPr>
            <w:pStyle w:val="TOC2"/>
            <w:tabs>
              <w:tab w:val="right" w:leader="dot" w:pos="9350"/>
            </w:tabs>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414C0572" w14:textId="6DCFED8E" w:rsidR="00CC67E8" w:rsidRPr="00CC67E8" w:rsidRDefault="00CC67E8">
          <w:pPr>
            <w:pStyle w:val="TOC2"/>
            <w:tabs>
              <w:tab w:val="right" w:leader="dot" w:pos="9350"/>
            </w:tabs>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1C79C1FB" w14:textId="165DE56E" w:rsidR="00CC67E8" w:rsidRPr="00CC67E8" w:rsidRDefault="00CC67E8">
          <w:pPr>
            <w:pStyle w:val="TOC2"/>
            <w:tabs>
              <w:tab w:val="right" w:leader="dot" w:pos="9350"/>
            </w:tabs>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06136C51" w14:textId="0A1630D9" w:rsidR="00CC67E8" w:rsidRPr="00CC67E8" w:rsidRDefault="00CC67E8">
          <w:pPr>
            <w:pStyle w:val="TOC2"/>
            <w:tabs>
              <w:tab w:val="right" w:leader="dot" w:pos="9350"/>
            </w:tabs>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322F0065" w14:textId="509A2EE0" w:rsidR="00CC67E8" w:rsidRPr="00CC67E8" w:rsidRDefault="00CC67E8">
          <w:pPr>
            <w:pStyle w:val="TOC2"/>
            <w:tabs>
              <w:tab w:val="right" w:leader="dot" w:pos="9350"/>
            </w:tabs>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502EF988" w14:textId="4ECC61A9" w:rsidR="00CC67E8" w:rsidRPr="00CC67E8" w:rsidRDefault="00CC67E8">
          <w:pPr>
            <w:pStyle w:val="TOC2"/>
            <w:tabs>
              <w:tab w:val="right" w:leader="dot" w:pos="9350"/>
            </w:tabs>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32BE55C2" w14:textId="11CB64C4" w:rsidR="00CC67E8" w:rsidRPr="00CC67E8" w:rsidRDefault="00CC67E8">
          <w:pPr>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564A99E8" w14:textId="77777777" w:rsidR="00E4472F" w:rsidRPr="00CC67E8" w:rsidRDefault="00E4472F" w:rsidP="006B6E2B">
      <w:pPr>
        <w:spacing w:line="480" w:lineRule="auto"/>
        <w:rPr>
          <w:rFonts w:ascii="Times New Roman" w:hAnsi="Times New Roman" w:cs="Times New Roman"/>
          <w:b/>
          <w:bCs/>
          <w:szCs w:val="24"/>
        </w:rPr>
      </w:pPr>
    </w:p>
    <w:p w14:paraId="0A867957" w14:textId="77777777" w:rsidR="00E4472F" w:rsidRPr="00CC67E8" w:rsidRDefault="00E4472F" w:rsidP="006B6E2B">
      <w:pPr>
        <w:spacing w:line="480" w:lineRule="auto"/>
        <w:rPr>
          <w:rFonts w:ascii="Times New Roman" w:hAnsi="Times New Roman" w:cs="Times New Roman"/>
          <w:b/>
          <w:bCs/>
          <w:szCs w:val="24"/>
        </w:rPr>
      </w:pPr>
    </w:p>
    <w:p w14:paraId="15031C97" w14:textId="77777777" w:rsidR="00E4472F" w:rsidRPr="00CC67E8" w:rsidRDefault="00E4472F" w:rsidP="006B6E2B">
      <w:pPr>
        <w:spacing w:line="480" w:lineRule="auto"/>
        <w:rPr>
          <w:rFonts w:ascii="Times New Roman" w:hAnsi="Times New Roman" w:cs="Times New Roman"/>
          <w:b/>
          <w:bCs/>
          <w:szCs w:val="24"/>
        </w:rPr>
      </w:pPr>
    </w:p>
    <w:p w14:paraId="68470339" w14:textId="77777777" w:rsidR="00E4472F" w:rsidRPr="00CC67E8" w:rsidRDefault="00E4472F" w:rsidP="006B6E2B">
      <w:pPr>
        <w:spacing w:line="480" w:lineRule="auto"/>
        <w:rPr>
          <w:rFonts w:ascii="Times New Roman" w:hAnsi="Times New Roman" w:cs="Times New Roman"/>
          <w:b/>
          <w:bCs/>
          <w:szCs w:val="24"/>
        </w:rPr>
      </w:pPr>
    </w:p>
    <w:p w14:paraId="2E7A1930" w14:textId="77777777" w:rsidR="00E4472F" w:rsidRPr="00CC67E8" w:rsidRDefault="00E4472F" w:rsidP="006B6E2B">
      <w:pPr>
        <w:spacing w:line="480" w:lineRule="auto"/>
        <w:rPr>
          <w:rFonts w:ascii="Times New Roman" w:hAnsi="Times New Roman" w:cs="Times New Roman"/>
          <w:b/>
          <w:bCs/>
          <w:szCs w:val="24"/>
        </w:rPr>
      </w:pPr>
    </w:p>
    <w:p w14:paraId="33A4BD5B" w14:textId="77777777" w:rsidR="00E4472F" w:rsidRPr="00CC67E8" w:rsidRDefault="00E4472F" w:rsidP="006B6E2B">
      <w:pPr>
        <w:spacing w:line="480" w:lineRule="auto"/>
        <w:rPr>
          <w:rFonts w:ascii="Times New Roman" w:hAnsi="Times New Roman" w:cs="Times New Roman"/>
          <w:b/>
          <w:bCs/>
          <w:szCs w:val="24"/>
        </w:rPr>
      </w:pPr>
    </w:p>
    <w:p w14:paraId="0E74389F" w14:textId="77777777" w:rsidR="00E4472F" w:rsidRPr="00CC67E8" w:rsidRDefault="00E4472F" w:rsidP="006B6E2B">
      <w:pPr>
        <w:spacing w:line="480" w:lineRule="auto"/>
        <w:rPr>
          <w:rFonts w:ascii="Times New Roman" w:hAnsi="Times New Roman" w:cs="Times New Roman"/>
          <w:b/>
          <w:bCs/>
          <w:szCs w:val="24"/>
        </w:rPr>
      </w:pPr>
    </w:p>
    <w:p w14:paraId="53530971" w14:textId="77777777" w:rsidR="00E4472F" w:rsidRPr="00CC67E8" w:rsidRDefault="00E4472F" w:rsidP="006B6E2B">
      <w:pPr>
        <w:spacing w:line="480" w:lineRule="auto"/>
        <w:rPr>
          <w:rFonts w:ascii="Times New Roman" w:hAnsi="Times New Roman" w:cs="Times New Roman"/>
          <w:b/>
          <w:bCs/>
          <w:szCs w:val="24"/>
        </w:rPr>
      </w:pPr>
    </w:p>
    <w:p w14:paraId="52B587EC" w14:textId="77777777" w:rsidR="00E4472F" w:rsidRPr="00CC67E8" w:rsidRDefault="00E4472F" w:rsidP="006B6E2B">
      <w:pPr>
        <w:spacing w:line="480" w:lineRule="auto"/>
        <w:rPr>
          <w:rFonts w:ascii="Times New Roman" w:hAnsi="Times New Roman" w:cs="Times New Roman"/>
          <w:b/>
          <w:bCs/>
          <w:szCs w:val="24"/>
        </w:rPr>
      </w:pPr>
    </w:p>
    <w:p w14:paraId="50568658" w14:textId="77777777" w:rsidR="00E4472F" w:rsidRPr="00CC67E8" w:rsidRDefault="00E4472F" w:rsidP="006B6E2B">
      <w:pPr>
        <w:spacing w:line="480" w:lineRule="auto"/>
        <w:rPr>
          <w:rFonts w:ascii="Times New Roman" w:hAnsi="Times New Roman" w:cs="Times New Roman"/>
          <w:b/>
          <w:bCs/>
          <w:szCs w:val="24"/>
        </w:rPr>
      </w:pPr>
    </w:p>
    <w:p w14:paraId="65F5C48A" w14:textId="77777777" w:rsidR="00E4472F" w:rsidRPr="00CC67E8" w:rsidRDefault="00E4472F" w:rsidP="006B6E2B">
      <w:pPr>
        <w:spacing w:line="480" w:lineRule="auto"/>
        <w:rPr>
          <w:rFonts w:ascii="Times New Roman" w:hAnsi="Times New Roman" w:cs="Times New Roman"/>
          <w:b/>
          <w:bCs/>
          <w:szCs w:val="24"/>
        </w:rPr>
      </w:pPr>
    </w:p>
    <w:p w14:paraId="1F9E4911" w14:textId="78622C0A" w:rsidR="00E4472F" w:rsidRPr="00CC67E8" w:rsidRDefault="00E4472F" w:rsidP="00C76C6F">
      <w:pPr>
        <w:pStyle w:val="Heading2"/>
        <w:rPr>
          <w:rFonts w:ascii="Times New Roman" w:hAnsi="Times New Roman" w:cs="Times New Roman"/>
          <w:sz w:val="24"/>
          <w:szCs w:val="24"/>
        </w:rPr>
      </w:pPr>
      <w:bookmarkStart w:id="1" w:name="_Toc224846300"/>
      <w:r w:rsidRPr="00CC67E8">
        <w:rPr>
          <w:rFonts w:ascii="Times New Roman" w:hAnsi="Times New Roman" w:cs="Times New Roman"/>
          <w:sz w:val="24"/>
          <w:szCs w:val="24"/>
        </w:rPr>
        <w:lastRenderedPageBreak/>
        <w:t>Introduction</w:t>
      </w:r>
      <w:bookmarkEnd w:id="1"/>
    </w:p>
    <w:p w14:paraId="5D663C1A" w14:textId="69406F8B" w:rsidR="00E4472F" w:rsidRPr="00CC67E8" w:rsidRDefault="00E4472F" w:rsidP="00E4472F">
      <w:pPr>
        <w:spacing w:line="480" w:lineRule="auto"/>
        <w:rPr>
          <w:rFonts w:ascii="Times New Roman" w:hAnsi="Times New Roman" w:cs="Times New Roman"/>
          <w:szCs w:val="24"/>
        </w:rPr>
      </w:pPr>
      <w:r w:rsidRPr="00CC67E8">
        <w:rPr>
          <w:rFonts w:ascii="Times New Roman" w:hAnsi="Times New Roman" w:cs="Times New Roman"/>
          <w:szCs w:val="24"/>
        </w:rPr>
        <w:t>Accounting has evolved significantly from a simple record-keeping function to a complex system that supports strategic decision-making in modern business environments. At the core of accounting lies the fundamental accounting equation—Assets = Liabilities + Owner’s Equity—which provides the structural foundation for financial reporting. However, as global markets have expanded and financial transactions have become more sophisticated, traditional accounting concepts have undergone substantial transformation to remain relevant and reliable (</w:t>
      </w:r>
      <w:proofErr w:type="spellStart"/>
      <w:r w:rsidRPr="00CC67E8">
        <w:rPr>
          <w:rFonts w:ascii="Times New Roman" w:hAnsi="Times New Roman" w:cs="Times New Roman"/>
          <w:szCs w:val="24"/>
        </w:rPr>
        <w:t>Kieso</w:t>
      </w:r>
      <w:proofErr w:type="spellEnd"/>
      <w:r w:rsidRPr="00CC67E8">
        <w:rPr>
          <w:rFonts w:ascii="Times New Roman" w:hAnsi="Times New Roman" w:cs="Times New Roman"/>
          <w:szCs w:val="24"/>
        </w:rPr>
        <w:t xml:space="preserve"> et al., 2020). Contemporary accounting now integrates advanced measurement techniques, regulatory frameworks, and ethical considerations to meet the demands of diverse stakeholders.</w:t>
      </w:r>
    </w:p>
    <w:p w14:paraId="7FA2667D" w14:textId="680427B2" w:rsidR="00E4472F" w:rsidRPr="00CC67E8" w:rsidRDefault="00E4472F" w:rsidP="00E4472F">
      <w:pPr>
        <w:spacing w:line="480" w:lineRule="auto"/>
        <w:rPr>
          <w:rFonts w:ascii="Times New Roman" w:hAnsi="Times New Roman" w:cs="Times New Roman"/>
          <w:szCs w:val="24"/>
        </w:rPr>
      </w:pPr>
      <w:r w:rsidRPr="00CC67E8">
        <w:rPr>
          <w:rFonts w:ascii="Times New Roman" w:hAnsi="Times New Roman" w:cs="Times New Roman"/>
          <w:szCs w:val="24"/>
        </w:rPr>
        <w:t>One of the most significant developments in modern accounting is the emergence of global standards such as International Financial Reporting Standards (IFRS), which aim to enhance comparability and transparency across international markets. In contrast, Generally Accepted Accounting Principles (GAAP), primarily used in the United States, offer a more rules-based approach. The differences between these frameworks have important implications for financial reporting and investment decisions (Barth et al., 2012). Furthermore, corporate governance has become a critical element in ensuring the integrity of financial information, as strong governance mechanisms help prevent fraud and promote accountability (Bushman &amp; Smith, 2001).</w:t>
      </w:r>
    </w:p>
    <w:p w14:paraId="637F23B6" w14:textId="084FCC6D" w:rsidR="00E4472F" w:rsidRPr="00CC67E8" w:rsidRDefault="00E4472F" w:rsidP="00E4472F">
      <w:pPr>
        <w:spacing w:line="480" w:lineRule="auto"/>
        <w:rPr>
          <w:rFonts w:ascii="Times New Roman" w:hAnsi="Times New Roman" w:cs="Times New Roman"/>
          <w:szCs w:val="24"/>
        </w:rPr>
      </w:pPr>
      <w:r w:rsidRPr="00CC67E8">
        <w:rPr>
          <w:rFonts w:ascii="Times New Roman" w:hAnsi="Times New Roman" w:cs="Times New Roman"/>
          <w:szCs w:val="24"/>
        </w:rPr>
        <w:t>In addition, the interrelationship among financial statements—namely the balance sheet, income statement, and cash flow statement—provides a comprehensive view of an organization’s financial performance and position. Advanced accounting concepts such as fair value accounting, asset impairment, and off-balance-sheet financing further reflect the increasing complexity of financial reporting. These concepts, while enhancing relevance, also introduce challenges related to measurement reliability and transparency (Penman, 2007).</w:t>
      </w:r>
    </w:p>
    <w:p w14:paraId="31703371" w14:textId="1F89E62B" w:rsidR="00E4472F" w:rsidRPr="00CC67E8" w:rsidRDefault="00E4472F" w:rsidP="00E4472F">
      <w:pPr>
        <w:spacing w:line="480" w:lineRule="auto"/>
        <w:rPr>
          <w:rFonts w:ascii="Times New Roman" w:hAnsi="Times New Roman" w:cs="Times New Roman"/>
          <w:szCs w:val="24"/>
        </w:rPr>
      </w:pPr>
      <w:r w:rsidRPr="00CC67E8">
        <w:rPr>
          <w:rFonts w:ascii="Times New Roman" w:hAnsi="Times New Roman" w:cs="Times New Roman"/>
          <w:szCs w:val="24"/>
        </w:rPr>
        <w:lastRenderedPageBreak/>
        <w:t xml:space="preserve">Overall, understanding these evolving accounting principles is essential for </w:t>
      </w:r>
      <w:proofErr w:type="spellStart"/>
      <w:r w:rsidRPr="00CC67E8">
        <w:rPr>
          <w:rFonts w:ascii="Times New Roman" w:hAnsi="Times New Roman" w:cs="Times New Roman"/>
          <w:szCs w:val="24"/>
        </w:rPr>
        <w:t>analyzing</w:t>
      </w:r>
      <w:proofErr w:type="spellEnd"/>
      <w:r w:rsidRPr="00CC67E8">
        <w:rPr>
          <w:rFonts w:ascii="Times New Roman" w:hAnsi="Times New Roman" w:cs="Times New Roman"/>
          <w:szCs w:val="24"/>
        </w:rPr>
        <w:t xml:space="preserve"> financial health, ensuring ethical practices, and supporting informed business decision-making in a dynamic global economy.</w:t>
      </w:r>
    </w:p>
    <w:p w14:paraId="2FF3DF6B" w14:textId="77777777" w:rsidR="00E4472F" w:rsidRPr="00CC67E8" w:rsidRDefault="00E4472F" w:rsidP="00E4472F">
      <w:pPr>
        <w:spacing w:line="480" w:lineRule="auto"/>
        <w:rPr>
          <w:rFonts w:ascii="Times New Roman" w:hAnsi="Times New Roman" w:cs="Times New Roman"/>
          <w:szCs w:val="24"/>
        </w:rPr>
      </w:pPr>
    </w:p>
    <w:p w14:paraId="4C0BE970" w14:textId="77777777" w:rsidR="00CD6F2C" w:rsidRPr="00CC67E8" w:rsidRDefault="00CD6F2C" w:rsidP="00E4472F">
      <w:pPr>
        <w:spacing w:line="480" w:lineRule="auto"/>
        <w:rPr>
          <w:rFonts w:ascii="Times New Roman" w:hAnsi="Times New Roman" w:cs="Times New Roman"/>
          <w:szCs w:val="24"/>
        </w:rPr>
      </w:pPr>
    </w:p>
    <w:p w14:paraId="34CB1B23" w14:textId="77777777" w:rsidR="00CD6F2C" w:rsidRPr="00CC67E8" w:rsidRDefault="00CD6F2C" w:rsidP="00E4472F">
      <w:pPr>
        <w:spacing w:line="480" w:lineRule="auto"/>
        <w:rPr>
          <w:rFonts w:ascii="Times New Roman" w:hAnsi="Times New Roman" w:cs="Times New Roman"/>
          <w:szCs w:val="24"/>
        </w:rPr>
      </w:pPr>
    </w:p>
    <w:p w14:paraId="275963B0" w14:textId="77777777" w:rsidR="00CD6F2C" w:rsidRPr="00CC67E8" w:rsidRDefault="00CD6F2C" w:rsidP="00E4472F">
      <w:pPr>
        <w:spacing w:line="480" w:lineRule="auto"/>
        <w:rPr>
          <w:rFonts w:ascii="Times New Roman" w:hAnsi="Times New Roman" w:cs="Times New Roman"/>
          <w:szCs w:val="24"/>
        </w:rPr>
      </w:pPr>
    </w:p>
    <w:p w14:paraId="07BC3B49" w14:textId="77777777" w:rsidR="00CD6F2C" w:rsidRPr="00CC67E8" w:rsidRDefault="00CD6F2C" w:rsidP="00E4472F">
      <w:pPr>
        <w:spacing w:line="480" w:lineRule="auto"/>
        <w:rPr>
          <w:rFonts w:ascii="Times New Roman" w:hAnsi="Times New Roman" w:cs="Times New Roman"/>
          <w:szCs w:val="24"/>
        </w:rPr>
      </w:pPr>
    </w:p>
    <w:p w14:paraId="024969DA" w14:textId="77777777" w:rsidR="00CD6F2C" w:rsidRPr="00CC67E8" w:rsidRDefault="00CD6F2C" w:rsidP="00E4472F">
      <w:pPr>
        <w:spacing w:line="480" w:lineRule="auto"/>
        <w:rPr>
          <w:rFonts w:ascii="Times New Roman" w:hAnsi="Times New Roman" w:cs="Times New Roman"/>
          <w:szCs w:val="24"/>
        </w:rPr>
      </w:pPr>
    </w:p>
    <w:p w14:paraId="0917CDAF" w14:textId="77777777" w:rsidR="00CD6F2C" w:rsidRPr="00CC67E8" w:rsidRDefault="00CD6F2C" w:rsidP="00E4472F">
      <w:pPr>
        <w:spacing w:line="480" w:lineRule="auto"/>
        <w:rPr>
          <w:rFonts w:ascii="Times New Roman" w:hAnsi="Times New Roman" w:cs="Times New Roman"/>
          <w:szCs w:val="24"/>
        </w:rPr>
      </w:pPr>
    </w:p>
    <w:p w14:paraId="6810B667" w14:textId="77777777" w:rsidR="00CD6F2C" w:rsidRPr="00CC67E8" w:rsidRDefault="00CD6F2C" w:rsidP="00E4472F">
      <w:pPr>
        <w:spacing w:line="480" w:lineRule="auto"/>
        <w:rPr>
          <w:rFonts w:ascii="Times New Roman" w:hAnsi="Times New Roman" w:cs="Times New Roman"/>
          <w:szCs w:val="24"/>
        </w:rPr>
      </w:pPr>
    </w:p>
    <w:p w14:paraId="7E878B6F" w14:textId="77777777" w:rsidR="00CD6F2C" w:rsidRPr="00CC67E8" w:rsidRDefault="00CD6F2C" w:rsidP="00E4472F">
      <w:pPr>
        <w:spacing w:line="480" w:lineRule="auto"/>
        <w:rPr>
          <w:rFonts w:ascii="Times New Roman" w:hAnsi="Times New Roman" w:cs="Times New Roman"/>
          <w:szCs w:val="24"/>
        </w:rPr>
      </w:pPr>
    </w:p>
    <w:p w14:paraId="7C1E3137" w14:textId="77777777" w:rsidR="00CD6F2C" w:rsidRPr="00CC67E8" w:rsidRDefault="00CD6F2C" w:rsidP="00E4472F">
      <w:pPr>
        <w:spacing w:line="480" w:lineRule="auto"/>
        <w:rPr>
          <w:rFonts w:ascii="Times New Roman" w:hAnsi="Times New Roman" w:cs="Times New Roman"/>
          <w:szCs w:val="24"/>
        </w:rPr>
      </w:pPr>
    </w:p>
    <w:p w14:paraId="647F4BA7" w14:textId="77777777" w:rsidR="00CD6F2C" w:rsidRPr="00CC67E8" w:rsidRDefault="00CD6F2C" w:rsidP="00E4472F">
      <w:pPr>
        <w:spacing w:line="480" w:lineRule="auto"/>
        <w:rPr>
          <w:rFonts w:ascii="Times New Roman" w:hAnsi="Times New Roman" w:cs="Times New Roman"/>
          <w:szCs w:val="24"/>
        </w:rPr>
      </w:pPr>
    </w:p>
    <w:p w14:paraId="6F9BA293" w14:textId="77777777" w:rsidR="00CD6F2C" w:rsidRPr="00CC67E8" w:rsidRDefault="00CD6F2C" w:rsidP="00E4472F">
      <w:pPr>
        <w:spacing w:line="480" w:lineRule="auto"/>
        <w:rPr>
          <w:rFonts w:ascii="Times New Roman" w:hAnsi="Times New Roman" w:cs="Times New Roman"/>
          <w:szCs w:val="24"/>
        </w:rPr>
      </w:pPr>
    </w:p>
    <w:p w14:paraId="0F43C51B" w14:textId="77777777" w:rsidR="00CD6F2C" w:rsidRPr="00CC67E8" w:rsidRDefault="00CD6F2C" w:rsidP="00E4472F">
      <w:pPr>
        <w:spacing w:line="480" w:lineRule="auto"/>
        <w:rPr>
          <w:rFonts w:ascii="Times New Roman" w:hAnsi="Times New Roman" w:cs="Times New Roman"/>
          <w:szCs w:val="24"/>
        </w:rPr>
      </w:pPr>
    </w:p>
    <w:p w14:paraId="6CE2EA0B" w14:textId="77777777" w:rsidR="00CD6F2C" w:rsidRPr="00CC67E8" w:rsidRDefault="00CD6F2C" w:rsidP="00E4472F">
      <w:pPr>
        <w:spacing w:line="480" w:lineRule="auto"/>
        <w:rPr>
          <w:rFonts w:ascii="Times New Roman" w:hAnsi="Times New Roman" w:cs="Times New Roman"/>
          <w:szCs w:val="24"/>
        </w:rPr>
      </w:pPr>
    </w:p>
    <w:p w14:paraId="327B91CD" w14:textId="77777777" w:rsidR="00CD6F2C" w:rsidRPr="00CC67E8" w:rsidRDefault="00CD6F2C" w:rsidP="00E4472F">
      <w:pPr>
        <w:spacing w:line="480" w:lineRule="auto"/>
        <w:rPr>
          <w:rFonts w:ascii="Times New Roman" w:hAnsi="Times New Roman" w:cs="Times New Roman"/>
          <w:szCs w:val="24"/>
        </w:rPr>
      </w:pPr>
    </w:p>
    <w:p w14:paraId="28A71225" w14:textId="77777777" w:rsidR="00CD6F2C" w:rsidRPr="00CC67E8" w:rsidRDefault="00CD6F2C" w:rsidP="00E4472F">
      <w:pPr>
        <w:spacing w:line="480" w:lineRule="auto"/>
        <w:rPr>
          <w:rFonts w:ascii="Times New Roman" w:hAnsi="Times New Roman" w:cs="Times New Roman"/>
          <w:szCs w:val="24"/>
        </w:rPr>
      </w:pPr>
    </w:p>
    <w:p w14:paraId="3F4F0929" w14:textId="77777777" w:rsidR="00CD6F2C" w:rsidRPr="00CC67E8" w:rsidRDefault="00CD6F2C" w:rsidP="00C76C6F">
      <w:pPr>
        <w:pStyle w:val="Heading2"/>
        <w:rPr>
          <w:rFonts w:ascii="Times New Roman" w:hAnsi="Times New Roman" w:cs="Times New Roman"/>
          <w:sz w:val="24"/>
          <w:szCs w:val="24"/>
        </w:rPr>
      </w:pPr>
      <w:bookmarkStart w:id="2" w:name="_Toc224846301"/>
      <w:r w:rsidRPr="00CC67E8">
        <w:rPr>
          <w:rFonts w:ascii="Times New Roman" w:hAnsi="Times New Roman" w:cs="Times New Roman"/>
          <w:sz w:val="24"/>
          <w:szCs w:val="24"/>
        </w:rPr>
        <w:lastRenderedPageBreak/>
        <w:t>Literature Review</w:t>
      </w:r>
      <w:bookmarkEnd w:id="2"/>
    </w:p>
    <w:p w14:paraId="561F423C"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The evolution of accounting theory reflects the growing complexity of business environments and the increasing demand for transparency, comparability, and reliability in financial reporting. Traditional accounting concepts, particularly the accounting equation (Assets = Liabilities + Owner’s Equity), have long served as the foundation of financial reporting. However, scholars argue that this framework has been significantly expanded to accommodate modern financial instruments, global transactions, and regulatory requirements (</w:t>
      </w:r>
      <w:proofErr w:type="spellStart"/>
      <w:r w:rsidRPr="00CD6F2C">
        <w:rPr>
          <w:rFonts w:ascii="Times New Roman" w:hAnsi="Times New Roman" w:cs="Times New Roman"/>
          <w:szCs w:val="24"/>
        </w:rPr>
        <w:t>Kieso</w:t>
      </w:r>
      <w:proofErr w:type="spellEnd"/>
      <w:r w:rsidRPr="00CD6F2C">
        <w:rPr>
          <w:rFonts w:ascii="Times New Roman" w:hAnsi="Times New Roman" w:cs="Times New Roman"/>
          <w:szCs w:val="24"/>
        </w:rPr>
        <w:t xml:space="preserve"> et al., 2020). The shift from historical cost accounting to more market-oriented approaches demonstrates the dynamic nature of accounting theory.</w:t>
      </w:r>
    </w:p>
    <w:p w14:paraId="083CD78F"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One of the most extensively discussed developments in accounting literature is the adoption of International Financial Reporting Standards (IFRS) and their comparison with Generally Accepted Accounting Principles (GAAP). IFRS is often described as a principles-based framework that allows greater flexibility and professional judgment, whereas GAAP is more rules-based, providing detailed guidelines for specific scenarios (Barth et al., 2012). Research suggests that IFRS adoption improves financial reporting quality by enhancing comparability and reducing information asymmetry among investors (Barth et al., 2012). However, critics argue that the increased reliance on judgment under IFRS may lead to inconsistencies and potential manipulation if not supported by strong governance mechanisms (Soderstrom &amp; Sun, 2007).</w:t>
      </w:r>
    </w:p>
    <w:p w14:paraId="212641AC"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 xml:space="preserve">Corporate governance has emerged as a central theme in accounting research, particularly in relation to financial transparency and ethical reporting. Bushman and Smith (2001) emphasize that high-quality financial accounting information plays a crucial role in corporate governance by reducing agency problems between managers and shareholders. Effective governance structures, </w:t>
      </w:r>
      <w:r w:rsidRPr="00CD6F2C">
        <w:rPr>
          <w:rFonts w:ascii="Times New Roman" w:hAnsi="Times New Roman" w:cs="Times New Roman"/>
          <w:szCs w:val="24"/>
        </w:rPr>
        <w:lastRenderedPageBreak/>
        <w:t>including independent boards and audit committees, contribute to improved financial reporting and reduced risk of fraud. Similarly, Healy and Palepu (2001) highlight that disclosure practices and regulatory oversight are essential in mitigating information asymmetry and enhancing investor confidence. The integration of governance and accounting practices is therefore critical for maintaining the integrity of financial systems.</w:t>
      </w:r>
    </w:p>
    <w:p w14:paraId="53B22A37"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Another significant area of research focuses on the interrelationship between financial statements. The balance sheet, income statement, and cash flow statement are not independent documents; rather, they are interconnected components that collectively provide a comprehensive view of an organization’s financial health. Penman (2007) argues that understanding these relationships is essential for evaluating firm performance and forecasting future cash flows. For instance, net income reported in the income statement directly affects retained earnings in the balance sheet, while cash flow statements provide insights into liquidity and operational efficiency. This interconnectedness enhances the analytical value of financial reports and supports more informed decision-making.</w:t>
      </w:r>
    </w:p>
    <w:p w14:paraId="750A6BCD"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 xml:space="preserve">The literature also highlights the growing importance of advanced accounting concepts such as fair value accounting. Fair value measurement, which reflects current market conditions, is considered more relevant than historical cost accounting in certain contexts, particularly for financial instruments (Penman, 2007). However, its reliability has been questioned, especially during periods of market volatility. Critics argue that fair value accounting can introduce subjectivity and increase earnings volatility, potentially misleading stakeholders (Laux &amp; </w:t>
      </w:r>
      <w:proofErr w:type="spellStart"/>
      <w:r w:rsidRPr="00CD6F2C">
        <w:rPr>
          <w:rFonts w:ascii="Times New Roman" w:hAnsi="Times New Roman" w:cs="Times New Roman"/>
          <w:szCs w:val="24"/>
        </w:rPr>
        <w:t>Leuz</w:t>
      </w:r>
      <w:proofErr w:type="spellEnd"/>
      <w:r w:rsidRPr="00CD6F2C">
        <w:rPr>
          <w:rFonts w:ascii="Times New Roman" w:hAnsi="Times New Roman" w:cs="Times New Roman"/>
          <w:szCs w:val="24"/>
        </w:rPr>
        <w:t>, 2009). Despite these concerns, proponents maintain that fair value provides timely and decision-useful information, particularly in dynamic financial markets.</w:t>
      </w:r>
    </w:p>
    <w:p w14:paraId="2BD67FED"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lastRenderedPageBreak/>
        <w:t>Asset impairment is another critical concept discussed in accounting research. Impairment accounting ensures that assets are not carried at values exceeding their recoverable amounts, thereby enhancing the accuracy of financial statements. Studies indicate that impairment testing improves the relevance of financial information but may also involve managerial discretion, which can be used opportunistically (</w:t>
      </w:r>
      <w:proofErr w:type="spellStart"/>
      <w:r w:rsidRPr="00CD6F2C">
        <w:rPr>
          <w:rFonts w:ascii="Times New Roman" w:hAnsi="Times New Roman" w:cs="Times New Roman"/>
          <w:szCs w:val="24"/>
        </w:rPr>
        <w:t>Ramanna</w:t>
      </w:r>
      <w:proofErr w:type="spellEnd"/>
      <w:r w:rsidRPr="00CD6F2C">
        <w:rPr>
          <w:rFonts w:ascii="Times New Roman" w:hAnsi="Times New Roman" w:cs="Times New Roman"/>
          <w:szCs w:val="24"/>
        </w:rPr>
        <w:t xml:space="preserve"> &amp; Watts, 2012). This highlights the need for robust auditing and regulatory oversight to ensure the faithful representation of financial data.</w:t>
      </w:r>
    </w:p>
    <w:p w14:paraId="5EF662AA"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Off-balance-sheet financing has also attracted considerable attention due to its implications for financial transparency. This practice allows companies to keep certain liabilities and assets off their balance sheets, potentially obscuring the true financial position of the firm. Enron’s collapse is often cited as a prominent example of the misuse of off-balance-sheet arrangements, which led to increased regulatory scrutiny and reforms (Healy &amp; Palepu, 2003). Subsequent standards, such as IFRS 16 on leases, have aimed to improve transparency by requiring the recognition of previously off-balance-sheet items.</w:t>
      </w:r>
    </w:p>
    <w:p w14:paraId="2D33FD1C" w14:textId="77777777" w:rsidR="00CD6F2C" w:rsidRPr="00CD6F2C" w:rsidRDefault="00CD6F2C" w:rsidP="00CD6F2C">
      <w:pPr>
        <w:spacing w:line="480" w:lineRule="auto"/>
        <w:rPr>
          <w:rFonts w:ascii="Times New Roman" w:hAnsi="Times New Roman" w:cs="Times New Roman"/>
          <w:szCs w:val="24"/>
        </w:rPr>
      </w:pPr>
      <w:r w:rsidRPr="00CD6F2C">
        <w:rPr>
          <w:rFonts w:ascii="Times New Roman" w:hAnsi="Times New Roman" w:cs="Times New Roman"/>
          <w:szCs w:val="24"/>
        </w:rPr>
        <w:t>Overall, the literature indicates that modern accounting practices are shaped by the need to balance relevance and reliability while addressing the challenges of globalization and financial innovation. While frameworks such as IFRS have improved comparability, their effectiveness depends on enforcement, governance, and ethical standards. Advanced accounting concepts, including fair value measurement, impairment, and off-balance-sheet financing, enhance the informational value of financial statements but also introduce complexities that require careful regulation and professional judgment. Thus, contemporary accounting theory continues to evolve in response to changing economic conditions, technological advancements, and stakeholder expectations.</w:t>
      </w:r>
    </w:p>
    <w:p w14:paraId="594D5C17" w14:textId="77777777" w:rsidR="00CD6F2C" w:rsidRPr="00CC67E8" w:rsidRDefault="00CD6F2C" w:rsidP="00E4472F">
      <w:pPr>
        <w:spacing w:line="480" w:lineRule="auto"/>
        <w:rPr>
          <w:rFonts w:ascii="Times New Roman" w:hAnsi="Times New Roman" w:cs="Times New Roman"/>
          <w:szCs w:val="24"/>
        </w:rPr>
      </w:pPr>
    </w:p>
    <w:p w14:paraId="739477AC" w14:textId="77777777" w:rsidR="00322E52" w:rsidRPr="00CC67E8" w:rsidRDefault="00322E52" w:rsidP="00C76C6F">
      <w:pPr>
        <w:pStyle w:val="Heading2"/>
        <w:rPr>
          <w:rFonts w:ascii="Times New Roman" w:hAnsi="Times New Roman" w:cs="Times New Roman"/>
          <w:sz w:val="24"/>
          <w:szCs w:val="24"/>
        </w:rPr>
      </w:pPr>
      <w:bookmarkStart w:id="3" w:name="_Toc224846302"/>
      <w:r w:rsidRPr="00CC67E8">
        <w:rPr>
          <w:rFonts w:ascii="Times New Roman" w:hAnsi="Times New Roman" w:cs="Times New Roman"/>
          <w:sz w:val="24"/>
          <w:szCs w:val="24"/>
        </w:rPr>
        <w:lastRenderedPageBreak/>
        <w:t>Methodology</w:t>
      </w:r>
      <w:bookmarkEnd w:id="3"/>
    </w:p>
    <w:p w14:paraId="21C00237"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 xml:space="preserve">This study adopts a qualitative research approach to critically examine advanced theoretical concepts of accounting and their application in modern business practices. A qualitative design is considered appropriate as the research focuses on </w:t>
      </w:r>
      <w:proofErr w:type="spellStart"/>
      <w:r w:rsidRPr="00322E52">
        <w:rPr>
          <w:rFonts w:ascii="Times New Roman" w:hAnsi="Times New Roman" w:cs="Times New Roman"/>
          <w:szCs w:val="24"/>
        </w:rPr>
        <w:t>analyzing</w:t>
      </w:r>
      <w:proofErr w:type="spellEnd"/>
      <w:r w:rsidRPr="00322E52">
        <w:rPr>
          <w:rFonts w:ascii="Times New Roman" w:hAnsi="Times New Roman" w:cs="Times New Roman"/>
          <w:szCs w:val="24"/>
        </w:rPr>
        <w:t xml:space="preserve"> existing theories, frameworks, and practices rather than collecting numerical data. The study primarily relies on secondary data obtained from peer-reviewed journal articles, academic textbooks, and authoritative accounting standards issued by regulatory bodies such as the International Accounting Standards Board (IASB) and the Financial Accounting Standards Board (FASB).</w:t>
      </w:r>
    </w:p>
    <w:p w14:paraId="5E21ADDA"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The research follows a systematic literature review method to identify, evaluate, and synthesize relevant academic contributions related to key accounting concepts. Sources were selected based on their relevance, credibility, and contribution to the field of accounting theory and practice. Databases such as Google Scholar, JSTOR, and ScienceDirect were used to locate scholarly articles, with a preference for recent publications to ensure the inclusion of contemporary perspectives. Seminal works were also included to provide foundational understanding and theoretical context. Keywords used in the search process included “accounting equation evolution,” “IFRS vs GAAP,” “corporate governance in accounting,” “fair value accounting,” and “off-balance-sheet financing.”</w:t>
      </w:r>
    </w:p>
    <w:p w14:paraId="4D177509"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 xml:space="preserve">To ensure reliability and validity, the study employs a critical analysis framework. This involves comparing different viewpoints presented in the literature, identifying consistencies and contradictions, and evaluating the implications of various accounting practices. The comparative analysis of IFRS and GAAP is conducted by examining their conceptual frameworks, application guidelines, and reported impacts on financial reporting quality. Similarly, the role of corporate </w:t>
      </w:r>
      <w:r w:rsidRPr="00322E52">
        <w:rPr>
          <w:rFonts w:ascii="Times New Roman" w:hAnsi="Times New Roman" w:cs="Times New Roman"/>
          <w:szCs w:val="24"/>
        </w:rPr>
        <w:lastRenderedPageBreak/>
        <w:t>governance is assessed through the analysis of scholarly discussions on transparency, accountability, and ethical practices.</w:t>
      </w:r>
    </w:p>
    <w:p w14:paraId="17F1C93E"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The methodology also incorporates a conceptual analysis of financial statements, focusing on the interrelationship between the balance sheet, income statement, and cash flow statement. This is achieved by synthesizing theoretical explanations and practical examples from existing literature. In addition, advanced accounting concepts such as fair value measurement, asset impairment, and off-balance-sheet financing are examined through case-based insights drawn from prior studies and real-world business scenarios.</w:t>
      </w:r>
    </w:p>
    <w:p w14:paraId="31C20360"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One limitation of this methodology is its reliance on secondary data, which may be subject to biases inherent in the original studies. Furthermore, the absence of primary data collection means that the findings are interpretative rather than empirical. However, this limitation is mitigated by using a wide range of credible and peer-reviewed sources to ensure a balanced and comprehensive analysis.</w:t>
      </w:r>
    </w:p>
    <w:p w14:paraId="7B084806"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Overall, this methodology provides a structured and systematic approach to exploring advanced accounting concepts, enabling a critical evaluation of their theoretical foundations and practical applications in modern business environments.</w:t>
      </w:r>
    </w:p>
    <w:p w14:paraId="4F91D3D6" w14:textId="77777777" w:rsidR="00E4472F" w:rsidRPr="00CC67E8" w:rsidRDefault="00E4472F" w:rsidP="00E4472F">
      <w:pPr>
        <w:spacing w:line="480" w:lineRule="auto"/>
        <w:rPr>
          <w:rFonts w:ascii="Times New Roman" w:hAnsi="Times New Roman" w:cs="Times New Roman"/>
          <w:szCs w:val="24"/>
        </w:rPr>
      </w:pPr>
    </w:p>
    <w:p w14:paraId="46BA771A" w14:textId="77777777" w:rsidR="00322E52" w:rsidRPr="00CC67E8" w:rsidRDefault="00322E52" w:rsidP="00E4472F">
      <w:pPr>
        <w:spacing w:line="480" w:lineRule="auto"/>
        <w:rPr>
          <w:rFonts w:ascii="Times New Roman" w:hAnsi="Times New Roman" w:cs="Times New Roman"/>
          <w:szCs w:val="24"/>
        </w:rPr>
      </w:pPr>
    </w:p>
    <w:p w14:paraId="69FCFAD7" w14:textId="77777777" w:rsidR="00322E52" w:rsidRPr="00CC67E8" w:rsidRDefault="00322E52" w:rsidP="00E4472F">
      <w:pPr>
        <w:spacing w:line="480" w:lineRule="auto"/>
        <w:rPr>
          <w:rFonts w:ascii="Times New Roman" w:hAnsi="Times New Roman" w:cs="Times New Roman"/>
          <w:szCs w:val="24"/>
        </w:rPr>
      </w:pPr>
    </w:p>
    <w:p w14:paraId="32AC4E83" w14:textId="77777777" w:rsidR="00322E52" w:rsidRPr="00CC67E8" w:rsidRDefault="00322E52" w:rsidP="00E4472F">
      <w:pPr>
        <w:spacing w:line="480" w:lineRule="auto"/>
        <w:rPr>
          <w:rFonts w:ascii="Times New Roman" w:hAnsi="Times New Roman" w:cs="Times New Roman"/>
          <w:szCs w:val="24"/>
        </w:rPr>
      </w:pPr>
    </w:p>
    <w:p w14:paraId="68E0333C" w14:textId="77777777" w:rsidR="00322E52" w:rsidRPr="00CC67E8" w:rsidRDefault="00322E52" w:rsidP="00E4472F">
      <w:pPr>
        <w:spacing w:line="480" w:lineRule="auto"/>
        <w:rPr>
          <w:rFonts w:ascii="Times New Roman" w:hAnsi="Times New Roman" w:cs="Times New Roman"/>
          <w:szCs w:val="24"/>
        </w:rPr>
      </w:pPr>
    </w:p>
    <w:p w14:paraId="21E98AC0" w14:textId="77777777" w:rsidR="00322E52" w:rsidRPr="00CC67E8" w:rsidRDefault="00322E52" w:rsidP="00C76C6F">
      <w:pPr>
        <w:pStyle w:val="Heading2"/>
        <w:rPr>
          <w:rFonts w:ascii="Times New Roman" w:hAnsi="Times New Roman" w:cs="Times New Roman"/>
          <w:sz w:val="24"/>
          <w:szCs w:val="24"/>
        </w:rPr>
      </w:pPr>
      <w:bookmarkStart w:id="4" w:name="_Toc224846303"/>
      <w:r w:rsidRPr="00CC67E8">
        <w:rPr>
          <w:rFonts w:ascii="Times New Roman" w:hAnsi="Times New Roman" w:cs="Times New Roman"/>
          <w:sz w:val="24"/>
          <w:szCs w:val="24"/>
        </w:rPr>
        <w:lastRenderedPageBreak/>
        <w:t>Methodology</w:t>
      </w:r>
      <w:bookmarkEnd w:id="4"/>
    </w:p>
    <w:p w14:paraId="177CA365"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 xml:space="preserve">This study adopts a qualitative research approach to critically examine advanced theoretical concepts of accounting and their application in modern business practices. A qualitative design is considered appropriate as the research focuses on </w:t>
      </w:r>
      <w:proofErr w:type="spellStart"/>
      <w:r w:rsidRPr="00322E52">
        <w:rPr>
          <w:rFonts w:ascii="Times New Roman" w:hAnsi="Times New Roman" w:cs="Times New Roman"/>
          <w:szCs w:val="24"/>
        </w:rPr>
        <w:t>analyzing</w:t>
      </w:r>
      <w:proofErr w:type="spellEnd"/>
      <w:r w:rsidRPr="00322E52">
        <w:rPr>
          <w:rFonts w:ascii="Times New Roman" w:hAnsi="Times New Roman" w:cs="Times New Roman"/>
          <w:szCs w:val="24"/>
        </w:rPr>
        <w:t xml:space="preserve"> existing theories, frameworks, and practices rather than collecting numerical data. The study primarily relies on secondary data obtained from peer-reviewed journal articles, academic textbooks, and authoritative accounting standards issued by regulatory bodies such as the International Accounting Standards Board (IASB) and the Financial Accounting Standards Board (FASB).</w:t>
      </w:r>
    </w:p>
    <w:p w14:paraId="239523A6"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The research follows a systematic literature review method to identify, evaluate, and synthesize relevant academic contributions related to key accounting concepts. Sources were selected based on their relevance, credibility, and contribution to the field of accounting theory and practice. Databases such as Google Scholar, JSTOR, and ScienceDirect were used to locate scholarly articles, with a preference for recent publications to ensure the inclusion of contemporary perspectives. Seminal works were also included to provide foundational understanding and theoretical context. Keywords used in the search process included “accounting equation evolution,” “IFRS vs GAAP,” “corporate governance in accounting,” “fair value accounting,” and “off-balance-sheet financing.”</w:t>
      </w:r>
    </w:p>
    <w:p w14:paraId="2B85557F"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 xml:space="preserve">To ensure reliability and validity, the study employs a critical analysis framework. This involves comparing different viewpoints presented in the literature, identifying consistencies and contradictions, and evaluating the implications of various accounting practices. The comparative analysis of IFRS and GAAP is conducted by examining their conceptual frameworks, application guidelines, and reported impacts on financial reporting quality. Similarly, the role of corporate </w:t>
      </w:r>
      <w:r w:rsidRPr="00322E52">
        <w:rPr>
          <w:rFonts w:ascii="Times New Roman" w:hAnsi="Times New Roman" w:cs="Times New Roman"/>
          <w:szCs w:val="24"/>
        </w:rPr>
        <w:lastRenderedPageBreak/>
        <w:t>governance is assessed through the analysis of scholarly discussions on transparency, accountability, and ethical practices.</w:t>
      </w:r>
    </w:p>
    <w:p w14:paraId="352DB9D6"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The methodology also incorporates a conceptual analysis of financial statements, focusing on the interrelationship between the balance sheet, income statement, and cash flow statement. This is achieved by synthesizing theoretical explanations and practical examples from existing literature. In addition, advanced accounting concepts such as fair value measurement, asset impairment, and off-balance-sheet financing are examined through case-based insights drawn from prior studies and real-world business scenarios.</w:t>
      </w:r>
    </w:p>
    <w:p w14:paraId="363F1245"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One limitation of this methodology is its reliance on secondary data, which may be subject to biases inherent in the original studies. Furthermore, the absence of primary data collection means that the findings are interpretative rather than empirical. However, this limitation is mitigated by using a wide range of credible and peer-reviewed sources to ensure a balanced and comprehensive analysis.</w:t>
      </w:r>
    </w:p>
    <w:p w14:paraId="2CACBE81" w14:textId="77777777" w:rsidR="00322E52" w:rsidRPr="00322E52" w:rsidRDefault="00322E52" w:rsidP="00322E52">
      <w:pPr>
        <w:spacing w:line="480" w:lineRule="auto"/>
        <w:rPr>
          <w:rFonts w:ascii="Times New Roman" w:hAnsi="Times New Roman" w:cs="Times New Roman"/>
          <w:szCs w:val="24"/>
        </w:rPr>
      </w:pPr>
      <w:r w:rsidRPr="00322E52">
        <w:rPr>
          <w:rFonts w:ascii="Times New Roman" w:hAnsi="Times New Roman" w:cs="Times New Roman"/>
          <w:szCs w:val="24"/>
        </w:rPr>
        <w:t>Overall, this methodology provides a structured and systematic approach to exploring advanced accounting concepts, enabling a critical evaluation of their theoretical foundations and practical applications in modern business environments.</w:t>
      </w:r>
    </w:p>
    <w:p w14:paraId="1F7E8D69" w14:textId="77777777" w:rsidR="00322E52" w:rsidRPr="00CC67E8" w:rsidRDefault="00322E52" w:rsidP="00E4472F">
      <w:pPr>
        <w:spacing w:line="480" w:lineRule="auto"/>
        <w:rPr>
          <w:rFonts w:ascii="Times New Roman" w:hAnsi="Times New Roman" w:cs="Times New Roman"/>
          <w:szCs w:val="24"/>
        </w:rPr>
      </w:pPr>
    </w:p>
    <w:p w14:paraId="6527041C" w14:textId="77777777" w:rsidR="00322E52" w:rsidRPr="00CC67E8" w:rsidRDefault="00322E52" w:rsidP="00E4472F">
      <w:pPr>
        <w:spacing w:line="480" w:lineRule="auto"/>
        <w:rPr>
          <w:rFonts w:ascii="Times New Roman" w:hAnsi="Times New Roman" w:cs="Times New Roman"/>
          <w:szCs w:val="24"/>
        </w:rPr>
      </w:pPr>
    </w:p>
    <w:p w14:paraId="3099625D" w14:textId="77777777" w:rsidR="00322E52" w:rsidRPr="00CC67E8" w:rsidRDefault="00322E52" w:rsidP="00E4472F">
      <w:pPr>
        <w:spacing w:line="480" w:lineRule="auto"/>
        <w:rPr>
          <w:rFonts w:ascii="Times New Roman" w:hAnsi="Times New Roman" w:cs="Times New Roman"/>
          <w:szCs w:val="24"/>
        </w:rPr>
      </w:pPr>
    </w:p>
    <w:p w14:paraId="6E1F6998" w14:textId="77777777" w:rsidR="00322E52" w:rsidRPr="00CC67E8" w:rsidRDefault="00322E52" w:rsidP="00E4472F">
      <w:pPr>
        <w:spacing w:line="480" w:lineRule="auto"/>
        <w:rPr>
          <w:rFonts w:ascii="Times New Roman" w:hAnsi="Times New Roman" w:cs="Times New Roman"/>
          <w:szCs w:val="24"/>
        </w:rPr>
      </w:pPr>
    </w:p>
    <w:p w14:paraId="64C3EBF8" w14:textId="77777777" w:rsidR="00322E52" w:rsidRPr="00CC67E8" w:rsidRDefault="00322E52" w:rsidP="00E4472F">
      <w:pPr>
        <w:spacing w:line="480" w:lineRule="auto"/>
        <w:rPr>
          <w:rFonts w:ascii="Times New Roman" w:hAnsi="Times New Roman" w:cs="Times New Roman"/>
          <w:szCs w:val="24"/>
        </w:rPr>
      </w:pPr>
    </w:p>
    <w:p w14:paraId="6B705E39" w14:textId="77777777" w:rsidR="009D452D" w:rsidRPr="00CC67E8" w:rsidRDefault="009D452D" w:rsidP="00CC67E8">
      <w:pPr>
        <w:pStyle w:val="Heading2"/>
        <w:rPr>
          <w:rFonts w:ascii="Times New Roman" w:hAnsi="Times New Roman" w:cs="Times New Roman"/>
          <w:sz w:val="24"/>
          <w:szCs w:val="24"/>
        </w:rPr>
      </w:pPr>
      <w:bookmarkStart w:id="5" w:name="_Toc224846304"/>
      <w:r w:rsidRPr="00CC67E8">
        <w:rPr>
          <w:rFonts w:ascii="Times New Roman" w:hAnsi="Times New Roman" w:cs="Times New Roman"/>
          <w:sz w:val="24"/>
          <w:szCs w:val="24"/>
        </w:rPr>
        <w:lastRenderedPageBreak/>
        <w:t>Findings</w:t>
      </w:r>
      <w:bookmarkEnd w:id="5"/>
    </w:p>
    <w:p w14:paraId="50DBA79E"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The analysis of existing literature reveals that accounting has undergone significant transformation to adapt to the complexities of modern business environments. One of the primary findings is that the traditional accounting equation remains fundamental; however, its application has evolved to accommodate complex financial instruments and global transactions. While the equation (Assets = Liabilities + Owner’s Equity) continues to underpin financial reporting, its interpretation now incorporates fair value adjustments, contingent liabilities, and intangible assets, reflecting a broader and more dynamic understanding of financial position (</w:t>
      </w:r>
      <w:proofErr w:type="spellStart"/>
      <w:r w:rsidRPr="009D452D">
        <w:rPr>
          <w:rFonts w:ascii="Times New Roman" w:hAnsi="Times New Roman" w:cs="Times New Roman"/>
          <w:szCs w:val="24"/>
        </w:rPr>
        <w:t>Kieso</w:t>
      </w:r>
      <w:proofErr w:type="spellEnd"/>
      <w:r w:rsidRPr="009D452D">
        <w:rPr>
          <w:rFonts w:ascii="Times New Roman" w:hAnsi="Times New Roman" w:cs="Times New Roman"/>
          <w:szCs w:val="24"/>
        </w:rPr>
        <w:t xml:space="preserve"> et al., 2020).</w:t>
      </w:r>
    </w:p>
    <w:p w14:paraId="15BA3C6E"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A key finding of this study is the growing dominance of International Financial Reporting Standards (IFRS) in global accounting practices. IFRS adoption has improved comparability and transparency across international markets, making it easier for investors and stakeholders to </w:t>
      </w:r>
      <w:proofErr w:type="spellStart"/>
      <w:r w:rsidRPr="009D452D">
        <w:rPr>
          <w:rFonts w:ascii="Times New Roman" w:hAnsi="Times New Roman" w:cs="Times New Roman"/>
          <w:szCs w:val="24"/>
        </w:rPr>
        <w:t>analyze</w:t>
      </w:r>
      <w:proofErr w:type="spellEnd"/>
      <w:r w:rsidRPr="009D452D">
        <w:rPr>
          <w:rFonts w:ascii="Times New Roman" w:hAnsi="Times New Roman" w:cs="Times New Roman"/>
          <w:szCs w:val="24"/>
        </w:rPr>
        <w:t xml:space="preserve"> financial statements from different jurisdictions. Empirical evidence suggests that firms adopting IFRS exhibit higher accounting quality and reduced information asymmetry (Barth et al., 2012). However, the findings also highlight that IFRS’s principles-based approach introduces subjectivity, which can lead to variations in interpretation and potential inconsistencies in financial reporting (Soderstrom &amp; Sun, 2007). In contrast, GAAP’s rules-based structure provides detailed guidance, reducing ambiguity but sometimes limiting flexibility in addressing unique financial scenarios.</w:t>
      </w:r>
    </w:p>
    <w:p w14:paraId="24AD0E3F"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The study also finds that corporate governance plays a critical role in ensuring the reliability and integrity of accounting information. Strong governance mechanisms, such as independent audit committees and effective internal controls, significantly reduce the risk of financial misreporting and fraud. Research indicates that firms with robust governance structures are more likely to </w:t>
      </w:r>
      <w:r w:rsidRPr="009D452D">
        <w:rPr>
          <w:rFonts w:ascii="Times New Roman" w:hAnsi="Times New Roman" w:cs="Times New Roman"/>
          <w:szCs w:val="24"/>
        </w:rPr>
        <w:lastRenderedPageBreak/>
        <w:t>produce transparent and high-quality financial reports (Bushman &amp; Smith, 2001). Furthermore, governance frameworks help align the interests of management with those of shareholders, thereby mitigating agency problems and enhancing accountability.</w:t>
      </w:r>
    </w:p>
    <w:p w14:paraId="1E0848E7"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Another important finding is the interconnected nature of financial statements and their collective role in assessing financial health. The balance sheet, income statement, and cash flow statement are interdependent, and their integration provides a comprehensive picture of an organization’s performance. For example, net income from the income statement directly influences retained earnings in the balance sheet, while cash flow statements reveal the liquidity implications of operating, investing, and financing activities. This interconnectedness enables stakeholders to make more informed decisions by </w:t>
      </w:r>
      <w:proofErr w:type="spellStart"/>
      <w:r w:rsidRPr="009D452D">
        <w:rPr>
          <w:rFonts w:ascii="Times New Roman" w:hAnsi="Times New Roman" w:cs="Times New Roman"/>
          <w:szCs w:val="24"/>
        </w:rPr>
        <w:t>analyzing</w:t>
      </w:r>
      <w:proofErr w:type="spellEnd"/>
      <w:r w:rsidRPr="009D452D">
        <w:rPr>
          <w:rFonts w:ascii="Times New Roman" w:hAnsi="Times New Roman" w:cs="Times New Roman"/>
          <w:szCs w:val="24"/>
        </w:rPr>
        <w:t xml:space="preserve"> both profitability and cash flow sustainability (Penman, 2007).</w:t>
      </w:r>
    </w:p>
    <w:p w14:paraId="3EE17A5E"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The study further reveals that advanced accounting concepts, particularly fair value accounting, have become increasingly significant in modern financial reporting. Fair value measurement enhances the relevance of financial information by reflecting current market conditions. This is especially important for financial instruments, where historical cost may not accurately represent economic value. However, findings indicate that fair value accounting can introduce volatility and subjectivity, particularly in illiquid markets where market prices are not readily observable (Laux &amp; </w:t>
      </w:r>
      <w:proofErr w:type="spellStart"/>
      <w:r w:rsidRPr="009D452D">
        <w:rPr>
          <w:rFonts w:ascii="Times New Roman" w:hAnsi="Times New Roman" w:cs="Times New Roman"/>
          <w:szCs w:val="24"/>
        </w:rPr>
        <w:t>Leuz</w:t>
      </w:r>
      <w:proofErr w:type="spellEnd"/>
      <w:r w:rsidRPr="009D452D">
        <w:rPr>
          <w:rFonts w:ascii="Times New Roman" w:hAnsi="Times New Roman" w:cs="Times New Roman"/>
          <w:szCs w:val="24"/>
        </w:rPr>
        <w:t>, 2009). This creates challenges for both preparers and users of financial statements, as estimates may vary depending on assumptions and valuation techniques.</w:t>
      </w:r>
    </w:p>
    <w:p w14:paraId="6B2047AE"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Asset impairment is another area where significant insights emerge. Impairment accounting ensures that assets are reported at recoverable amounts, thereby improving the accuracy and reliability of financial statements. However, the findings suggest that impairment testing often involves managerial judgment, which can be influenced by incentives to manage earnings. </w:t>
      </w:r>
      <w:r w:rsidRPr="009D452D">
        <w:rPr>
          <w:rFonts w:ascii="Times New Roman" w:hAnsi="Times New Roman" w:cs="Times New Roman"/>
          <w:szCs w:val="24"/>
        </w:rPr>
        <w:lastRenderedPageBreak/>
        <w:t>Studies show that managers may delay or accelerate impairment recognition to achieve desired financial outcomes, highlighting the importance of regulatory oversight and auditing practices (</w:t>
      </w:r>
      <w:proofErr w:type="spellStart"/>
      <w:r w:rsidRPr="009D452D">
        <w:rPr>
          <w:rFonts w:ascii="Times New Roman" w:hAnsi="Times New Roman" w:cs="Times New Roman"/>
          <w:szCs w:val="24"/>
        </w:rPr>
        <w:t>Ramanna</w:t>
      </w:r>
      <w:proofErr w:type="spellEnd"/>
      <w:r w:rsidRPr="009D452D">
        <w:rPr>
          <w:rFonts w:ascii="Times New Roman" w:hAnsi="Times New Roman" w:cs="Times New Roman"/>
          <w:szCs w:val="24"/>
        </w:rPr>
        <w:t xml:space="preserve"> &amp; Watts, 2012).</w:t>
      </w:r>
    </w:p>
    <w:p w14:paraId="506ACEC1"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Off-balance-sheet financing is identified as a critical issue affecting financial transparency. The findings indicate that companies have historically used off-balance-sheet arrangements to conceal liabilities and improve financial ratios, thereby presenting a more </w:t>
      </w:r>
      <w:proofErr w:type="spellStart"/>
      <w:r w:rsidRPr="009D452D">
        <w:rPr>
          <w:rFonts w:ascii="Times New Roman" w:hAnsi="Times New Roman" w:cs="Times New Roman"/>
          <w:szCs w:val="24"/>
        </w:rPr>
        <w:t>favorable</w:t>
      </w:r>
      <w:proofErr w:type="spellEnd"/>
      <w:r w:rsidRPr="009D452D">
        <w:rPr>
          <w:rFonts w:ascii="Times New Roman" w:hAnsi="Times New Roman" w:cs="Times New Roman"/>
          <w:szCs w:val="24"/>
        </w:rPr>
        <w:t xml:space="preserve"> financial position. The Enron scandal serves as a prominent example of how such practices can lead to significant financial misrepresentation and loss of investor confidence (Healy &amp; Palepu, 2003). In response, regulatory bodies have introduced stricter standards, such as IFRS 16, which require greater disclosure and recognition of previously hidden liabilities. These reforms have improved transparency, although challenges remain in fully capturing complex financial arrangements.</w:t>
      </w:r>
    </w:p>
    <w:p w14:paraId="2C8A955C"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Additionally, the findings highlight that globalization has significantly influenced accounting practices. The increasing integration of global markets has necessitated the harmonization of accounting standards to facilitate cross-border investment and economic cooperation. IFRS has played a central role in this process, although differences between national standards still exist. The convergence efforts between IFRS and GAAP demonstrate ongoing attempts to create a unified global accounting framework, but complete standardization remains a challenge due to differing regulatory, cultural, and economic environments.</w:t>
      </w:r>
    </w:p>
    <w:p w14:paraId="5B90BCB1"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Overall, the findings demonstrate that modern accounting practices are characterized by a balance between relevance and reliability. While advanced concepts such as fair value accounting and global standards enhance the usefulness of financial information, they also introduce complexity and require careful judgment. The effectiveness of these practices depends largely on strong corporate governance, regulatory enforcement, and ethical standards. These </w:t>
      </w:r>
      <w:r w:rsidRPr="009D452D">
        <w:rPr>
          <w:rFonts w:ascii="Times New Roman" w:hAnsi="Times New Roman" w:cs="Times New Roman"/>
          <w:szCs w:val="24"/>
        </w:rPr>
        <w:lastRenderedPageBreak/>
        <w:t>elements collectively ensure that accounting continues to serve its primary purpose of providing accurate, transparent, and decision-useful information to stakeholders.</w:t>
      </w:r>
    </w:p>
    <w:p w14:paraId="34749F3A" w14:textId="77777777" w:rsidR="009D452D" w:rsidRPr="00CC67E8" w:rsidRDefault="009D452D" w:rsidP="00CC67E8">
      <w:pPr>
        <w:pStyle w:val="Heading2"/>
        <w:rPr>
          <w:rFonts w:ascii="Times New Roman" w:hAnsi="Times New Roman" w:cs="Times New Roman"/>
          <w:sz w:val="24"/>
          <w:szCs w:val="24"/>
        </w:rPr>
      </w:pPr>
      <w:bookmarkStart w:id="6" w:name="_Toc224846305"/>
      <w:r w:rsidRPr="00CC67E8">
        <w:rPr>
          <w:rFonts w:ascii="Times New Roman" w:hAnsi="Times New Roman" w:cs="Times New Roman"/>
          <w:sz w:val="24"/>
          <w:szCs w:val="24"/>
        </w:rPr>
        <w:t>Discussion</w:t>
      </w:r>
      <w:bookmarkEnd w:id="6"/>
    </w:p>
    <w:p w14:paraId="790D3E8C"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The findings of this study highlight the dynamic nature of accounting as it continues to evolve in response to globalization, financial innovation, and increasing stakeholder expectations. The transformation of traditional accounting principles into more advanced and flexible frameworks demonstrates the discipline’s ability to adapt to complex business environments. This discussion critically evaluates these findings in relation to existing literature and explores their broader implications for accounting theory and practice.</w:t>
      </w:r>
    </w:p>
    <w:p w14:paraId="0C256FD5"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One of the central themes emerging from the findings is the continued relevance of the accounting equation as the foundation of financial reporting. While the equation remains unchanged in its basic form, its application has expanded significantly to incorporate modern financial elements such as intangible assets, derivatives, and contingent liabilities. This evolution aligns with the arguments of </w:t>
      </w:r>
      <w:proofErr w:type="spellStart"/>
      <w:r w:rsidRPr="009D452D">
        <w:rPr>
          <w:rFonts w:ascii="Times New Roman" w:hAnsi="Times New Roman" w:cs="Times New Roman"/>
          <w:szCs w:val="24"/>
        </w:rPr>
        <w:t>Kieso</w:t>
      </w:r>
      <w:proofErr w:type="spellEnd"/>
      <w:r w:rsidRPr="009D452D">
        <w:rPr>
          <w:rFonts w:ascii="Times New Roman" w:hAnsi="Times New Roman" w:cs="Times New Roman"/>
          <w:szCs w:val="24"/>
        </w:rPr>
        <w:t xml:space="preserve"> et al. (2020), who emphasize that accounting frameworks must adapt to reflect economic realities more accurately. However, the increasing complexity associated with these adjustments raises concerns regarding understandability for users of financial statements, particularly non-expert stakeholders. This suggests a need for balancing technical accuracy with clarity in financial reporting.</w:t>
      </w:r>
    </w:p>
    <w:p w14:paraId="133FF24F"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The discussion of IFRS and GAAP reveals important insights into the ongoing debate between principles-based and rules-based accounting systems. The findings support prior research indicating that IFRS enhances comparability and transparency across international markets (Barth et al., 2012). This is particularly important in a globalized economy where investors often evaluate firms across multiple jurisdictions. However, the flexibility inherent in IFRS also </w:t>
      </w:r>
      <w:r w:rsidRPr="009D452D">
        <w:rPr>
          <w:rFonts w:ascii="Times New Roman" w:hAnsi="Times New Roman" w:cs="Times New Roman"/>
          <w:szCs w:val="24"/>
        </w:rPr>
        <w:lastRenderedPageBreak/>
        <w:t>introduces subjectivity, which may lead to inconsistencies in application. Soderstrom and Sun (2007) argue that the effectiveness of IFRS depends heavily on enforcement mechanisms and institutional frameworks. In contrast, GAAP’s rules-based approach provides detailed guidance, reducing ambiguity but potentially limiting the ability to capture the economic substance of transactions. Therefore, neither system is inherently superior; rather, their effectiveness depends on the context in which they are applied.</w:t>
      </w:r>
    </w:p>
    <w:p w14:paraId="173F6F75"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Corporate governance emerges as a critical factor influencing the quality and reliability of accounting information. The findings reinforce the view that strong governance structures enhance transparency and reduce the likelihood of financial misreporting. Bushman and Smith (2001) highlight that financial accounting systems play a key role in monitoring managerial </w:t>
      </w:r>
      <w:proofErr w:type="spellStart"/>
      <w:r w:rsidRPr="009D452D">
        <w:rPr>
          <w:rFonts w:ascii="Times New Roman" w:hAnsi="Times New Roman" w:cs="Times New Roman"/>
          <w:szCs w:val="24"/>
        </w:rPr>
        <w:t>behavior</w:t>
      </w:r>
      <w:proofErr w:type="spellEnd"/>
      <w:r w:rsidRPr="009D452D">
        <w:rPr>
          <w:rFonts w:ascii="Times New Roman" w:hAnsi="Times New Roman" w:cs="Times New Roman"/>
          <w:szCs w:val="24"/>
        </w:rPr>
        <w:t xml:space="preserve"> and aligning it with shareholder interests. The discussion further suggests that governance mechanisms, such as independent audits and regulatory oversight, are essential in mitigating the risks associated with subjective accounting practices. In the absence of strong governance, even well-designed accounting standards may fail to achieve their intended objectives. This underscores the interdependence between accounting frameworks and governance structures.</w:t>
      </w:r>
    </w:p>
    <w:p w14:paraId="77A39C2A"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The interrelationship between financial statements is another significant aspect highlighted in the findings. The integration of the balance sheet, income statement, and cash flow statement provides a comprehensive understanding of an organization’s financial performance and position. Penman (2007) argues that </w:t>
      </w:r>
      <w:proofErr w:type="spellStart"/>
      <w:r w:rsidRPr="009D452D">
        <w:rPr>
          <w:rFonts w:ascii="Times New Roman" w:hAnsi="Times New Roman" w:cs="Times New Roman"/>
          <w:szCs w:val="24"/>
        </w:rPr>
        <w:t>analyzing</w:t>
      </w:r>
      <w:proofErr w:type="spellEnd"/>
      <w:r w:rsidRPr="009D452D">
        <w:rPr>
          <w:rFonts w:ascii="Times New Roman" w:hAnsi="Times New Roman" w:cs="Times New Roman"/>
          <w:szCs w:val="24"/>
        </w:rPr>
        <w:t xml:space="preserve"> these statements collectively enables more accurate assessments of firm value and future performance. The discussion suggests that this interconnected approach is particularly important in modern accounting, where complex transactions often have multiple financial implications. However, the increasing complexity of </w:t>
      </w:r>
      <w:r w:rsidRPr="009D452D">
        <w:rPr>
          <w:rFonts w:ascii="Times New Roman" w:hAnsi="Times New Roman" w:cs="Times New Roman"/>
          <w:szCs w:val="24"/>
        </w:rPr>
        <w:lastRenderedPageBreak/>
        <w:t>financial statements may also pose challenges for users, necessitating improved disclosure practices and financial literacy.</w:t>
      </w:r>
    </w:p>
    <w:p w14:paraId="5AAAEE18"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Fair value accounting represents one of the most debated topics in contemporary accounting literature. The findings indicate that fair value enhances the relevance of financial information by reflecting current market conditions. This supports the argument that decision-useful information should be timely and reflective of economic reality (Penman, 2007). However, critics such as Laux and </w:t>
      </w:r>
      <w:proofErr w:type="spellStart"/>
      <w:r w:rsidRPr="009D452D">
        <w:rPr>
          <w:rFonts w:ascii="Times New Roman" w:hAnsi="Times New Roman" w:cs="Times New Roman"/>
          <w:szCs w:val="24"/>
        </w:rPr>
        <w:t>Leuz</w:t>
      </w:r>
      <w:proofErr w:type="spellEnd"/>
      <w:r w:rsidRPr="009D452D">
        <w:rPr>
          <w:rFonts w:ascii="Times New Roman" w:hAnsi="Times New Roman" w:cs="Times New Roman"/>
          <w:szCs w:val="24"/>
        </w:rPr>
        <w:t xml:space="preserve"> (2009) caution that fair value accounting can introduce volatility and subjectivity, particularly in illiquid markets where reliable market prices are not available. The discussion highlights the trade-off between relevance and reliability, which remains a central challenge in accounting. While fair value provides more relevant information, its reliability depends on the accuracy of valuation techniques and assumptions. This emphasizes the importance of robust valuation standards and professional judgment.</w:t>
      </w:r>
    </w:p>
    <w:p w14:paraId="6A7CEBDA"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Asset impairment further illustrates the challenges associated with subjective accounting practices. The findings suggest that impairment testing improves the accuracy of asset valuation but also provides opportunities for earnings management. </w:t>
      </w:r>
      <w:proofErr w:type="spellStart"/>
      <w:r w:rsidRPr="009D452D">
        <w:rPr>
          <w:rFonts w:ascii="Times New Roman" w:hAnsi="Times New Roman" w:cs="Times New Roman"/>
          <w:szCs w:val="24"/>
        </w:rPr>
        <w:t>Ramanna</w:t>
      </w:r>
      <w:proofErr w:type="spellEnd"/>
      <w:r w:rsidRPr="009D452D">
        <w:rPr>
          <w:rFonts w:ascii="Times New Roman" w:hAnsi="Times New Roman" w:cs="Times New Roman"/>
          <w:szCs w:val="24"/>
        </w:rPr>
        <w:t xml:space="preserve"> and Watts (2012) argue that managerial discretion in impairment decisions can be influenced by incentives, potentially leading to biased reporting. This raises important ethical considerations and highlights the need for stringent auditing and regulatory frameworks. The discussion suggests that transparency in impairment disclosures and consistent application of standards </w:t>
      </w:r>
      <w:proofErr w:type="gramStart"/>
      <w:r w:rsidRPr="009D452D">
        <w:rPr>
          <w:rFonts w:ascii="Times New Roman" w:hAnsi="Times New Roman" w:cs="Times New Roman"/>
          <w:szCs w:val="24"/>
        </w:rPr>
        <w:t>are</w:t>
      </w:r>
      <w:proofErr w:type="gramEnd"/>
      <w:r w:rsidRPr="009D452D">
        <w:rPr>
          <w:rFonts w:ascii="Times New Roman" w:hAnsi="Times New Roman" w:cs="Times New Roman"/>
          <w:szCs w:val="24"/>
        </w:rPr>
        <w:t xml:space="preserve"> essential to maintaining stakeholder confidence.</w:t>
      </w:r>
    </w:p>
    <w:p w14:paraId="557101EE"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Off-balance-sheet financing is another critical issue discussed in this study. The findings demonstrate that such practices can obscure the true financial position of a company, thereby undermining transparency. The Enron case, as discussed by Healy and Palepu (2003), serves as a </w:t>
      </w:r>
      <w:r w:rsidRPr="009D452D">
        <w:rPr>
          <w:rFonts w:ascii="Times New Roman" w:hAnsi="Times New Roman" w:cs="Times New Roman"/>
          <w:szCs w:val="24"/>
        </w:rPr>
        <w:lastRenderedPageBreak/>
        <w:t>cautionary example of the consequences of inadequate disclosure and regulatory oversight. The introduction of standards such as IFRS 16 represents a significant step toward improving transparency by requiring the recognition of lease obligations on the balance sheet. However, the discussion suggests that companies may still find ways to structure transactions to achieve similar outcomes, indicating that continuous monitoring and regulatory adaptation are necessary.</w:t>
      </w:r>
    </w:p>
    <w:p w14:paraId="6B63EB57"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Globalization has significantly influenced the development and adoption of accounting standards. The widespread adoption of IFRS reflects the need for a common financial reporting language that facilitates cross-border investment and economic integration. However, the discussion highlights that complete convergence between IFRS and GAAP remains challenging due to differences in legal systems, cultural factors, and economic environments. This suggests that while harmonization is desirable, a certain degree of diversity in accounting practices may be inevitable.</w:t>
      </w:r>
    </w:p>
    <w:p w14:paraId="73484750"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Overall, the discussion underscores the complexity and evolving nature of modern accounting. The integration of advanced concepts and global standards has enhanced the relevance and usefulness of financial information, but it has also introduced challenges related to reliability, consistency, and ethical practices. The findings suggest that the effectiveness of accounting systems depends not only on the design of standards but also on the strength of governance, regulatory enforcement, and professional judgment. Future developments in accounting are likely to focus on improving transparency, enhancing comparability, and addressing the challenges posed by technological advancements and financial innovation.</w:t>
      </w:r>
    </w:p>
    <w:p w14:paraId="36E4B8AE" w14:textId="77777777" w:rsidR="009D452D" w:rsidRPr="009D452D" w:rsidRDefault="009D452D" w:rsidP="009D452D">
      <w:pPr>
        <w:spacing w:line="480" w:lineRule="auto"/>
        <w:rPr>
          <w:rFonts w:ascii="Times New Roman" w:hAnsi="Times New Roman" w:cs="Times New Roman"/>
          <w:szCs w:val="24"/>
        </w:rPr>
      </w:pPr>
      <w:r w:rsidRPr="009D452D">
        <w:rPr>
          <w:rFonts w:ascii="Times New Roman" w:hAnsi="Times New Roman" w:cs="Times New Roman"/>
          <w:szCs w:val="24"/>
        </w:rPr>
        <w:t xml:space="preserve">In conclusion, the discussion highlights that accounting is not a static discipline but a continuously evolving field that responds to changing economic and social conditions. The balance between relevance and reliability remains a central concern, and achieving this balance </w:t>
      </w:r>
      <w:r w:rsidRPr="009D452D">
        <w:rPr>
          <w:rFonts w:ascii="Times New Roman" w:hAnsi="Times New Roman" w:cs="Times New Roman"/>
          <w:szCs w:val="24"/>
        </w:rPr>
        <w:lastRenderedPageBreak/>
        <w:t>requires ongoing collaboration among standard-setters, regulators, and practitioners. By addressing these challenges, accounting can continue to play a vital role in supporting informed decision-making and promoting trust in financial markets.</w:t>
      </w:r>
    </w:p>
    <w:p w14:paraId="4DAAEA43" w14:textId="77777777" w:rsidR="008A4EF3" w:rsidRPr="00CC67E8" w:rsidRDefault="008A4EF3" w:rsidP="00CC67E8">
      <w:pPr>
        <w:pStyle w:val="Heading2"/>
        <w:rPr>
          <w:rFonts w:ascii="Times New Roman" w:hAnsi="Times New Roman" w:cs="Times New Roman"/>
          <w:sz w:val="24"/>
          <w:szCs w:val="24"/>
        </w:rPr>
      </w:pPr>
      <w:bookmarkStart w:id="7" w:name="_Toc224846306"/>
      <w:r w:rsidRPr="00CC67E8">
        <w:rPr>
          <w:rFonts w:ascii="Times New Roman" w:hAnsi="Times New Roman" w:cs="Times New Roman"/>
          <w:sz w:val="24"/>
          <w:szCs w:val="24"/>
        </w:rPr>
        <w:t>Conclusion</w:t>
      </w:r>
      <w:bookmarkEnd w:id="7"/>
    </w:p>
    <w:p w14:paraId="30E9EDD3" w14:textId="77777777" w:rsidR="008A4EF3" w:rsidRPr="008A4EF3" w:rsidRDefault="008A4EF3" w:rsidP="008A4EF3">
      <w:pPr>
        <w:spacing w:line="480" w:lineRule="auto"/>
        <w:rPr>
          <w:rFonts w:ascii="Times New Roman" w:hAnsi="Times New Roman" w:cs="Times New Roman"/>
          <w:szCs w:val="24"/>
        </w:rPr>
      </w:pPr>
      <w:r w:rsidRPr="008A4EF3">
        <w:rPr>
          <w:rFonts w:ascii="Times New Roman" w:hAnsi="Times New Roman" w:cs="Times New Roman"/>
          <w:szCs w:val="24"/>
        </w:rPr>
        <w:t>This report has critically examined advanced theoretical concepts of accounting and their application within modern business environments. The analysis demonstrates that while the fundamental principles of accounting, such as the accounting equation, remain unchanged, their interpretation and application have evolved significantly in response to increasing financial complexity and globalization. Modern accounting practices now incorporate advanced concepts such as fair value measurement, asset impairment, and off-balance-sheet financing, which enhance the relevance of financial information but also introduce challenges related to reliability and subjectivity.</w:t>
      </w:r>
    </w:p>
    <w:p w14:paraId="19557732" w14:textId="77777777" w:rsidR="008A4EF3" w:rsidRPr="008A4EF3" w:rsidRDefault="008A4EF3" w:rsidP="008A4EF3">
      <w:pPr>
        <w:spacing w:line="480" w:lineRule="auto"/>
        <w:rPr>
          <w:rFonts w:ascii="Times New Roman" w:hAnsi="Times New Roman" w:cs="Times New Roman"/>
          <w:szCs w:val="24"/>
        </w:rPr>
      </w:pPr>
      <w:r w:rsidRPr="008A4EF3">
        <w:rPr>
          <w:rFonts w:ascii="Times New Roman" w:hAnsi="Times New Roman" w:cs="Times New Roman"/>
          <w:szCs w:val="24"/>
        </w:rPr>
        <w:t>The comparison between IFRS and GAAP highlights the ongoing tension between principles-based and rules-based approaches. While IFRS promotes flexibility and global comparability, it requires strong professional judgment and robust enforcement mechanisms to ensure consistency. Conversely, GAAP provides detailed guidance that reduces ambiguity but may limit adaptability. The findings suggest that neither framework is inherently superior; rather, their effectiveness depends on governance structures, regulatory environments, and ethical practices.</w:t>
      </w:r>
    </w:p>
    <w:p w14:paraId="7ECA6DD6" w14:textId="77777777" w:rsidR="008A4EF3" w:rsidRPr="008A4EF3" w:rsidRDefault="008A4EF3" w:rsidP="008A4EF3">
      <w:pPr>
        <w:spacing w:line="480" w:lineRule="auto"/>
        <w:rPr>
          <w:rFonts w:ascii="Times New Roman" w:hAnsi="Times New Roman" w:cs="Times New Roman"/>
          <w:szCs w:val="24"/>
        </w:rPr>
      </w:pPr>
      <w:r w:rsidRPr="008A4EF3">
        <w:rPr>
          <w:rFonts w:ascii="Times New Roman" w:hAnsi="Times New Roman" w:cs="Times New Roman"/>
          <w:szCs w:val="24"/>
        </w:rPr>
        <w:t xml:space="preserve">Corporate governance emerges as a critical factor in ensuring the integrity and transparency of financial reporting. Strong governance mechanisms, including independent audits and regulatory oversight, play a vital role in mitigating risks associated with managerial discretion and potential financial misreporting. Additionally, the interrelationship between financial statements </w:t>
      </w:r>
      <w:r w:rsidRPr="008A4EF3">
        <w:rPr>
          <w:rFonts w:ascii="Times New Roman" w:hAnsi="Times New Roman" w:cs="Times New Roman"/>
          <w:szCs w:val="24"/>
        </w:rPr>
        <w:lastRenderedPageBreak/>
        <w:t>underscores the importance of a holistic approach to financial analysis, enabling stakeholders to make informed decisions based on comprehensive financial information.</w:t>
      </w:r>
    </w:p>
    <w:p w14:paraId="36E49F2F" w14:textId="77777777" w:rsidR="008A4EF3" w:rsidRPr="008A4EF3" w:rsidRDefault="008A4EF3" w:rsidP="008A4EF3">
      <w:pPr>
        <w:spacing w:line="480" w:lineRule="auto"/>
        <w:rPr>
          <w:rFonts w:ascii="Times New Roman" w:hAnsi="Times New Roman" w:cs="Times New Roman"/>
          <w:szCs w:val="24"/>
        </w:rPr>
      </w:pPr>
      <w:r w:rsidRPr="008A4EF3">
        <w:rPr>
          <w:rFonts w:ascii="Times New Roman" w:hAnsi="Times New Roman" w:cs="Times New Roman"/>
          <w:szCs w:val="24"/>
        </w:rPr>
        <w:t>Furthermore, the study highlights that globalization has significantly influenced the development and harmonization of accounting standards. While efforts toward convergence have improved comparability, complete standardization remains challenging due to diverse economic and regulatory contexts. This indicates that accounting will continue to evolve as it adapts to emerging global and technological trends.</w:t>
      </w:r>
    </w:p>
    <w:p w14:paraId="7BBB8C09" w14:textId="77777777" w:rsidR="008A4EF3" w:rsidRPr="008A4EF3" w:rsidRDefault="008A4EF3" w:rsidP="008A4EF3">
      <w:pPr>
        <w:spacing w:line="480" w:lineRule="auto"/>
        <w:rPr>
          <w:rFonts w:ascii="Times New Roman" w:hAnsi="Times New Roman" w:cs="Times New Roman"/>
          <w:szCs w:val="24"/>
        </w:rPr>
      </w:pPr>
      <w:r w:rsidRPr="008A4EF3">
        <w:rPr>
          <w:rFonts w:ascii="Times New Roman" w:hAnsi="Times New Roman" w:cs="Times New Roman"/>
          <w:szCs w:val="24"/>
        </w:rPr>
        <w:t>In conclusion, modern accounting represents a balance between theoretical foundations and practical application. Its effectiveness relies on maintaining transparency, ensuring ethical practices, and continuously adapting to changing business environments. By addressing these challenges, accounting can continue to support informed decision-making and sustain trust in financial systems.</w:t>
      </w:r>
    </w:p>
    <w:p w14:paraId="003CFB35" w14:textId="77777777" w:rsidR="00322E52" w:rsidRPr="00CC67E8" w:rsidRDefault="00322E52" w:rsidP="00E4472F">
      <w:pPr>
        <w:spacing w:line="480" w:lineRule="auto"/>
        <w:rPr>
          <w:rFonts w:ascii="Times New Roman" w:hAnsi="Times New Roman" w:cs="Times New Roman"/>
          <w:szCs w:val="24"/>
        </w:rPr>
      </w:pPr>
    </w:p>
    <w:p w14:paraId="38710008" w14:textId="77777777" w:rsidR="008A4EF3" w:rsidRPr="00CC67E8" w:rsidRDefault="008A4EF3" w:rsidP="00E4472F">
      <w:pPr>
        <w:spacing w:line="480" w:lineRule="auto"/>
        <w:rPr>
          <w:rFonts w:ascii="Times New Roman" w:hAnsi="Times New Roman" w:cs="Times New Roman"/>
          <w:szCs w:val="24"/>
        </w:rPr>
      </w:pPr>
    </w:p>
    <w:p w14:paraId="41A559FE" w14:textId="77777777" w:rsidR="008A4EF3" w:rsidRPr="00CC67E8" w:rsidRDefault="008A4EF3" w:rsidP="00E4472F">
      <w:pPr>
        <w:spacing w:line="480" w:lineRule="auto"/>
        <w:rPr>
          <w:rFonts w:ascii="Times New Roman" w:hAnsi="Times New Roman" w:cs="Times New Roman"/>
          <w:szCs w:val="24"/>
        </w:rPr>
      </w:pPr>
    </w:p>
    <w:p w14:paraId="0E475F0F" w14:textId="77777777" w:rsidR="008A4EF3" w:rsidRPr="00CC67E8" w:rsidRDefault="008A4EF3" w:rsidP="00E4472F">
      <w:pPr>
        <w:spacing w:line="480" w:lineRule="auto"/>
        <w:rPr>
          <w:rFonts w:ascii="Times New Roman" w:hAnsi="Times New Roman" w:cs="Times New Roman"/>
          <w:szCs w:val="24"/>
        </w:rPr>
      </w:pPr>
    </w:p>
    <w:p w14:paraId="6EA2E32F" w14:textId="77777777" w:rsidR="008A4EF3" w:rsidRPr="00CC67E8" w:rsidRDefault="008A4EF3" w:rsidP="00E4472F">
      <w:pPr>
        <w:spacing w:line="480" w:lineRule="auto"/>
        <w:rPr>
          <w:rFonts w:ascii="Times New Roman" w:hAnsi="Times New Roman" w:cs="Times New Roman"/>
          <w:szCs w:val="24"/>
        </w:rPr>
      </w:pPr>
    </w:p>
    <w:p w14:paraId="63779DD6" w14:textId="77777777" w:rsidR="008A4EF3" w:rsidRPr="00CC67E8" w:rsidRDefault="008A4EF3" w:rsidP="00E4472F">
      <w:pPr>
        <w:spacing w:line="480" w:lineRule="auto"/>
        <w:rPr>
          <w:rFonts w:ascii="Times New Roman" w:hAnsi="Times New Roman" w:cs="Times New Roman"/>
          <w:szCs w:val="24"/>
        </w:rPr>
      </w:pPr>
    </w:p>
    <w:p w14:paraId="33C76029" w14:textId="77777777" w:rsidR="008A4EF3" w:rsidRPr="00CC67E8" w:rsidRDefault="008A4EF3" w:rsidP="00E4472F">
      <w:pPr>
        <w:spacing w:line="480" w:lineRule="auto"/>
        <w:rPr>
          <w:rFonts w:ascii="Times New Roman" w:hAnsi="Times New Roman" w:cs="Times New Roman"/>
          <w:szCs w:val="24"/>
        </w:rPr>
      </w:pPr>
    </w:p>
    <w:p w14:paraId="50ACB673" w14:textId="77777777" w:rsidR="008A4EF3" w:rsidRPr="00CC67E8" w:rsidRDefault="008A4EF3" w:rsidP="00E4472F">
      <w:pPr>
        <w:spacing w:line="480" w:lineRule="auto"/>
        <w:rPr>
          <w:rFonts w:ascii="Times New Roman" w:hAnsi="Times New Roman" w:cs="Times New Roman"/>
          <w:szCs w:val="24"/>
        </w:rPr>
      </w:pPr>
    </w:p>
    <w:p w14:paraId="13118494" w14:textId="56349505" w:rsidR="008A4EF3" w:rsidRPr="00CC67E8" w:rsidRDefault="008279E6" w:rsidP="00CC67E8">
      <w:pPr>
        <w:pStyle w:val="Heading2"/>
        <w:rPr>
          <w:rFonts w:ascii="Times New Roman" w:hAnsi="Times New Roman" w:cs="Times New Roman"/>
          <w:sz w:val="24"/>
          <w:szCs w:val="24"/>
        </w:rPr>
      </w:pPr>
      <w:bookmarkStart w:id="8" w:name="_Toc224846307"/>
      <w:r w:rsidRPr="00CC67E8">
        <w:rPr>
          <w:rFonts w:ascii="Times New Roman" w:hAnsi="Times New Roman" w:cs="Times New Roman"/>
          <w:sz w:val="24"/>
          <w:szCs w:val="24"/>
        </w:rPr>
        <w:lastRenderedPageBreak/>
        <w:t>References</w:t>
      </w:r>
      <w:bookmarkEnd w:id="8"/>
    </w:p>
    <w:p w14:paraId="3C03E645"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Barth, M. E., Landsman, W. R., &amp; Lang, M. H. (2012). International accounting standards and accounting quality. </w:t>
      </w:r>
      <w:r w:rsidRPr="00C76C6F">
        <w:rPr>
          <w:rFonts w:ascii="Times New Roman" w:hAnsi="Times New Roman" w:cs="Times New Roman"/>
          <w:i/>
          <w:iCs/>
          <w:szCs w:val="24"/>
        </w:rPr>
        <w:t>Journal of Accounting Research</w:t>
      </w:r>
      <w:r w:rsidRPr="00C76C6F">
        <w:rPr>
          <w:rFonts w:ascii="Times New Roman" w:hAnsi="Times New Roman" w:cs="Times New Roman"/>
          <w:szCs w:val="24"/>
        </w:rPr>
        <w:t>, 46(3), 467–498. https://doi.org/10.1111/j.1475-679X.2008.00287.x</w:t>
      </w:r>
    </w:p>
    <w:p w14:paraId="7CA5AE58"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Bushman, R. M., &amp; Smith, A. J. (2001). Financial accounting information and corporate governance. </w:t>
      </w:r>
      <w:r w:rsidRPr="00C76C6F">
        <w:rPr>
          <w:rFonts w:ascii="Times New Roman" w:hAnsi="Times New Roman" w:cs="Times New Roman"/>
          <w:i/>
          <w:iCs/>
          <w:szCs w:val="24"/>
        </w:rPr>
        <w:t>Journal of Accounting and Economics</w:t>
      </w:r>
      <w:r w:rsidRPr="00C76C6F">
        <w:rPr>
          <w:rFonts w:ascii="Times New Roman" w:hAnsi="Times New Roman" w:cs="Times New Roman"/>
          <w:szCs w:val="24"/>
        </w:rPr>
        <w:t>, 32(1–3), 237–333. https://doi.org/10.1016/S0165-4101(01)00027-1</w:t>
      </w:r>
    </w:p>
    <w:p w14:paraId="7B1E5888"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Healy, P. M., &amp; Palepu, K. G. (2001). Information asymmetry, corporate disclosure, and the capital markets. </w:t>
      </w:r>
      <w:r w:rsidRPr="00C76C6F">
        <w:rPr>
          <w:rFonts w:ascii="Times New Roman" w:hAnsi="Times New Roman" w:cs="Times New Roman"/>
          <w:i/>
          <w:iCs/>
          <w:szCs w:val="24"/>
        </w:rPr>
        <w:t>Journal of Accounting and Economics</w:t>
      </w:r>
      <w:r w:rsidRPr="00C76C6F">
        <w:rPr>
          <w:rFonts w:ascii="Times New Roman" w:hAnsi="Times New Roman" w:cs="Times New Roman"/>
          <w:szCs w:val="24"/>
        </w:rPr>
        <w:t>, 31(1–3), 405–440. https://doi.org/10.1016/S0165-4101(01)00018-0</w:t>
      </w:r>
    </w:p>
    <w:p w14:paraId="56374F44"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Healy, P. M., &amp; Palepu, K. G. (2003). The fall of Enron. </w:t>
      </w:r>
      <w:r w:rsidRPr="00C76C6F">
        <w:rPr>
          <w:rFonts w:ascii="Times New Roman" w:hAnsi="Times New Roman" w:cs="Times New Roman"/>
          <w:i/>
          <w:iCs/>
          <w:szCs w:val="24"/>
        </w:rPr>
        <w:t>Journal of Economic Perspectives</w:t>
      </w:r>
      <w:r w:rsidRPr="00C76C6F">
        <w:rPr>
          <w:rFonts w:ascii="Times New Roman" w:hAnsi="Times New Roman" w:cs="Times New Roman"/>
          <w:szCs w:val="24"/>
        </w:rPr>
        <w:t>, 17(2), 3–26. https://doi.org/10.1257/089533003765888403</w:t>
      </w:r>
    </w:p>
    <w:p w14:paraId="22E8D945" w14:textId="77777777" w:rsidR="00C76C6F" w:rsidRPr="00C76C6F" w:rsidRDefault="00C76C6F" w:rsidP="00C76C6F">
      <w:pPr>
        <w:spacing w:line="480" w:lineRule="auto"/>
        <w:rPr>
          <w:rFonts w:ascii="Times New Roman" w:hAnsi="Times New Roman" w:cs="Times New Roman"/>
          <w:szCs w:val="24"/>
        </w:rPr>
      </w:pPr>
      <w:proofErr w:type="spellStart"/>
      <w:r w:rsidRPr="00C76C6F">
        <w:rPr>
          <w:rFonts w:ascii="Times New Roman" w:hAnsi="Times New Roman" w:cs="Times New Roman"/>
          <w:szCs w:val="24"/>
        </w:rPr>
        <w:t>Kieso</w:t>
      </w:r>
      <w:proofErr w:type="spellEnd"/>
      <w:r w:rsidRPr="00C76C6F">
        <w:rPr>
          <w:rFonts w:ascii="Times New Roman" w:hAnsi="Times New Roman" w:cs="Times New Roman"/>
          <w:szCs w:val="24"/>
        </w:rPr>
        <w:t xml:space="preserve">, D. E., Weygandt, J. J., &amp; Warfield, T. D. (2020). </w:t>
      </w:r>
      <w:r w:rsidRPr="00C76C6F">
        <w:rPr>
          <w:rFonts w:ascii="Times New Roman" w:hAnsi="Times New Roman" w:cs="Times New Roman"/>
          <w:i/>
          <w:iCs/>
          <w:szCs w:val="24"/>
        </w:rPr>
        <w:t>Intermediate accounting</w:t>
      </w:r>
      <w:r w:rsidRPr="00C76C6F">
        <w:rPr>
          <w:rFonts w:ascii="Times New Roman" w:hAnsi="Times New Roman" w:cs="Times New Roman"/>
          <w:szCs w:val="24"/>
        </w:rPr>
        <w:t xml:space="preserve"> (17th ed.). Wiley.</w:t>
      </w:r>
    </w:p>
    <w:p w14:paraId="59E3DF51"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Laux, C., &amp; </w:t>
      </w:r>
      <w:proofErr w:type="spellStart"/>
      <w:r w:rsidRPr="00C76C6F">
        <w:rPr>
          <w:rFonts w:ascii="Times New Roman" w:hAnsi="Times New Roman" w:cs="Times New Roman"/>
          <w:szCs w:val="24"/>
        </w:rPr>
        <w:t>Leuz</w:t>
      </w:r>
      <w:proofErr w:type="spellEnd"/>
      <w:r w:rsidRPr="00C76C6F">
        <w:rPr>
          <w:rFonts w:ascii="Times New Roman" w:hAnsi="Times New Roman" w:cs="Times New Roman"/>
          <w:szCs w:val="24"/>
        </w:rPr>
        <w:t xml:space="preserve">, C. (2009). The crisis of fair-value accounting. </w:t>
      </w:r>
      <w:r w:rsidRPr="00C76C6F">
        <w:rPr>
          <w:rFonts w:ascii="Times New Roman" w:hAnsi="Times New Roman" w:cs="Times New Roman"/>
          <w:i/>
          <w:iCs/>
          <w:szCs w:val="24"/>
        </w:rPr>
        <w:t>Accounting, Organizations and Society</w:t>
      </w:r>
      <w:r w:rsidRPr="00C76C6F">
        <w:rPr>
          <w:rFonts w:ascii="Times New Roman" w:hAnsi="Times New Roman" w:cs="Times New Roman"/>
          <w:szCs w:val="24"/>
        </w:rPr>
        <w:t>, 34(6–7), 826–834. https://doi.org/10.1016/j.aos.2009.04.004</w:t>
      </w:r>
    </w:p>
    <w:p w14:paraId="15FB098F"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Penman, S. H. (2007). Financial reporting quality: Is fair value a plus or a minus? </w:t>
      </w:r>
      <w:r w:rsidRPr="00C76C6F">
        <w:rPr>
          <w:rFonts w:ascii="Times New Roman" w:hAnsi="Times New Roman" w:cs="Times New Roman"/>
          <w:i/>
          <w:iCs/>
          <w:szCs w:val="24"/>
        </w:rPr>
        <w:t>Accounting and Business Research</w:t>
      </w:r>
      <w:r w:rsidRPr="00C76C6F">
        <w:rPr>
          <w:rFonts w:ascii="Times New Roman" w:hAnsi="Times New Roman" w:cs="Times New Roman"/>
          <w:szCs w:val="24"/>
        </w:rPr>
        <w:t>, 37(sup1), 33–44. https://doi.org/10.1080/00014788.2007.9730083</w:t>
      </w:r>
    </w:p>
    <w:p w14:paraId="5AAA7256"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Ramanna, K., &amp; Watts, R. L. (2012). Evidence on the use of unverifiable estimates in required goodwill impairment. </w:t>
      </w:r>
      <w:r w:rsidRPr="00C76C6F">
        <w:rPr>
          <w:rFonts w:ascii="Times New Roman" w:hAnsi="Times New Roman" w:cs="Times New Roman"/>
          <w:i/>
          <w:iCs/>
          <w:szCs w:val="24"/>
        </w:rPr>
        <w:t>Review of Accounting Studies</w:t>
      </w:r>
      <w:r w:rsidRPr="00C76C6F">
        <w:rPr>
          <w:rFonts w:ascii="Times New Roman" w:hAnsi="Times New Roman" w:cs="Times New Roman"/>
          <w:szCs w:val="24"/>
        </w:rPr>
        <w:t xml:space="preserve">, 17(4), 749–780. </w:t>
      </w:r>
      <w:hyperlink r:id="rId6" w:tgtFrame="_new" w:history="1">
        <w:r w:rsidRPr="00C76C6F">
          <w:rPr>
            <w:rStyle w:val="Hyperlink"/>
            <w:rFonts w:ascii="Times New Roman" w:hAnsi="Times New Roman" w:cs="Times New Roman"/>
            <w:szCs w:val="24"/>
          </w:rPr>
          <w:t>https://doi.org/10.1007/s11142-012-9188-5</w:t>
        </w:r>
      </w:hyperlink>
    </w:p>
    <w:p w14:paraId="57F140B5"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lastRenderedPageBreak/>
        <w:t xml:space="preserve">Soderstrom, N. S., &amp; Sun, K. J. (2007). IFRS adoption and accounting quality: A review. </w:t>
      </w:r>
      <w:r w:rsidRPr="00C76C6F">
        <w:rPr>
          <w:rFonts w:ascii="Times New Roman" w:hAnsi="Times New Roman" w:cs="Times New Roman"/>
          <w:i/>
          <w:iCs/>
          <w:szCs w:val="24"/>
        </w:rPr>
        <w:t>European Accounting Review</w:t>
      </w:r>
      <w:r w:rsidRPr="00C76C6F">
        <w:rPr>
          <w:rFonts w:ascii="Times New Roman" w:hAnsi="Times New Roman" w:cs="Times New Roman"/>
          <w:szCs w:val="24"/>
        </w:rPr>
        <w:t xml:space="preserve">, 16(4), 675–702. </w:t>
      </w:r>
      <w:hyperlink r:id="rId7" w:tgtFrame="_new" w:history="1">
        <w:r w:rsidRPr="00C76C6F">
          <w:rPr>
            <w:rStyle w:val="Hyperlink"/>
            <w:rFonts w:ascii="Times New Roman" w:hAnsi="Times New Roman" w:cs="Times New Roman"/>
            <w:szCs w:val="24"/>
          </w:rPr>
          <w:t>https://doi.org/10.1080/09638180701706732</w:t>
        </w:r>
      </w:hyperlink>
    </w:p>
    <w:p w14:paraId="5D4C3612"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Ball, R. (2006). International financial reporting standards (IFRS): Pros and cons for investors. </w:t>
      </w:r>
      <w:r w:rsidRPr="00C76C6F">
        <w:rPr>
          <w:rFonts w:ascii="Times New Roman" w:hAnsi="Times New Roman" w:cs="Times New Roman"/>
          <w:i/>
          <w:iCs/>
          <w:szCs w:val="24"/>
        </w:rPr>
        <w:t>Accounting and Business Research</w:t>
      </w:r>
      <w:r w:rsidRPr="00C76C6F">
        <w:rPr>
          <w:rFonts w:ascii="Times New Roman" w:hAnsi="Times New Roman" w:cs="Times New Roman"/>
          <w:szCs w:val="24"/>
        </w:rPr>
        <w:t xml:space="preserve">, 36(sup1), 5–27. </w:t>
      </w:r>
      <w:hyperlink r:id="rId8" w:tgtFrame="_new" w:history="1">
        <w:r w:rsidRPr="00C76C6F">
          <w:rPr>
            <w:rStyle w:val="Hyperlink"/>
            <w:rFonts w:ascii="Times New Roman" w:hAnsi="Times New Roman" w:cs="Times New Roman"/>
            <w:szCs w:val="24"/>
          </w:rPr>
          <w:t>https://doi.org/10.1080/00014788.2006.9730040</w:t>
        </w:r>
      </w:hyperlink>
    </w:p>
    <w:p w14:paraId="4FC333F8"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Dechow, P. M., &amp; Schrand, C. M. (2004). Earnings quality. </w:t>
      </w:r>
      <w:r w:rsidRPr="00C76C6F">
        <w:rPr>
          <w:rFonts w:ascii="Times New Roman" w:hAnsi="Times New Roman" w:cs="Times New Roman"/>
          <w:i/>
          <w:iCs/>
          <w:szCs w:val="24"/>
        </w:rPr>
        <w:t>Research Foundation of CFA Institute</w:t>
      </w:r>
      <w:r w:rsidRPr="00C76C6F">
        <w:rPr>
          <w:rFonts w:ascii="Times New Roman" w:hAnsi="Times New Roman" w:cs="Times New Roman"/>
          <w:szCs w:val="24"/>
        </w:rPr>
        <w:t>. https://doi.org/10.2469/rrf.v2004.n3.389</w:t>
      </w:r>
    </w:p>
    <w:p w14:paraId="0EAD8C5C"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Scott, W. R. (2015). </w:t>
      </w:r>
      <w:r w:rsidRPr="00C76C6F">
        <w:rPr>
          <w:rFonts w:ascii="Times New Roman" w:hAnsi="Times New Roman" w:cs="Times New Roman"/>
          <w:i/>
          <w:iCs/>
          <w:szCs w:val="24"/>
        </w:rPr>
        <w:t>Financial accounting theory</w:t>
      </w:r>
      <w:r w:rsidRPr="00C76C6F">
        <w:rPr>
          <w:rFonts w:ascii="Times New Roman" w:hAnsi="Times New Roman" w:cs="Times New Roman"/>
          <w:szCs w:val="24"/>
        </w:rPr>
        <w:t xml:space="preserve"> (7th ed.). Pearson.</w:t>
      </w:r>
    </w:p>
    <w:p w14:paraId="32EE620A"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Godfrey, J., Hodgson, A., Tarca, A., Hamilton, J., &amp; Holmes, S. (2010). </w:t>
      </w:r>
      <w:r w:rsidRPr="00C76C6F">
        <w:rPr>
          <w:rFonts w:ascii="Times New Roman" w:hAnsi="Times New Roman" w:cs="Times New Roman"/>
          <w:i/>
          <w:iCs/>
          <w:szCs w:val="24"/>
        </w:rPr>
        <w:t>Accounting theory</w:t>
      </w:r>
      <w:r w:rsidRPr="00C76C6F">
        <w:rPr>
          <w:rFonts w:ascii="Times New Roman" w:hAnsi="Times New Roman" w:cs="Times New Roman"/>
          <w:szCs w:val="24"/>
        </w:rPr>
        <w:t xml:space="preserve"> (7th ed.). Wiley.</w:t>
      </w:r>
    </w:p>
    <w:p w14:paraId="7E33F172"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Watts, R. L., &amp; Zimmerman, J. L. (1986). </w:t>
      </w:r>
      <w:r w:rsidRPr="00C76C6F">
        <w:rPr>
          <w:rFonts w:ascii="Times New Roman" w:hAnsi="Times New Roman" w:cs="Times New Roman"/>
          <w:i/>
          <w:iCs/>
          <w:szCs w:val="24"/>
        </w:rPr>
        <w:t>Positive accounting theory</w:t>
      </w:r>
      <w:r w:rsidRPr="00C76C6F">
        <w:rPr>
          <w:rFonts w:ascii="Times New Roman" w:hAnsi="Times New Roman" w:cs="Times New Roman"/>
          <w:szCs w:val="24"/>
        </w:rPr>
        <w:t>. Prentice Hall.</w:t>
      </w:r>
    </w:p>
    <w:p w14:paraId="29C29E1F" w14:textId="77777777" w:rsidR="00C76C6F" w:rsidRPr="00C76C6F" w:rsidRDefault="00C76C6F" w:rsidP="00C76C6F">
      <w:pPr>
        <w:spacing w:line="480" w:lineRule="auto"/>
        <w:rPr>
          <w:rFonts w:ascii="Times New Roman" w:hAnsi="Times New Roman" w:cs="Times New Roman"/>
          <w:szCs w:val="24"/>
        </w:rPr>
      </w:pPr>
      <w:proofErr w:type="spellStart"/>
      <w:r w:rsidRPr="00C76C6F">
        <w:rPr>
          <w:rFonts w:ascii="Times New Roman" w:hAnsi="Times New Roman" w:cs="Times New Roman"/>
          <w:szCs w:val="24"/>
        </w:rPr>
        <w:t>Leuz</w:t>
      </w:r>
      <w:proofErr w:type="spellEnd"/>
      <w:r w:rsidRPr="00C76C6F">
        <w:rPr>
          <w:rFonts w:ascii="Times New Roman" w:hAnsi="Times New Roman" w:cs="Times New Roman"/>
          <w:szCs w:val="24"/>
        </w:rPr>
        <w:t xml:space="preserve">, C., Nanda, D., &amp; Wysocki, P. D. (2003). Earnings management and investor protection. </w:t>
      </w:r>
      <w:r w:rsidRPr="00C76C6F">
        <w:rPr>
          <w:rFonts w:ascii="Times New Roman" w:hAnsi="Times New Roman" w:cs="Times New Roman"/>
          <w:i/>
          <w:iCs/>
          <w:szCs w:val="24"/>
        </w:rPr>
        <w:t>Journal of Financial Economics</w:t>
      </w:r>
      <w:r w:rsidRPr="00C76C6F">
        <w:rPr>
          <w:rFonts w:ascii="Times New Roman" w:hAnsi="Times New Roman" w:cs="Times New Roman"/>
          <w:szCs w:val="24"/>
        </w:rPr>
        <w:t>, 69(3), 505–527. https://doi.org/10.1016/S0304-405X(03)00121-1</w:t>
      </w:r>
    </w:p>
    <w:p w14:paraId="2A38E0E8"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Jensen, M. C., &amp; Meckling, W. H. (1976). Theory of the firm: Managerial </w:t>
      </w:r>
      <w:proofErr w:type="spellStart"/>
      <w:r w:rsidRPr="00C76C6F">
        <w:rPr>
          <w:rFonts w:ascii="Times New Roman" w:hAnsi="Times New Roman" w:cs="Times New Roman"/>
          <w:szCs w:val="24"/>
        </w:rPr>
        <w:t>behavior</w:t>
      </w:r>
      <w:proofErr w:type="spellEnd"/>
      <w:r w:rsidRPr="00C76C6F">
        <w:rPr>
          <w:rFonts w:ascii="Times New Roman" w:hAnsi="Times New Roman" w:cs="Times New Roman"/>
          <w:szCs w:val="24"/>
        </w:rPr>
        <w:t xml:space="preserve">, agency costs and ownership structure. </w:t>
      </w:r>
      <w:r w:rsidRPr="00C76C6F">
        <w:rPr>
          <w:rFonts w:ascii="Times New Roman" w:hAnsi="Times New Roman" w:cs="Times New Roman"/>
          <w:i/>
          <w:iCs/>
          <w:szCs w:val="24"/>
        </w:rPr>
        <w:t>Journal of Financial Economics</w:t>
      </w:r>
      <w:r w:rsidRPr="00C76C6F">
        <w:rPr>
          <w:rFonts w:ascii="Times New Roman" w:hAnsi="Times New Roman" w:cs="Times New Roman"/>
          <w:szCs w:val="24"/>
        </w:rPr>
        <w:t>, 3(4), 305–360. https://doi.org/10.1016/0304-405X(76)90026-X</w:t>
      </w:r>
    </w:p>
    <w:p w14:paraId="6318EF5C"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IASB. (2018). </w:t>
      </w:r>
      <w:r w:rsidRPr="00C76C6F">
        <w:rPr>
          <w:rFonts w:ascii="Times New Roman" w:hAnsi="Times New Roman" w:cs="Times New Roman"/>
          <w:i/>
          <w:iCs/>
          <w:szCs w:val="24"/>
        </w:rPr>
        <w:t>Conceptual framework for financial reporting</w:t>
      </w:r>
      <w:r w:rsidRPr="00C76C6F">
        <w:rPr>
          <w:rFonts w:ascii="Times New Roman" w:hAnsi="Times New Roman" w:cs="Times New Roman"/>
          <w:szCs w:val="24"/>
        </w:rPr>
        <w:t>. IFRS Foundation.</w:t>
      </w:r>
    </w:p>
    <w:p w14:paraId="4EA37669" w14:textId="77777777" w:rsidR="00C76C6F" w:rsidRPr="00C76C6F" w:rsidRDefault="00C76C6F" w:rsidP="00C76C6F">
      <w:pPr>
        <w:spacing w:line="480" w:lineRule="auto"/>
        <w:rPr>
          <w:rFonts w:ascii="Times New Roman" w:hAnsi="Times New Roman" w:cs="Times New Roman"/>
          <w:szCs w:val="24"/>
        </w:rPr>
      </w:pPr>
      <w:r w:rsidRPr="00C76C6F">
        <w:rPr>
          <w:rFonts w:ascii="Times New Roman" w:hAnsi="Times New Roman" w:cs="Times New Roman"/>
          <w:szCs w:val="24"/>
        </w:rPr>
        <w:t xml:space="preserve">FASB. (2010). </w:t>
      </w:r>
      <w:r w:rsidRPr="00C76C6F">
        <w:rPr>
          <w:rFonts w:ascii="Times New Roman" w:hAnsi="Times New Roman" w:cs="Times New Roman"/>
          <w:i/>
          <w:iCs/>
          <w:szCs w:val="24"/>
        </w:rPr>
        <w:t>Conceptual framework for financial reporting</w:t>
      </w:r>
      <w:r w:rsidRPr="00C76C6F">
        <w:rPr>
          <w:rFonts w:ascii="Times New Roman" w:hAnsi="Times New Roman" w:cs="Times New Roman"/>
          <w:szCs w:val="24"/>
        </w:rPr>
        <w:t>. Financial Accounting Standards Board.</w:t>
      </w:r>
    </w:p>
    <w:p w14:paraId="24551FD2" w14:textId="77777777" w:rsidR="008279E6" w:rsidRPr="00CC67E8" w:rsidRDefault="008279E6" w:rsidP="00E4472F">
      <w:pPr>
        <w:spacing w:line="480" w:lineRule="auto"/>
        <w:rPr>
          <w:rFonts w:ascii="Times New Roman" w:hAnsi="Times New Roman" w:cs="Times New Roman"/>
          <w:szCs w:val="24"/>
        </w:rPr>
      </w:pPr>
    </w:p>
    <w:sectPr w:rsidR="008279E6" w:rsidRPr="00CC67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322E52"/>
    <w:rsid w:val="006B6E2B"/>
    <w:rsid w:val="008279E6"/>
    <w:rsid w:val="008A4EF3"/>
    <w:rsid w:val="009D452D"/>
    <w:rsid w:val="00B8158C"/>
    <w:rsid w:val="00C76C6F"/>
    <w:rsid w:val="00CC67E8"/>
    <w:rsid w:val="00CD6F2C"/>
    <w:rsid w:val="00DC2FF7"/>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014788.2006.9730040" TargetMode="External"/><Relationship Id="rId3" Type="http://schemas.openxmlformats.org/officeDocument/2006/relationships/settings" Target="settings.xml"/><Relationship Id="rId7" Type="http://schemas.openxmlformats.org/officeDocument/2006/relationships/hyperlink" Target="https://doi.org/10.1080/0963818070170673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07/s11142-012-9188-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5464</Words>
  <Characters>31151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2026-03-19T15:14:00Z</dcterms:created>
  <dcterms:modified xsi:type="dcterms:W3CDTF">2026-03-19T15:43:00Z</dcterms:modified>
</cp:coreProperties>
</file>