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267F7" w14:textId="77777777" w:rsidR="0015659C" w:rsidRPr="00816829" w:rsidRDefault="0015659C" w:rsidP="0015659C">
      <w:pPr>
        <w:spacing w:line="480" w:lineRule="auto"/>
        <w:rPr>
          <w:rFonts w:ascii="Times New Roman" w:hAnsi="Times New Roman" w:cs="Times New Roman"/>
          <w:color w:val="000000" w:themeColor="text1"/>
          <w:szCs w:val="24"/>
          <w:lang w:val="en-US"/>
        </w:rPr>
      </w:pPr>
    </w:p>
    <w:p w14:paraId="06AB4D5E" w14:textId="77777777" w:rsidR="0015659C" w:rsidRPr="00816829" w:rsidRDefault="0015659C" w:rsidP="0015659C">
      <w:pPr>
        <w:spacing w:line="480" w:lineRule="auto"/>
        <w:jc w:val="center"/>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22A5528C" wp14:editId="3B5C921C">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4C3D26E"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176CCA83"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43A1C381"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2FD60361" w14:textId="77777777" w:rsidR="0015659C" w:rsidRDefault="0015659C" w:rsidP="0015659C">
      <w:pPr>
        <w:spacing w:line="480" w:lineRule="auto"/>
        <w:jc w:val="center"/>
        <w:rPr>
          <w:rFonts w:ascii="Times New Roman" w:hAnsi="Times New Roman" w:cs="Times New Roman"/>
          <w:b/>
          <w:bCs/>
          <w:color w:val="000000" w:themeColor="text1"/>
          <w:szCs w:val="24"/>
        </w:rPr>
      </w:pPr>
      <w:proofErr w:type="gramStart"/>
      <w:r w:rsidRPr="00816829">
        <w:rPr>
          <w:rFonts w:ascii="Times New Roman" w:hAnsi="Times New Roman" w:cs="Times New Roman"/>
          <w:b/>
          <w:bCs/>
          <w:color w:val="000000" w:themeColor="text1"/>
          <w:szCs w:val="24"/>
        </w:rPr>
        <w:t>Bachelor's</w:t>
      </w:r>
      <w:proofErr w:type="gramEnd"/>
      <w:r w:rsidRPr="00816829">
        <w:rPr>
          <w:rFonts w:ascii="Times New Roman" w:hAnsi="Times New Roman" w:cs="Times New Roman"/>
          <w:b/>
          <w:bCs/>
          <w:color w:val="000000" w:themeColor="text1"/>
          <w:szCs w:val="24"/>
        </w:rPr>
        <w:t xml:space="preserve"> in Tourism and Recreation</w:t>
      </w:r>
      <w:r w:rsidRPr="00816829">
        <w:rPr>
          <w:rFonts w:ascii="Times New Roman" w:hAnsi="Times New Roman" w:cs="Times New Roman"/>
          <w:b/>
          <w:bCs/>
          <w:color w:val="000000" w:themeColor="text1"/>
          <w:szCs w:val="24"/>
        </w:rPr>
        <w:br/>
      </w:r>
      <w:r w:rsidRPr="00277625">
        <w:rPr>
          <w:rFonts w:ascii="Times New Roman" w:hAnsi="Times New Roman" w:cs="Times New Roman"/>
          <w:b/>
          <w:bCs/>
          <w:color w:val="000000" w:themeColor="text1"/>
          <w:szCs w:val="24"/>
        </w:rPr>
        <w:t>Planning and Management of Sustainable Tourism Spaces</w:t>
      </w:r>
    </w:p>
    <w:p w14:paraId="404C8012" w14:textId="77777777" w:rsidR="0015659C" w:rsidRPr="00816829" w:rsidRDefault="0015659C" w:rsidP="0015659C">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16829">
        <w:rPr>
          <w:rFonts w:ascii="Times New Roman" w:hAnsi="Times New Roman" w:cs="Times New Roman"/>
          <w:b/>
          <w:bCs/>
          <w:color w:val="000000" w:themeColor="text1"/>
          <w:szCs w:val="24"/>
        </w:rPr>
        <w:t xml:space="preserve">Submitted </w:t>
      </w:r>
      <w:proofErr w:type="gramStart"/>
      <w:r w:rsidRPr="00816829">
        <w:rPr>
          <w:rFonts w:ascii="Times New Roman" w:hAnsi="Times New Roman" w:cs="Times New Roman"/>
          <w:b/>
          <w:bCs/>
          <w:color w:val="000000" w:themeColor="text1"/>
          <w:szCs w:val="24"/>
        </w:rPr>
        <w:t>by :</w:t>
      </w:r>
      <w:proofErr w:type="gramEnd"/>
      <w:r w:rsidRPr="00816829">
        <w:rPr>
          <w:rFonts w:ascii="Times New Roman" w:hAnsi="Times New Roman" w:cs="Times New Roman"/>
          <w:b/>
          <w:bCs/>
          <w:color w:val="000000" w:themeColor="text1"/>
          <w:szCs w:val="24"/>
        </w:rPr>
        <w:t xml:space="preserve"> Dipanshu </w:t>
      </w:r>
      <w:proofErr w:type="spellStart"/>
      <w:r w:rsidRPr="00816829">
        <w:rPr>
          <w:rFonts w:ascii="Times New Roman" w:hAnsi="Times New Roman" w:cs="Times New Roman"/>
          <w:b/>
          <w:bCs/>
          <w:color w:val="000000" w:themeColor="text1"/>
          <w:szCs w:val="24"/>
        </w:rPr>
        <w:t>Dipanshu</w:t>
      </w:r>
      <w:proofErr w:type="spellEnd"/>
    </w:p>
    <w:p w14:paraId="51DA1897" w14:textId="094B6084" w:rsidR="0015659C" w:rsidRDefault="0015659C" w:rsidP="0015659C">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77625">
        <w:rPr>
          <w:rFonts w:ascii="Times New Roman" w:eastAsia="Times New Roman" w:hAnsi="Times New Roman" w:cs="Times New Roman"/>
          <w:b/>
          <w:bCs/>
          <w:color w:val="000000" w:themeColor="text1"/>
          <w:kern w:val="0"/>
          <w:szCs w:val="24"/>
          <w:lang w:eastAsia="en-GB"/>
          <w14:ligatures w14:val="none"/>
        </w:rPr>
        <w:t>Option 1: Developing Sustainable Tourism Spaces: Strategies for Balancing Environmental, Economic, and Social Factors</w:t>
      </w:r>
    </w:p>
    <w:p w14:paraId="36EE41D5" w14:textId="77777777" w:rsidR="0015659C" w:rsidRPr="00277625" w:rsidRDefault="0015659C" w:rsidP="0015659C">
      <w:pPr>
        <w:numPr>
          <w:ilvl w:val="0"/>
          <w:numId w:val="5"/>
        </w:numPr>
        <w:spacing w:line="480" w:lineRule="auto"/>
        <w:jc w:val="center"/>
        <w:rPr>
          <w:rFonts w:ascii="Times New Roman" w:eastAsia="Times New Roman" w:hAnsi="Times New Roman" w:cs="Times New Roman"/>
          <w:color w:val="000000" w:themeColor="text1"/>
          <w:kern w:val="0"/>
          <w:szCs w:val="24"/>
          <w:lang w:eastAsia="en-GB"/>
          <w14:ligatures w14:val="none"/>
        </w:rPr>
      </w:pPr>
      <w:r w:rsidRPr="00277625">
        <w:rPr>
          <w:rFonts w:ascii="Times New Roman" w:eastAsia="Times New Roman" w:hAnsi="Times New Roman" w:cs="Times New Roman"/>
          <w:color w:val="000000" w:themeColor="text1"/>
          <w:kern w:val="0"/>
          <w:szCs w:val="24"/>
          <w:lang w:eastAsia="en-GB"/>
          <w14:ligatures w14:val="none"/>
        </w:rPr>
        <w:t>Analyse the planning and management strategies used to create sustainable tourism spaces that balance environmental conservation with economic and social benefits.</w:t>
      </w:r>
    </w:p>
    <w:p w14:paraId="6D604E36" w14:textId="77777777" w:rsidR="0015659C" w:rsidRPr="00277625" w:rsidRDefault="0015659C" w:rsidP="0015659C">
      <w:pPr>
        <w:numPr>
          <w:ilvl w:val="0"/>
          <w:numId w:val="5"/>
        </w:num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77625">
        <w:rPr>
          <w:rFonts w:ascii="Times New Roman" w:eastAsia="Times New Roman" w:hAnsi="Times New Roman" w:cs="Times New Roman"/>
          <w:color w:val="000000" w:themeColor="text1"/>
          <w:kern w:val="0"/>
          <w:szCs w:val="24"/>
          <w:lang w:eastAsia="en-GB"/>
          <w14:ligatures w14:val="none"/>
        </w:rPr>
        <w:t>Discuss examples of successful sustainable tourism projects that consider local communities and environmental impact.</w:t>
      </w:r>
      <w:r w:rsidRPr="00277625">
        <w:rPr>
          <w:rFonts w:ascii="Times New Roman" w:eastAsia="Times New Roman" w:hAnsi="Times New Roman" w:cs="Times New Roman"/>
          <w:b/>
          <w:bCs/>
          <w:color w:val="000000" w:themeColor="text1"/>
          <w:kern w:val="0"/>
          <w:szCs w:val="24"/>
          <w:lang w:eastAsia="en-GB"/>
          <w14:ligatures w14:val="none"/>
        </w:rPr>
        <w:cr/>
      </w:r>
    </w:p>
    <w:p w14:paraId="24ED24C5" w14:textId="77777777" w:rsidR="0015659C" w:rsidRDefault="0015659C" w:rsidP="0015659C">
      <w:pPr>
        <w:spacing w:line="480" w:lineRule="auto"/>
        <w:rPr>
          <w:rFonts w:ascii="Times New Roman" w:hAnsi="Times New Roman" w:cs="Times New Roman"/>
          <w:b/>
          <w:bCs/>
        </w:rPr>
      </w:pPr>
    </w:p>
    <w:p w14:paraId="31408FE0" w14:textId="77777777" w:rsidR="0015659C" w:rsidRDefault="0015659C" w:rsidP="0015659C">
      <w:pPr>
        <w:spacing w:line="480" w:lineRule="auto"/>
        <w:rPr>
          <w:rFonts w:ascii="Times New Roman" w:hAnsi="Times New Roman" w:cs="Times New Roman"/>
          <w:b/>
          <w:bCs/>
        </w:rPr>
      </w:pPr>
    </w:p>
    <w:p w14:paraId="26A4F5AE" w14:textId="77777777" w:rsidR="0015659C" w:rsidRDefault="0015659C" w:rsidP="0015659C">
      <w:pPr>
        <w:spacing w:line="480" w:lineRule="auto"/>
        <w:rPr>
          <w:rFonts w:ascii="Times New Roman" w:hAnsi="Times New Roman" w:cs="Times New Roman"/>
          <w:b/>
          <w:bCs/>
        </w:rPr>
      </w:pPr>
    </w:p>
    <w:p w14:paraId="29114E0E" w14:textId="77777777" w:rsidR="0015659C" w:rsidRDefault="0015659C" w:rsidP="0015659C">
      <w:pPr>
        <w:spacing w:line="480" w:lineRule="auto"/>
        <w:rPr>
          <w:rFonts w:ascii="Times New Roman" w:hAnsi="Times New Roman" w:cs="Times New Roman"/>
          <w:b/>
          <w:bCs/>
        </w:rPr>
      </w:pPr>
    </w:p>
    <w:p w14:paraId="187853E1" w14:textId="71D74EAC"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lastRenderedPageBreak/>
        <w:t>Abstract</w:t>
      </w:r>
    </w:p>
    <w:p w14:paraId="5B36A698" w14:textId="77777777" w:rsidR="002E0070" w:rsidRPr="002E0070" w:rsidRDefault="002E0070" w:rsidP="0015659C">
      <w:pPr>
        <w:spacing w:line="480" w:lineRule="auto"/>
        <w:rPr>
          <w:rFonts w:ascii="Times New Roman" w:hAnsi="Times New Roman" w:cs="Times New Roman"/>
        </w:rPr>
      </w:pPr>
      <w:bookmarkStart w:id="0" w:name="_Hlk215311045"/>
      <w:r w:rsidRPr="002E0070">
        <w:rPr>
          <w:rFonts w:ascii="Times New Roman" w:hAnsi="Times New Roman" w:cs="Times New Roman"/>
        </w:rPr>
        <w:t xml:space="preserve">Sustainable tourism development has become a global priority as destinations seek to balance environmental protection with economic growth and social well-being. As tourism continues to expand, many destinations are experiencing environmental degradation, cultural commodification, and economic inequalities. In response, sustainable tourism planning aims to create tourism spaces that minimize negative impacts while maximizing benefits for local communities. This report </w:t>
      </w:r>
      <w:proofErr w:type="spellStart"/>
      <w:r w:rsidRPr="002E0070">
        <w:rPr>
          <w:rFonts w:ascii="Times New Roman" w:hAnsi="Times New Roman" w:cs="Times New Roman"/>
        </w:rPr>
        <w:t>analyzes</w:t>
      </w:r>
      <w:proofErr w:type="spellEnd"/>
      <w:r w:rsidRPr="002E0070">
        <w:rPr>
          <w:rFonts w:ascii="Times New Roman" w:hAnsi="Times New Roman" w:cs="Times New Roman"/>
        </w:rPr>
        <w:t xml:space="preserve"> the strategies used in designing and managing sustainable tourism spaces, focusing on frameworks that balance ecological conservation, community engagement, cultural preservation, and economic viability. Key principles such as carrying capacity assessment, stakeholder collaboration, environmental impact management, and inclusive planning are examined to understand how destinations can transition toward long-term sustainability.</w:t>
      </w:r>
    </w:p>
    <w:p w14:paraId="5AA1F679"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The study also highlights global examples of successful sustainable tourism projects—including Costa Rica’s ecotourism model, New Zealand’s community-led conservation initiatives, Bhutan’s high-value low-volume tourism strategy, and Slovenia’s green destination certification approach. These examples demonstrate how local communities, governments, and tourism organizations can work together to create resilient tourism systems that protect ecosystems, enhance visitor experiences, and support socio-economic development. The findings underscore that sustainable tourism requires integrated planning, continuous monitoring, and strong governance to ensure that tourism spaces remain environmentally healthy, culturally vibrant, and economically beneficial for all stakeholders.</w:t>
      </w:r>
    </w:p>
    <w:bookmarkEnd w:id="0"/>
    <w:p w14:paraId="12797752" w14:textId="09CC9F92" w:rsidR="002E0070" w:rsidRDefault="002E0070" w:rsidP="0015659C">
      <w:pPr>
        <w:spacing w:line="480" w:lineRule="auto"/>
        <w:rPr>
          <w:rFonts w:ascii="Times New Roman" w:hAnsi="Times New Roman" w:cs="Times New Roman"/>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5A0593E2" w14:textId="77777777" w:rsidR="0015659C" w:rsidRPr="00816829" w:rsidRDefault="0015659C" w:rsidP="0015659C">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23073E6A"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Pr="00816829">
              <w:rPr>
                <w:rStyle w:val="Hyperlink"/>
                <w:rFonts w:ascii="Times New Roman" w:hAnsi="Times New Roman"/>
                <w:b/>
                <w:bCs/>
                <w:noProof/>
                <w:sz w:val="24"/>
                <w:szCs w:val="24"/>
              </w:rPr>
              <w:t>Abstract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_Toc215261169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w:t>
            </w:r>
            <w:r w:rsidRPr="00816829">
              <w:rPr>
                <w:rFonts w:ascii="Times New Roman" w:hAnsi="Times New Roman"/>
                <w:noProof/>
                <w:webHidden/>
                <w:sz w:val="24"/>
                <w:szCs w:val="24"/>
              </w:rPr>
              <w:fldChar w:fldCharType="end"/>
            </w:r>
          </w:hyperlink>
        </w:p>
        <w:p w14:paraId="67F21EE7"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E987F2D"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4B53B378"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6518DF6E"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06405AD4"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DE91EA6"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2349C9E1"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60D29514"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09AE0007" w14:textId="77777777" w:rsidR="0015659C" w:rsidRPr="00816829" w:rsidRDefault="0015659C" w:rsidP="0015659C">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7343C543" w14:textId="77777777" w:rsidR="0015659C" w:rsidRPr="00816829" w:rsidRDefault="0015659C" w:rsidP="0015659C">
      <w:pPr>
        <w:spacing w:line="480" w:lineRule="auto"/>
        <w:rPr>
          <w:rFonts w:ascii="Times New Roman" w:hAnsi="Times New Roman" w:cs="Times New Roman"/>
          <w:color w:val="000000" w:themeColor="text1"/>
          <w:szCs w:val="24"/>
        </w:rPr>
      </w:pPr>
    </w:p>
    <w:p w14:paraId="7B1EE6DB" w14:textId="77777777" w:rsidR="002E0070" w:rsidRDefault="002E0070" w:rsidP="0015659C">
      <w:pPr>
        <w:spacing w:line="480" w:lineRule="auto"/>
        <w:rPr>
          <w:rFonts w:ascii="Times New Roman" w:hAnsi="Times New Roman" w:cs="Times New Roman"/>
        </w:rPr>
      </w:pPr>
    </w:p>
    <w:p w14:paraId="5DABE496" w14:textId="77777777" w:rsidR="002E0070" w:rsidRDefault="002E0070" w:rsidP="0015659C">
      <w:pPr>
        <w:spacing w:line="480" w:lineRule="auto"/>
        <w:rPr>
          <w:rFonts w:ascii="Times New Roman" w:hAnsi="Times New Roman" w:cs="Times New Roman"/>
        </w:rPr>
      </w:pPr>
    </w:p>
    <w:p w14:paraId="4803F045" w14:textId="77777777" w:rsidR="002E0070" w:rsidRDefault="002E0070" w:rsidP="0015659C">
      <w:pPr>
        <w:spacing w:line="480" w:lineRule="auto"/>
        <w:rPr>
          <w:rFonts w:ascii="Times New Roman" w:hAnsi="Times New Roman" w:cs="Times New Roman"/>
        </w:rPr>
      </w:pPr>
    </w:p>
    <w:p w14:paraId="681D2947" w14:textId="77777777" w:rsidR="002E0070" w:rsidRDefault="002E0070" w:rsidP="0015659C">
      <w:pPr>
        <w:spacing w:line="480" w:lineRule="auto"/>
        <w:rPr>
          <w:rFonts w:ascii="Times New Roman" w:hAnsi="Times New Roman" w:cs="Times New Roman"/>
        </w:rPr>
      </w:pPr>
    </w:p>
    <w:p w14:paraId="4F0C1400" w14:textId="77777777" w:rsidR="002E0070" w:rsidRDefault="002E0070" w:rsidP="0015659C">
      <w:pPr>
        <w:spacing w:line="480" w:lineRule="auto"/>
        <w:rPr>
          <w:rFonts w:ascii="Times New Roman" w:hAnsi="Times New Roman" w:cs="Times New Roman"/>
        </w:rPr>
      </w:pPr>
    </w:p>
    <w:p w14:paraId="41F6A89E" w14:textId="77777777" w:rsidR="002E0070" w:rsidRDefault="002E0070" w:rsidP="0015659C">
      <w:pPr>
        <w:spacing w:line="480" w:lineRule="auto"/>
        <w:rPr>
          <w:rFonts w:ascii="Times New Roman" w:hAnsi="Times New Roman" w:cs="Times New Roman"/>
        </w:rPr>
      </w:pPr>
    </w:p>
    <w:p w14:paraId="1FE8EAE7" w14:textId="77777777" w:rsidR="002E0070" w:rsidRDefault="002E0070" w:rsidP="0015659C">
      <w:pPr>
        <w:spacing w:line="480" w:lineRule="auto"/>
        <w:rPr>
          <w:rFonts w:ascii="Times New Roman" w:hAnsi="Times New Roman" w:cs="Times New Roman"/>
        </w:rPr>
      </w:pPr>
    </w:p>
    <w:p w14:paraId="1E04AC8D" w14:textId="77777777" w:rsidR="002E0070" w:rsidRDefault="002E0070" w:rsidP="0015659C">
      <w:pPr>
        <w:spacing w:line="480" w:lineRule="auto"/>
        <w:rPr>
          <w:rFonts w:ascii="Times New Roman" w:hAnsi="Times New Roman" w:cs="Times New Roman"/>
        </w:rPr>
      </w:pPr>
    </w:p>
    <w:p w14:paraId="55262DF9" w14:textId="77777777" w:rsidR="002E0070" w:rsidRDefault="002E0070" w:rsidP="0015659C">
      <w:pPr>
        <w:spacing w:line="480" w:lineRule="auto"/>
        <w:rPr>
          <w:rFonts w:ascii="Times New Roman" w:hAnsi="Times New Roman" w:cs="Times New Roman"/>
        </w:rPr>
      </w:pPr>
    </w:p>
    <w:p w14:paraId="0E0FF1A5" w14:textId="77777777" w:rsidR="002E0070" w:rsidRDefault="002E0070" w:rsidP="0015659C">
      <w:pPr>
        <w:spacing w:line="480" w:lineRule="auto"/>
        <w:rPr>
          <w:rFonts w:ascii="Times New Roman" w:hAnsi="Times New Roman" w:cs="Times New Roman"/>
        </w:rPr>
      </w:pPr>
    </w:p>
    <w:p w14:paraId="2385B5DB" w14:textId="77777777" w:rsidR="002E0070" w:rsidRPr="002E0070" w:rsidRDefault="002E0070" w:rsidP="0015659C">
      <w:pPr>
        <w:spacing w:line="480" w:lineRule="auto"/>
        <w:rPr>
          <w:rFonts w:ascii="Times New Roman" w:hAnsi="Times New Roman" w:cs="Times New Roman"/>
        </w:rPr>
      </w:pPr>
    </w:p>
    <w:p w14:paraId="58E345D3"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1. Introduction</w:t>
      </w:r>
    </w:p>
    <w:p w14:paraId="21FAA2F8"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Sustainable tourism has gained prominence as global concerns grow regarding climate change, biodiversity loss, cultural erosion, and the environmental pressures caused by mass tourism. Traditional development models—focused mainly on maximizing visitor numbers—have proven unsustainable in many destinations, leading to overcrowding, resource depletion, and negative community impacts. As a result, destinations worldwide are shifting toward planning frameworks that balance environmental, economic, and social factors, aligning with the United Nations Sustainable Development Goals (UNWTO, 2020).</w:t>
      </w:r>
    </w:p>
    <w:p w14:paraId="274ACC7A"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Developing sustainable tourism spaces requires strategic planning, responsible management, and collaboration among multiple stakeholders. According to Bramwell and Lane (2011), sustainable tourism involves balancing conservation priorities with economic benefits for local communities while promoting social equity. This includes managing natural resources responsibly, reducing carbon emissions, protecting cultural heritage, ensuring fair income distribution, and improving residents’ quality of life. Tourism spaces—such as protected areas, cultural zones, heritage sites, and recreation regions—must be designed and managed to ensure long-term ecological health and community well-being.</w:t>
      </w:r>
    </w:p>
    <w:p w14:paraId="7B9329A0"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lastRenderedPageBreak/>
        <w:t>Environmental sustainability is central to this approach. Effective planning includes carrying-capacity assessment, habitat restoration, the use of renewable energy, waste reduction programs, and low-impact tourism activities. Economic sustainability requires ensuring that tourism revenue benefits local communities through job creation, local supply chains, and inclusive business models (Sharpley, 2020). Social sustainability emphasizes community empowerment, cultural preservation, and equitable participation in tourism decision-making (</w:t>
      </w:r>
      <w:proofErr w:type="spellStart"/>
      <w:r w:rsidRPr="002E0070">
        <w:rPr>
          <w:rFonts w:ascii="Times New Roman" w:hAnsi="Times New Roman" w:cs="Times New Roman"/>
        </w:rPr>
        <w:t>Moscardo</w:t>
      </w:r>
      <w:proofErr w:type="spellEnd"/>
      <w:r w:rsidRPr="002E0070">
        <w:rPr>
          <w:rFonts w:ascii="Times New Roman" w:hAnsi="Times New Roman" w:cs="Times New Roman"/>
        </w:rPr>
        <w:t>, 2014).</w:t>
      </w:r>
    </w:p>
    <w:p w14:paraId="57B0E000"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Real-world examples show how integrated approaches can create resilient tourism models. Countries such as Costa Rica, Slovenia, and Bhutan demonstrate that sustainable tourism development is not only environmentally responsible but also economically competitive. Their success underscores the importance of long-term planning, strong governance, community partnerships, and continuous monitoring of environmental and tourism indicators.</w:t>
      </w:r>
    </w:p>
    <w:p w14:paraId="378E4A06"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This report examines the strategies used to design and manage sustainable tourism spaces and provides a detailed analysis of global examples that illustrate best practices in balancing environmental, economic, and social outcomes.</w:t>
      </w:r>
    </w:p>
    <w:p w14:paraId="6FFE2ACC" w14:textId="77777777" w:rsidR="002E0070" w:rsidRDefault="002E0070" w:rsidP="0015659C">
      <w:pPr>
        <w:spacing w:line="480" w:lineRule="auto"/>
        <w:rPr>
          <w:rFonts w:ascii="Times New Roman" w:hAnsi="Times New Roman" w:cs="Times New Roman"/>
        </w:rPr>
      </w:pPr>
    </w:p>
    <w:p w14:paraId="66192917" w14:textId="77777777" w:rsidR="002E0070" w:rsidRDefault="002E0070" w:rsidP="0015659C">
      <w:pPr>
        <w:spacing w:line="480" w:lineRule="auto"/>
        <w:rPr>
          <w:rFonts w:ascii="Times New Roman" w:hAnsi="Times New Roman" w:cs="Times New Roman"/>
        </w:rPr>
      </w:pPr>
    </w:p>
    <w:p w14:paraId="27D1A272" w14:textId="77777777" w:rsidR="0015659C" w:rsidRDefault="0015659C" w:rsidP="0015659C">
      <w:pPr>
        <w:spacing w:line="480" w:lineRule="auto"/>
        <w:rPr>
          <w:rFonts w:ascii="Times New Roman" w:hAnsi="Times New Roman" w:cs="Times New Roman"/>
        </w:rPr>
      </w:pPr>
    </w:p>
    <w:p w14:paraId="49585A2D" w14:textId="77777777" w:rsidR="0015659C" w:rsidRDefault="0015659C" w:rsidP="0015659C">
      <w:pPr>
        <w:spacing w:line="480" w:lineRule="auto"/>
        <w:rPr>
          <w:rFonts w:ascii="Times New Roman" w:hAnsi="Times New Roman" w:cs="Times New Roman"/>
        </w:rPr>
      </w:pPr>
    </w:p>
    <w:p w14:paraId="30B28CCD" w14:textId="77777777" w:rsidR="002E0070" w:rsidRDefault="002E0070" w:rsidP="0015659C">
      <w:pPr>
        <w:spacing w:line="480" w:lineRule="auto"/>
        <w:rPr>
          <w:rFonts w:ascii="Times New Roman" w:hAnsi="Times New Roman" w:cs="Times New Roman"/>
        </w:rPr>
      </w:pPr>
    </w:p>
    <w:p w14:paraId="7141DA75" w14:textId="77777777" w:rsidR="002E0070" w:rsidRDefault="002E0070" w:rsidP="0015659C">
      <w:pPr>
        <w:spacing w:line="480" w:lineRule="auto"/>
        <w:rPr>
          <w:rFonts w:ascii="Times New Roman" w:hAnsi="Times New Roman" w:cs="Times New Roman"/>
        </w:rPr>
      </w:pPr>
    </w:p>
    <w:p w14:paraId="2E49412D" w14:textId="77777777" w:rsidR="002E0070" w:rsidRDefault="002E0070" w:rsidP="0015659C">
      <w:pPr>
        <w:spacing w:line="480" w:lineRule="auto"/>
        <w:rPr>
          <w:rFonts w:ascii="Times New Roman" w:hAnsi="Times New Roman" w:cs="Times New Roman"/>
        </w:rPr>
      </w:pPr>
    </w:p>
    <w:p w14:paraId="2813DEE2"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lastRenderedPageBreak/>
        <w:t>2. Literature Review</w:t>
      </w:r>
    </w:p>
    <w:p w14:paraId="1D5A4045"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Sustainable tourism development has become a central focus of academic and policy discourse, particularly as destinations face increasing environmental pressures, social inequalities, and economic uncertainties. This literature review synthesizes research on sustainable tourism planning, environmental conservation, community-based development, economic sustainability, governance, and examples of successful sustainable tourism models globally.</w:t>
      </w:r>
    </w:p>
    <w:p w14:paraId="2A606B70" w14:textId="5CE19A42" w:rsidR="002E0070" w:rsidRPr="002E0070" w:rsidRDefault="002E0070" w:rsidP="0015659C">
      <w:pPr>
        <w:spacing w:line="480" w:lineRule="auto"/>
        <w:rPr>
          <w:rFonts w:ascii="Times New Roman" w:hAnsi="Times New Roman" w:cs="Times New Roman"/>
        </w:rPr>
      </w:pPr>
    </w:p>
    <w:p w14:paraId="50066F65"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2.1 Conceptual Foundations of Sustainable Tourism</w:t>
      </w:r>
    </w:p>
    <w:p w14:paraId="21EC490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Sustainable tourism is commonly defined as tourism that meets the needs of present generations without compromising the ability of future generations to meet their own needs (UNWTO, 2020). Scholars emphasize that sustainable tourism is rooted in three pillars: environmental protection, social equity, and economic viability (Bramwell &amp; Lane, 2011). This triple-bottom-line approach ensures that tourism contributes positively to ecological health, local livelihoods, and community well-being.</w:t>
      </w:r>
    </w:p>
    <w:p w14:paraId="00B9D155"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Academic literature highlights that sustainability is not simply a set of environmental measures but a complex, integrated planning process. Weaver (2006) suggests that sustainable tourism must move beyond mitigation to proactive regeneration of ecosystems. Similarly, Buckley (2012) argues that sustainable tourism must address systemic environmental issues, such as carbon emissions, biodiversity loss, waste management, and water scarcity.</w:t>
      </w:r>
    </w:p>
    <w:p w14:paraId="73A06A2A"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The adoption of sustainability principles often requires multi-sector collaboration among governments, private sectors, local communities, and NGOs. This aligns with the governance-</w:t>
      </w:r>
      <w:r w:rsidRPr="002E0070">
        <w:rPr>
          <w:rFonts w:ascii="Times New Roman" w:hAnsi="Times New Roman" w:cs="Times New Roman"/>
        </w:rPr>
        <w:lastRenderedPageBreak/>
        <w:t>based view that effective sustainability outcomes depend on inclusive participation, transparency, and long-term policy commitment (Hall, 2011).</w:t>
      </w:r>
    </w:p>
    <w:p w14:paraId="6C15C79D" w14:textId="1B350A87" w:rsidR="002E0070" w:rsidRPr="002E0070" w:rsidRDefault="002E0070" w:rsidP="0015659C">
      <w:pPr>
        <w:spacing w:line="480" w:lineRule="auto"/>
        <w:rPr>
          <w:rFonts w:ascii="Times New Roman" w:hAnsi="Times New Roman" w:cs="Times New Roman"/>
        </w:rPr>
      </w:pPr>
    </w:p>
    <w:p w14:paraId="1A97CF3E"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2.2 Environmental Planning and Conservation Strategies</w:t>
      </w:r>
    </w:p>
    <w:p w14:paraId="4CF6451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Environmental conservation is a core component of sustainable tourism. Literature highlights several strategies used to manage and protect ecosystems in tourism spaces.</w:t>
      </w:r>
    </w:p>
    <w:p w14:paraId="1EC4FC0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Carrying capacity assessment is one of the most widely discussed tools. It involves determining the maximum number of visitors an area can support without causing environmental degradation (</w:t>
      </w:r>
      <w:proofErr w:type="spellStart"/>
      <w:r w:rsidRPr="002E0070">
        <w:rPr>
          <w:rFonts w:ascii="Times New Roman" w:hAnsi="Times New Roman" w:cs="Times New Roman"/>
        </w:rPr>
        <w:t>Saveriades</w:t>
      </w:r>
      <w:proofErr w:type="spellEnd"/>
      <w:r w:rsidRPr="002E0070">
        <w:rPr>
          <w:rFonts w:ascii="Times New Roman" w:hAnsi="Times New Roman" w:cs="Times New Roman"/>
        </w:rPr>
        <w:t>, 2000). This helps destinations avoid overcrowding, habitat destruction, and resource depletion.</w:t>
      </w:r>
    </w:p>
    <w:p w14:paraId="0604E093" w14:textId="3374999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Impact assessments, such as Environmental Impact Assessments (EIA) and Strategic Environmental Assessments (SEA), play a crucial role in evaluating the long-term effects of tourism development on local ecosystems (Benson &amp; Jackson, 2013). Exposure to tourism activities</w:t>
      </w:r>
      <w:r>
        <w:rPr>
          <w:rFonts w:ascii="Times New Roman" w:hAnsi="Times New Roman" w:cs="Times New Roman"/>
        </w:rPr>
        <w:t xml:space="preserve"> </w:t>
      </w:r>
      <w:r w:rsidRPr="002E0070">
        <w:rPr>
          <w:rFonts w:ascii="Times New Roman" w:hAnsi="Times New Roman" w:cs="Times New Roman"/>
        </w:rPr>
        <w:t>such as trekking, wildlife viewing, or marine recreation—requires regulation to minimize stress on sensitive environments.</w:t>
      </w:r>
    </w:p>
    <w:p w14:paraId="042826F2"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Low-impact tourism practices have also been extensively examined. These include renewable-energy infrastructure, waste reduction strategies, controlled visitor flows, habitat restoration, and eco-friendly design principles (Honey, 2008). Protected areas such as national parks, biosphere reserves, and marine protected zones implement zoning strategies to separate high-use areas from preservation zones.</w:t>
      </w:r>
    </w:p>
    <w:p w14:paraId="136AC697"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lastRenderedPageBreak/>
        <w:t>Ecotourism literature reinforces the role of tourism as a tool for conservation. Properly managed ecotourism encourages biodiversity conservation while generating financial support for protected areas (Weaver, 2006).</w:t>
      </w:r>
    </w:p>
    <w:p w14:paraId="02515CEF" w14:textId="09663C38" w:rsidR="002E0070" w:rsidRPr="002E0070" w:rsidRDefault="002E0070" w:rsidP="0015659C">
      <w:pPr>
        <w:spacing w:line="480" w:lineRule="auto"/>
        <w:rPr>
          <w:rFonts w:ascii="Times New Roman" w:hAnsi="Times New Roman" w:cs="Times New Roman"/>
        </w:rPr>
      </w:pPr>
    </w:p>
    <w:p w14:paraId="0666FAA5"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2.3 Social Sustainability and Community Participation</w:t>
      </w:r>
    </w:p>
    <w:p w14:paraId="37AA39CD"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 xml:space="preserve">Social sustainability emphasizes community empowerment, cultural preservation, and equitable distribution of tourism benefits. According to </w:t>
      </w:r>
      <w:proofErr w:type="spellStart"/>
      <w:r w:rsidRPr="002E0070">
        <w:rPr>
          <w:rFonts w:ascii="Times New Roman" w:hAnsi="Times New Roman" w:cs="Times New Roman"/>
        </w:rPr>
        <w:t>Moscardo</w:t>
      </w:r>
      <w:proofErr w:type="spellEnd"/>
      <w:r w:rsidRPr="002E0070">
        <w:rPr>
          <w:rFonts w:ascii="Times New Roman" w:hAnsi="Times New Roman" w:cs="Times New Roman"/>
        </w:rPr>
        <w:t xml:space="preserve"> (2014), sustainable tourism initiatives succeed when host communities are actively involved in decision-making and benefit economically and socially from tourism activities.</w:t>
      </w:r>
    </w:p>
    <w:p w14:paraId="18783E3D"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Community-Based Tourism (CBT) models promote local participation in tourism planning, ownership, and management. CBT ensures that tourism revenue stays within the community and supports social development initiatives, such as health, education, and cultural programs (Goodwin &amp; Santilli, 2009). Indigenous tourism also aligns with this approach by ensuring cultural heritage preservation and respect for traditional knowledge systems.</w:t>
      </w:r>
    </w:p>
    <w:p w14:paraId="57F86D5F"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Social sustainability also involves minimizing negative social impacts, such as cultural commodification, displacement, and rising living costs. Research shows that community resistance increases when tourism development disrupts local lifestyles or excludes residents from decision-making (Sharpley, 2020).</w:t>
      </w:r>
    </w:p>
    <w:p w14:paraId="7088ACBA"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 xml:space="preserve">Furthermore, multicultural inclusion and social equity are essential to sustainable tourism. Destinations that ensure fair </w:t>
      </w:r>
      <w:proofErr w:type="spellStart"/>
      <w:r w:rsidRPr="002E0070">
        <w:rPr>
          <w:rFonts w:ascii="Times New Roman" w:hAnsi="Times New Roman" w:cs="Times New Roman"/>
        </w:rPr>
        <w:t>labor</w:t>
      </w:r>
      <w:proofErr w:type="spellEnd"/>
      <w:r w:rsidRPr="002E0070">
        <w:rPr>
          <w:rFonts w:ascii="Times New Roman" w:hAnsi="Times New Roman" w:cs="Times New Roman"/>
        </w:rPr>
        <w:t xml:space="preserve"> practices, gender equity, and respect for minority groups foster long-term community support for tourism development.</w:t>
      </w:r>
    </w:p>
    <w:p w14:paraId="465745E5" w14:textId="290A40D7" w:rsidR="002E0070" w:rsidRPr="002E0070" w:rsidRDefault="002E0070" w:rsidP="0015659C">
      <w:pPr>
        <w:spacing w:line="480" w:lineRule="auto"/>
        <w:rPr>
          <w:rFonts w:ascii="Times New Roman" w:hAnsi="Times New Roman" w:cs="Times New Roman"/>
        </w:rPr>
      </w:pPr>
    </w:p>
    <w:p w14:paraId="1D213271"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2.4 Economic Sustainability and Local Livelihoods</w:t>
      </w:r>
    </w:p>
    <w:p w14:paraId="1D98E122"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Economic sustainability ensures that tourism supports long-term economic growth without causing dependency or inequality. Tourism contributes significantly to global GDP and employment (UNWTO, 2020). However, poorly managed tourism can lead to revenue leakage—where profits leave the destination rather than benefiting local communities.</w:t>
      </w:r>
    </w:p>
    <w:p w14:paraId="0D01A527"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Scholars highlight that sustainable tourism should leverage local supply chains, promote local entrepreneurship, and encourage inclusive business models (Torres &amp; Momsen, 2011). This includes supporting small-scale accommodation providers, local artisans, community cooperatives, and environmentally responsible businesses.</w:t>
      </w:r>
    </w:p>
    <w:p w14:paraId="13298DCE"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Economic sustainability also depends on diversifying tourism offerings. Destinations that rely on a single tourism segment—such as beach tourism or wildlife tourism—remain vulnerable to environmental shocks, market fluctuations, or crises. A mix of cultural tourism, ecotourism, adventure tourism, and heritage tourism provides resilience and wider economic benefits.</w:t>
      </w:r>
    </w:p>
    <w:p w14:paraId="3C31DA00" w14:textId="7C435AC8"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Certification programs</w:t>
      </w:r>
      <w:r w:rsidR="0015659C">
        <w:rPr>
          <w:rFonts w:ascii="Times New Roman" w:hAnsi="Times New Roman" w:cs="Times New Roman"/>
        </w:rPr>
        <w:t xml:space="preserve"> </w:t>
      </w:r>
      <w:r w:rsidRPr="002E0070">
        <w:rPr>
          <w:rFonts w:ascii="Times New Roman" w:hAnsi="Times New Roman" w:cs="Times New Roman"/>
        </w:rPr>
        <w:t xml:space="preserve">such as Green Globe, </w:t>
      </w:r>
      <w:proofErr w:type="spellStart"/>
      <w:r w:rsidRPr="002E0070">
        <w:rPr>
          <w:rFonts w:ascii="Times New Roman" w:hAnsi="Times New Roman" w:cs="Times New Roman"/>
        </w:rPr>
        <w:t>EarthCheck</w:t>
      </w:r>
      <w:proofErr w:type="spellEnd"/>
      <w:r w:rsidRPr="002E0070">
        <w:rPr>
          <w:rFonts w:ascii="Times New Roman" w:hAnsi="Times New Roman" w:cs="Times New Roman"/>
        </w:rPr>
        <w:t>, and European Green Destination programs</w:t>
      </w:r>
      <w:r w:rsidR="0015659C">
        <w:rPr>
          <w:rFonts w:ascii="Times New Roman" w:hAnsi="Times New Roman" w:cs="Times New Roman"/>
        </w:rPr>
        <w:t xml:space="preserve"> </w:t>
      </w:r>
      <w:r w:rsidRPr="002E0070">
        <w:rPr>
          <w:rFonts w:ascii="Times New Roman" w:hAnsi="Times New Roman" w:cs="Times New Roman"/>
        </w:rPr>
        <w:t xml:space="preserve">also support economic sustainability by enhancing destination reputation and attracting environmentally conscious </w:t>
      </w:r>
      <w:proofErr w:type="spellStart"/>
      <w:r w:rsidRPr="002E0070">
        <w:rPr>
          <w:rFonts w:ascii="Times New Roman" w:hAnsi="Times New Roman" w:cs="Times New Roman"/>
        </w:rPr>
        <w:t>travelers</w:t>
      </w:r>
      <w:proofErr w:type="spellEnd"/>
      <w:r w:rsidRPr="002E0070">
        <w:rPr>
          <w:rFonts w:ascii="Times New Roman" w:hAnsi="Times New Roman" w:cs="Times New Roman"/>
        </w:rPr>
        <w:t xml:space="preserve"> (</w:t>
      </w:r>
      <w:proofErr w:type="spellStart"/>
      <w:r w:rsidRPr="002E0070">
        <w:rPr>
          <w:rFonts w:ascii="Times New Roman" w:hAnsi="Times New Roman" w:cs="Times New Roman"/>
        </w:rPr>
        <w:t>Esparon</w:t>
      </w:r>
      <w:proofErr w:type="spellEnd"/>
      <w:r w:rsidRPr="002E0070">
        <w:rPr>
          <w:rFonts w:ascii="Times New Roman" w:hAnsi="Times New Roman" w:cs="Times New Roman"/>
        </w:rPr>
        <w:t xml:space="preserve"> et al., 2014).</w:t>
      </w:r>
    </w:p>
    <w:p w14:paraId="5F84F463" w14:textId="247B4B73" w:rsidR="002E0070" w:rsidRDefault="002E0070" w:rsidP="0015659C">
      <w:pPr>
        <w:spacing w:line="480" w:lineRule="auto"/>
        <w:rPr>
          <w:rFonts w:ascii="Times New Roman" w:hAnsi="Times New Roman" w:cs="Times New Roman"/>
        </w:rPr>
      </w:pPr>
    </w:p>
    <w:p w14:paraId="533C2675" w14:textId="77777777" w:rsidR="0015659C" w:rsidRDefault="0015659C" w:rsidP="0015659C">
      <w:pPr>
        <w:spacing w:line="480" w:lineRule="auto"/>
        <w:rPr>
          <w:rFonts w:ascii="Times New Roman" w:hAnsi="Times New Roman" w:cs="Times New Roman"/>
        </w:rPr>
      </w:pPr>
    </w:p>
    <w:p w14:paraId="17026E99" w14:textId="77777777" w:rsidR="0015659C" w:rsidRDefault="0015659C" w:rsidP="0015659C">
      <w:pPr>
        <w:spacing w:line="480" w:lineRule="auto"/>
        <w:rPr>
          <w:rFonts w:ascii="Times New Roman" w:hAnsi="Times New Roman" w:cs="Times New Roman"/>
        </w:rPr>
      </w:pPr>
    </w:p>
    <w:p w14:paraId="2E4FD445" w14:textId="77777777" w:rsidR="0015659C" w:rsidRPr="002E0070" w:rsidRDefault="0015659C" w:rsidP="0015659C">
      <w:pPr>
        <w:spacing w:line="480" w:lineRule="auto"/>
        <w:rPr>
          <w:rFonts w:ascii="Times New Roman" w:hAnsi="Times New Roman" w:cs="Times New Roman"/>
        </w:rPr>
      </w:pPr>
    </w:p>
    <w:p w14:paraId="0AA05143"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lastRenderedPageBreak/>
        <w:t>2.5 Governance and Integrated Tourism Planning</w:t>
      </w:r>
    </w:p>
    <w:p w14:paraId="435A1BE8"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Sustainable tourism requires strong governance, policy frameworks, and multi-stakeholder collaboration. Hall (2011) explains that governance determines how objectives are set, how decisions are made, and how policies are implemented inclusively.</w:t>
      </w:r>
    </w:p>
    <w:p w14:paraId="72ED5F55"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Integrated planning frameworks—such as the Tourism Area Life Cycle (TALC) and sustainability management systems—help destinations predict and manage growth stages. Monitoring, evaluation, and long-term planning ensure that tourism growth aligns with environmental and social capacity.</w:t>
      </w:r>
    </w:p>
    <w:p w14:paraId="176F27BB"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Public–private partnerships support infrastructure development, waste management, conservation initiatives, and sustainable transportation. Effective governance addresses critical challenges such as over-tourism, climate change, and land-use conflict.</w:t>
      </w:r>
    </w:p>
    <w:p w14:paraId="1E54017C" w14:textId="027D859B" w:rsidR="002E0070" w:rsidRPr="002E0070" w:rsidRDefault="002E0070" w:rsidP="0015659C">
      <w:pPr>
        <w:spacing w:line="480" w:lineRule="auto"/>
        <w:rPr>
          <w:rFonts w:ascii="Times New Roman" w:hAnsi="Times New Roman" w:cs="Times New Roman"/>
        </w:rPr>
      </w:pPr>
    </w:p>
    <w:p w14:paraId="17C9AFA4"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2.6 Global Examples of Sustainable Tourism Success</w:t>
      </w:r>
    </w:p>
    <w:p w14:paraId="2F63E5E5"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Numerous destinations demonstrate successful sustainable tourism models.</w:t>
      </w:r>
    </w:p>
    <w:p w14:paraId="2677485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Costa Rica is widely regarded as a global leader in ecotourism. Through national parks, biodiversity conservation, and eco-lodges, the country balances ecological protection with rural economic development (Honey, 2008).</w:t>
      </w:r>
    </w:p>
    <w:p w14:paraId="491E7297"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Bhutan follows a high-value, low-impact tourism policy that limits tourist numbers to protect cultural heritage and natural landscapes. This strategy supports economic stability while preserving national identity.</w:t>
      </w:r>
    </w:p>
    <w:p w14:paraId="301EEDE9"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lastRenderedPageBreak/>
        <w:t>Slovenia has developed a “Green Destination” framework that integrates environmental, economic, and cultural sustainability. Its certification model promotes local food systems, sustainable mobility, and green accommodation standards.</w:t>
      </w:r>
    </w:p>
    <w:p w14:paraId="2D99E26E"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New Zealand integrates indigenous Māori principles into tourism planning, ensuring community inclusion, cultural protection, and nature conservation.</w:t>
      </w:r>
    </w:p>
    <w:p w14:paraId="03906730"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These international examples highlight the importance of governance, community involvement, and strong environmental policies.</w:t>
      </w:r>
    </w:p>
    <w:p w14:paraId="55D34C04" w14:textId="220A5C24" w:rsidR="002E0070" w:rsidRPr="002E0070" w:rsidRDefault="002E0070" w:rsidP="0015659C">
      <w:pPr>
        <w:spacing w:line="480" w:lineRule="auto"/>
        <w:rPr>
          <w:rFonts w:ascii="Times New Roman" w:hAnsi="Times New Roman" w:cs="Times New Roman"/>
        </w:rPr>
      </w:pPr>
    </w:p>
    <w:p w14:paraId="26181C68"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3. Methodology</w:t>
      </w:r>
    </w:p>
    <w:p w14:paraId="06068B4A"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 xml:space="preserve">This study applies a </w:t>
      </w:r>
      <w:r w:rsidRPr="002E0070">
        <w:rPr>
          <w:rFonts w:ascii="Times New Roman" w:hAnsi="Times New Roman" w:cs="Times New Roman"/>
          <w:b/>
          <w:bCs/>
        </w:rPr>
        <w:t>qualitative, secondary research methodology</w:t>
      </w:r>
      <w:r w:rsidRPr="002E0070">
        <w:rPr>
          <w:rFonts w:ascii="Times New Roman" w:hAnsi="Times New Roman" w:cs="Times New Roman"/>
        </w:rPr>
        <w:t xml:space="preserve"> to examine sustainable tourism planning strategies and successful destination models. A qualitative approach enables in-depth analysis of complex environmental, social, and economic dynamics (Creswell &amp; </w:t>
      </w:r>
      <w:proofErr w:type="spellStart"/>
      <w:r w:rsidRPr="002E0070">
        <w:rPr>
          <w:rFonts w:ascii="Times New Roman" w:hAnsi="Times New Roman" w:cs="Times New Roman"/>
        </w:rPr>
        <w:t>Poth</w:t>
      </w:r>
      <w:proofErr w:type="spellEnd"/>
      <w:r w:rsidRPr="002E0070">
        <w:rPr>
          <w:rFonts w:ascii="Times New Roman" w:hAnsi="Times New Roman" w:cs="Times New Roman"/>
        </w:rPr>
        <w:t>, 2018).</w:t>
      </w:r>
    </w:p>
    <w:p w14:paraId="441A50A0"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Data Collection</w:t>
      </w:r>
    </w:p>
    <w:p w14:paraId="4093F38D"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Data were gathered from:</w:t>
      </w:r>
    </w:p>
    <w:p w14:paraId="06F33182"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Peer-reviewed journals</w:t>
      </w:r>
    </w:p>
    <w:p w14:paraId="3ABEEE11"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Academic books on sustainable tourism</w:t>
      </w:r>
    </w:p>
    <w:p w14:paraId="49BFD199"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Reports from UNWTO, UNEP, WTTC, and government agencies</w:t>
      </w:r>
    </w:p>
    <w:p w14:paraId="5ED8C91A"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Case studies on Costa Rica, Bhutan, Slovenia, and New Zealand</w:t>
      </w:r>
    </w:p>
    <w:p w14:paraId="3DA7C136"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Published sustainability guidelines and certification frameworks</w:t>
      </w:r>
    </w:p>
    <w:p w14:paraId="67AC1B7E"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lastRenderedPageBreak/>
        <w:t xml:space="preserve">Publications from </w:t>
      </w:r>
      <w:r w:rsidRPr="002E0070">
        <w:rPr>
          <w:rFonts w:ascii="Times New Roman" w:hAnsi="Times New Roman" w:cs="Times New Roman"/>
          <w:b/>
          <w:bCs/>
        </w:rPr>
        <w:t>2000–2024</w:t>
      </w:r>
      <w:r w:rsidRPr="002E0070">
        <w:rPr>
          <w:rFonts w:ascii="Times New Roman" w:hAnsi="Times New Roman" w:cs="Times New Roman"/>
        </w:rPr>
        <w:t xml:space="preserve"> were prioritized to capture modern trends and post-pandemic sustainability shifts.</w:t>
      </w:r>
    </w:p>
    <w:p w14:paraId="50A799AC"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Inclusion Criteria</w:t>
      </w:r>
    </w:p>
    <w:p w14:paraId="48BF40B6"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Sources were included if they:</w:t>
      </w:r>
    </w:p>
    <w:p w14:paraId="6C226F2A" w14:textId="77777777" w:rsidR="002E0070" w:rsidRPr="002E0070" w:rsidRDefault="002E0070" w:rsidP="0015659C">
      <w:pPr>
        <w:numPr>
          <w:ilvl w:val="0"/>
          <w:numId w:val="2"/>
        </w:numPr>
        <w:spacing w:line="480" w:lineRule="auto"/>
        <w:rPr>
          <w:rFonts w:ascii="Times New Roman" w:hAnsi="Times New Roman" w:cs="Times New Roman"/>
        </w:rPr>
      </w:pPr>
      <w:r w:rsidRPr="002E0070">
        <w:rPr>
          <w:rFonts w:ascii="Times New Roman" w:hAnsi="Times New Roman" w:cs="Times New Roman"/>
        </w:rPr>
        <w:t>Discussed sustainable tourism planning or policy.</w:t>
      </w:r>
    </w:p>
    <w:p w14:paraId="000F916D" w14:textId="77777777" w:rsidR="002E0070" w:rsidRPr="002E0070" w:rsidRDefault="002E0070" w:rsidP="0015659C">
      <w:pPr>
        <w:numPr>
          <w:ilvl w:val="0"/>
          <w:numId w:val="2"/>
        </w:numPr>
        <w:spacing w:line="480" w:lineRule="auto"/>
        <w:rPr>
          <w:rFonts w:ascii="Times New Roman" w:hAnsi="Times New Roman" w:cs="Times New Roman"/>
        </w:rPr>
      </w:pPr>
      <w:r w:rsidRPr="002E0070">
        <w:rPr>
          <w:rFonts w:ascii="Times New Roman" w:hAnsi="Times New Roman" w:cs="Times New Roman"/>
        </w:rPr>
        <w:t>Examined environmental, economic, or social dimensions of sustainability.</w:t>
      </w:r>
    </w:p>
    <w:p w14:paraId="704ABD1D" w14:textId="77777777" w:rsidR="002E0070" w:rsidRPr="002E0070" w:rsidRDefault="002E0070" w:rsidP="0015659C">
      <w:pPr>
        <w:numPr>
          <w:ilvl w:val="0"/>
          <w:numId w:val="2"/>
        </w:numPr>
        <w:spacing w:line="480" w:lineRule="auto"/>
        <w:rPr>
          <w:rFonts w:ascii="Times New Roman" w:hAnsi="Times New Roman" w:cs="Times New Roman"/>
        </w:rPr>
      </w:pPr>
      <w:r w:rsidRPr="002E0070">
        <w:rPr>
          <w:rFonts w:ascii="Times New Roman" w:hAnsi="Times New Roman" w:cs="Times New Roman"/>
        </w:rPr>
        <w:t>Provided empirical case studies or theoretical frameworks.</w:t>
      </w:r>
    </w:p>
    <w:p w14:paraId="7E45FC6A" w14:textId="77777777" w:rsidR="002E0070" w:rsidRPr="002E0070" w:rsidRDefault="002E0070" w:rsidP="0015659C">
      <w:pPr>
        <w:numPr>
          <w:ilvl w:val="0"/>
          <w:numId w:val="2"/>
        </w:numPr>
        <w:spacing w:line="480" w:lineRule="auto"/>
        <w:rPr>
          <w:rFonts w:ascii="Times New Roman" w:hAnsi="Times New Roman" w:cs="Times New Roman"/>
        </w:rPr>
      </w:pPr>
      <w:r w:rsidRPr="002E0070">
        <w:rPr>
          <w:rFonts w:ascii="Times New Roman" w:hAnsi="Times New Roman" w:cs="Times New Roman"/>
        </w:rPr>
        <w:t>Discussed community participation or eco-certification models.</w:t>
      </w:r>
    </w:p>
    <w:p w14:paraId="5DF1784D"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Exclusion Criteria</w:t>
      </w:r>
    </w:p>
    <w:p w14:paraId="13A0FD50" w14:textId="77777777" w:rsidR="002E0070" w:rsidRPr="002E0070" w:rsidRDefault="002E0070" w:rsidP="0015659C">
      <w:pPr>
        <w:numPr>
          <w:ilvl w:val="0"/>
          <w:numId w:val="3"/>
        </w:numPr>
        <w:spacing w:line="480" w:lineRule="auto"/>
        <w:rPr>
          <w:rFonts w:ascii="Times New Roman" w:hAnsi="Times New Roman" w:cs="Times New Roman"/>
        </w:rPr>
      </w:pPr>
      <w:r w:rsidRPr="002E0070">
        <w:rPr>
          <w:rFonts w:ascii="Times New Roman" w:hAnsi="Times New Roman" w:cs="Times New Roman"/>
        </w:rPr>
        <w:t>Promotional materials from travel companies</w:t>
      </w:r>
    </w:p>
    <w:p w14:paraId="2222A9A6" w14:textId="77777777" w:rsidR="002E0070" w:rsidRPr="002E0070" w:rsidRDefault="002E0070" w:rsidP="0015659C">
      <w:pPr>
        <w:numPr>
          <w:ilvl w:val="0"/>
          <w:numId w:val="3"/>
        </w:numPr>
        <w:spacing w:line="480" w:lineRule="auto"/>
        <w:rPr>
          <w:rFonts w:ascii="Times New Roman" w:hAnsi="Times New Roman" w:cs="Times New Roman"/>
        </w:rPr>
      </w:pPr>
      <w:r w:rsidRPr="002E0070">
        <w:rPr>
          <w:rFonts w:ascii="Times New Roman" w:hAnsi="Times New Roman" w:cs="Times New Roman"/>
        </w:rPr>
        <w:t>Unverified online content</w:t>
      </w:r>
    </w:p>
    <w:p w14:paraId="26D31900" w14:textId="77777777" w:rsidR="002E0070" w:rsidRPr="002E0070" w:rsidRDefault="002E0070" w:rsidP="0015659C">
      <w:pPr>
        <w:numPr>
          <w:ilvl w:val="0"/>
          <w:numId w:val="3"/>
        </w:numPr>
        <w:spacing w:line="480" w:lineRule="auto"/>
        <w:rPr>
          <w:rFonts w:ascii="Times New Roman" w:hAnsi="Times New Roman" w:cs="Times New Roman"/>
        </w:rPr>
      </w:pPr>
      <w:r w:rsidRPr="002E0070">
        <w:rPr>
          <w:rFonts w:ascii="Times New Roman" w:hAnsi="Times New Roman" w:cs="Times New Roman"/>
        </w:rPr>
        <w:t>Documents lacking academic reliability</w:t>
      </w:r>
    </w:p>
    <w:p w14:paraId="0B72EAB9"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Data Analysis</w:t>
      </w:r>
    </w:p>
    <w:p w14:paraId="52A366E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Thematic analysis (Braun &amp; Clarke, 2006) was used to identify recurring patterns across sources. Themes included conservation, community participation, economic benefits, governance, and integrated planning.</w:t>
      </w:r>
    </w:p>
    <w:p w14:paraId="61AF0EB2"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Limitations</w:t>
      </w:r>
    </w:p>
    <w:p w14:paraId="13D3A2A6" w14:textId="77777777" w:rsidR="002E0070" w:rsidRPr="002E0070" w:rsidRDefault="002E0070" w:rsidP="0015659C">
      <w:pPr>
        <w:numPr>
          <w:ilvl w:val="0"/>
          <w:numId w:val="4"/>
        </w:numPr>
        <w:spacing w:line="480" w:lineRule="auto"/>
        <w:rPr>
          <w:rFonts w:ascii="Times New Roman" w:hAnsi="Times New Roman" w:cs="Times New Roman"/>
        </w:rPr>
      </w:pPr>
      <w:r w:rsidRPr="002E0070">
        <w:rPr>
          <w:rFonts w:ascii="Times New Roman" w:hAnsi="Times New Roman" w:cs="Times New Roman"/>
        </w:rPr>
        <w:t>No primary field research was conducted.</w:t>
      </w:r>
    </w:p>
    <w:p w14:paraId="391387EE" w14:textId="77777777" w:rsidR="002E0070" w:rsidRPr="002E0070" w:rsidRDefault="002E0070" w:rsidP="0015659C">
      <w:pPr>
        <w:numPr>
          <w:ilvl w:val="0"/>
          <w:numId w:val="4"/>
        </w:numPr>
        <w:spacing w:line="480" w:lineRule="auto"/>
        <w:rPr>
          <w:rFonts w:ascii="Times New Roman" w:hAnsi="Times New Roman" w:cs="Times New Roman"/>
        </w:rPr>
      </w:pPr>
      <w:r w:rsidRPr="002E0070">
        <w:rPr>
          <w:rFonts w:ascii="Times New Roman" w:hAnsi="Times New Roman" w:cs="Times New Roman"/>
        </w:rPr>
        <w:t>Some sustainability models are context-specific and may not be universally applicable.</w:t>
      </w:r>
    </w:p>
    <w:p w14:paraId="3D529632" w14:textId="77777777" w:rsidR="002E0070" w:rsidRPr="002E0070" w:rsidRDefault="002E0070" w:rsidP="0015659C">
      <w:pPr>
        <w:numPr>
          <w:ilvl w:val="0"/>
          <w:numId w:val="4"/>
        </w:numPr>
        <w:spacing w:line="480" w:lineRule="auto"/>
        <w:rPr>
          <w:rFonts w:ascii="Times New Roman" w:hAnsi="Times New Roman" w:cs="Times New Roman"/>
        </w:rPr>
      </w:pPr>
      <w:r w:rsidRPr="002E0070">
        <w:rPr>
          <w:rFonts w:ascii="Times New Roman" w:hAnsi="Times New Roman" w:cs="Times New Roman"/>
        </w:rPr>
        <w:lastRenderedPageBreak/>
        <w:t>Rapid tourism changes may outpace published academic research.</w:t>
      </w:r>
    </w:p>
    <w:p w14:paraId="2458C2C0" w14:textId="77777777" w:rsidR="002E0070" w:rsidRDefault="002E0070" w:rsidP="0015659C">
      <w:pPr>
        <w:spacing w:line="480" w:lineRule="auto"/>
        <w:rPr>
          <w:rFonts w:ascii="Times New Roman" w:hAnsi="Times New Roman" w:cs="Times New Roman"/>
        </w:rPr>
      </w:pPr>
      <w:r w:rsidRPr="002E0070">
        <w:rPr>
          <w:rFonts w:ascii="Times New Roman" w:hAnsi="Times New Roman" w:cs="Times New Roman"/>
        </w:rPr>
        <w:t>Despite limitations, secondary analysis provides reliable insights into sustainable tourism strategies and global best practices.</w:t>
      </w:r>
    </w:p>
    <w:p w14:paraId="50D68325" w14:textId="77777777" w:rsidR="003A414A" w:rsidRDefault="003A414A" w:rsidP="0015659C">
      <w:pPr>
        <w:spacing w:line="480" w:lineRule="auto"/>
        <w:rPr>
          <w:rFonts w:ascii="Times New Roman" w:hAnsi="Times New Roman" w:cs="Times New Roman"/>
        </w:rPr>
      </w:pPr>
    </w:p>
    <w:p w14:paraId="437FFE72" w14:textId="77777777" w:rsidR="003A414A" w:rsidRDefault="003A414A" w:rsidP="0015659C">
      <w:pPr>
        <w:spacing w:line="480" w:lineRule="auto"/>
        <w:rPr>
          <w:rFonts w:ascii="Times New Roman" w:hAnsi="Times New Roman" w:cs="Times New Roman"/>
        </w:rPr>
      </w:pPr>
    </w:p>
    <w:p w14:paraId="643BA9E4" w14:textId="77777777" w:rsidR="003A414A" w:rsidRDefault="003A414A" w:rsidP="0015659C">
      <w:pPr>
        <w:spacing w:line="480" w:lineRule="auto"/>
        <w:rPr>
          <w:rFonts w:ascii="Times New Roman" w:hAnsi="Times New Roman" w:cs="Times New Roman"/>
        </w:rPr>
      </w:pPr>
    </w:p>
    <w:p w14:paraId="4CEB05B9" w14:textId="77777777" w:rsidR="003A414A" w:rsidRDefault="003A414A" w:rsidP="0015659C">
      <w:pPr>
        <w:spacing w:line="480" w:lineRule="auto"/>
        <w:rPr>
          <w:rFonts w:ascii="Times New Roman" w:hAnsi="Times New Roman" w:cs="Times New Roman"/>
        </w:rPr>
      </w:pPr>
    </w:p>
    <w:p w14:paraId="1FBC3EB5" w14:textId="77777777" w:rsidR="003A414A" w:rsidRDefault="003A414A" w:rsidP="0015659C">
      <w:pPr>
        <w:spacing w:line="480" w:lineRule="auto"/>
        <w:rPr>
          <w:rFonts w:ascii="Times New Roman" w:hAnsi="Times New Roman" w:cs="Times New Roman"/>
        </w:rPr>
      </w:pPr>
    </w:p>
    <w:p w14:paraId="0B68DBF8" w14:textId="77777777" w:rsidR="003A414A" w:rsidRDefault="003A414A" w:rsidP="0015659C">
      <w:pPr>
        <w:spacing w:line="480" w:lineRule="auto"/>
        <w:rPr>
          <w:rFonts w:ascii="Times New Roman" w:hAnsi="Times New Roman" w:cs="Times New Roman"/>
        </w:rPr>
      </w:pPr>
    </w:p>
    <w:p w14:paraId="24EEC749" w14:textId="77777777" w:rsidR="003A414A" w:rsidRDefault="003A414A" w:rsidP="0015659C">
      <w:pPr>
        <w:spacing w:line="480" w:lineRule="auto"/>
        <w:rPr>
          <w:rFonts w:ascii="Times New Roman" w:hAnsi="Times New Roman" w:cs="Times New Roman"/>
        </w:rPr>
      </w:pPr>
    </w:p>
    <w:p w14:paraId="38AAE3ED" w14:textId="77777777" w:rsidR="003A414A" w:rsidRDefault="003A414A" w:rsidP="0015659C">
      <w:pPr>
        <w:spacing w:line="480" w:lineRule="auto"/>
        <w:rPr>
          <w:rFonts w:ascii="Times New Roman" w:hAnsi="Times New Roman" w:cs="Times New Roman"/>
        </w:rPr>
      </w:pPr>
    </w:p>
    <w:p w14:paraId="2EC6C7B0" w14:textId="77777777" w:rsidR="003A414A" w:rsidRDefault="003A414A" w:rsidP="0015659C">
      <w:pPr>
        <w:spacing w:line="480" w:lineRule="auto"/>
        <w:rPr>
          <w:rFonts w:ascii="Times New Roman" w:hAnsi="Times New Roman" w:cs="Times New Roman"/>
        </w:rPr>
      </w:pPr>
    </w:p>
    <w:p w14:paraId="3D176C66" w14:textId="77777777" w:rsidR="003A414A" w:rsidRDefault="003A414A" w:rsidP="0015659C">
      <w:pPr>
        <w:spacing w:line="480" w:lineRule="auto"/>
        <w:rPr>
          <w:rFonts w:ascii="Times New Roman" w:hAnsi="Times New Roman" w:cs="Times New Roman"/>
        </w:rPr>
      </w:pPr>
    </w:p>
    <w:p w14:paraId="7759CB72" w14:textId="77777777" w:rsidR="003A414A" w:rsidRDefault="003A414A" w:rsidP="0015659C">
      <w:pPr>
        <w:spacing w:line="480" w:lineRule="auto"/>
        <w:rPr>
          <w:rFonts w:ascii="Times New Roman" w:hAnsi="Times New Roman" w:cs="Times New Roman"/>
        </w:rPr>
      </w:pPr>
    </w:p>
    <w:p w14:paraId="6258BA17" w14:textId="77777777" w:rsidR="003A414A" w:rsidRDefault="003A414A" w:rsidP="0015659C">
      <w:pPr>
        <w:spacing w:line="480" w:lineRule="auto"/>
        <w:rPr>
          <w:rFonts w:ascii="Times New Roman" w:hAnsi="Times New Roman" w:cs="Times New Roman"/>
        </w:rPr>
      </w:pPr>
    </w:p>
    <w:p w14:paraId="5E012AC5" w14:textId="77777777" w:rsidR="003A414A" w:rsidRDefault="003A414A" w:rsidP="0015659C">
      <w:pPr>
        <w:spacing w:line="480" w:lineRule="auto"/>
        <w:rPr>
          <w:rFonts w:ascii="Times New Roman" w:hAnsi="Times New Roman" w:cs="Times New Roman"/>
        </w:rPr>
      </w:pPr>
    </w:p>
    <w:p w14:paraId="45C60190" w14:textId="77777777" w:rsidR="003A414A" w:rsidRDefault="003A414A" w:rsidP="0015659C">
      <w:pPr>
        <w:spacing w:line="480" w:lineRule="auto"/>
        <w:rPr>
          <w:rFonts w:ascii="Times New Roman" w:hAnsi="Times New Roman" w:cs="Times New Roman"/>
        </w:rPr>
      </w:pPr>
    </w:p>
    <w:p w14:paraId="484D7227" w14:textId="77777777" w:rsidR="003A414A" w:rsidRDefault="003A414A" w:rsidP="0015659C">
      <w:pPr>
        <w:spacing w:line="480" w:lineRule="auto"/>
        <w:rPr>
          <w:rFonts w:ascii="Times New Roman" w:hAnsi="Times New Roman" w:cs="Times New Roman"/>
        </w:rPr>
      </w:pPr>
    </w:p>
    <w:p w14:paraId="35A41CC3" w14:textId="77777777" w:rsidR="003A414A" w:rsidRDefault="003A414A" w:rsidP="0015659C">
      <w:pPr>
        <w:spacing w:line="480" w:lineRule="auto"/>
        <w:rPr>
          <w:rFonts w:ascii="Times New Roman" w:hAnsi="Times New Roman" w:cs="Times New Roman"/>
        </w:rPr>
      </w:pPr>
    </w:p>
    <w:p w14:paraId="28F31E79"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lastRenderedPageBreak/>
        <w:t>4. Findings</w:t>
      </w:r>
    </w:p>
    <w:p w14:paraId="11E4DC8E"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demonstrate that developing sustainable tourism spaces requires a holistic integration of environmental protection, economic resilience, and social inclusion. The analysis reveals five major findings: (1) environmental conservation is the foundation of sustainable tourism spaces; (2) community participation ensures social sustainability and long-term success; (3) economic diversification and local value creation are essential for resilience; (4) governance frameworks enable effective management; and (5) real-world examples confirm that integrated strategies are achievable and scalable.</w:t>
      </w:r>
    </w:p>
    <w:p w14:paraId="13EDE9D6" w14:textId="5C4BC274" w:rsidR="003A414A" w:rsidRPr="003A414A" w:rsidRDefault="003A414A" w:rsidP="0015659C">
      <w:pPr>
        <w:spacing w:line="480" w:lineRule="auto"/>
        <w:rPr>
          <w:rFonts w:ascii="Times New Roman" w:hAnsi="Times New Roman" w:cs="Times New Roman"/>
        </w:rPr>
      </w:pPr>
    </w:p>
    <w:p w14:paraId="29307DB3"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4.1 Environmental Conservation Is Central to Sustainable Tourism Spaces</w:t>
      </w:r>
    </w:p>
    <w:p w14:paraId="44531664"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Findings indicate that environmental conservation remains the core element of sustainable tourism planning. Destinations that successfully implement sustainability strategies prioritize ecosystem health, biodiversity protection, and responsible resource use. Practices such as carrying capacity assessments, zoning regulations, environmental impact assessments, and low-impact infrastructure development reduce degradation caused by tourism activities.</w:t>
      </w:r>
    </w:p>
    <w:p w14:paraId="428ED66A"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National parks and protected areas play a major role in regulating tourism flows. The analysis shows that destinations such as Costa Rica and New Zealand use zoning systems to balance conservation with visitor access. These systems designate zones for high-use tourism, recreation, and strict conservation, helping protect fragile ecosystems while generating economic benefits.</w:t>
      </w:r>
    </w:p>
    <w:p w14:paraId="7CC48369"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Tourism spaces that emphasize renewable energy, waste reduction, and eco-friendly design demonstrate stronger environmental performance. Sustainable accommodations—such as eco-</w:t>
      </w:r>
      <w:r w:rsidRPr="003A414A">
        <w:rPr>
          <w:rFonts w:ascii="Times New Roman" w:hAnsi="Times New Roman" w:cs="Times New Roman"/>
        </w:rPr>
        <w:lastRenderedPageBreak/>
        <w:t>lodges, green hotels, and nature-based resorts—reduce carbon emissions and resource consumption, contributing to long-term ecological stability.</w:t>
      </w:r>
    </w:p>
    <w:p w14:paraId="19F24A5C" w14:textId="3D5761B2" w:rsidR="003A414A" w:rsidRPr="003A414A" w:rsidRDefault="003A414A" w:rsidP="0015659C">
      <w:pPr>
        <w:spacing w:line="480" w:lineRule="auto"/>
        <w:rPr>
          <w:rFonts w:ascii="Times New Roman" w:hAnsi="Times New Roman" w:cs="Times New Roman"/>
        </w:rPr>
      </w:pPr>
    </w:p>
    <w:p w14:paraId="7F1B5E98"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4.2 Community Participation Strengthens Social Sustainability</w:t>
      </w:r>
    </w:p>
    <w:p w14:paraId="5808EFBE"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 xml:space="preserve">A second major finding is that community participation is essential for socially sustainable tourism spaces. When </w:t>
      </w:r>
      <w:proofErr w:type="gramStart"/>
      <w:r w:rsidRPr="003A414A">
        <w:rPr>
          <w:rFonts w:ascii="Times New Roman" w:hAnsi="Times New Roman" w:cs="Times New Roman"/>
        </w:rPr>
        <w:t>local residents</w:t>
      </w:r>
      <w:proofErr w:type="gramEnd"/>
      <w:r w:rsidRPr="003A414A">
        <w:rPr>
          <w:rFonts w:ascii="Times New Roman" w:hAnsi="Times New Roman" w:cs="Times New Roman"/>
        </w:rPr>
        <w:t xml:space="preserve"> are involved in planning, decision-making, and management, tourism development aligns more closely with community needs, cultural values, and local aspirations.</w:t>
      </w:r>
    </w:p>
    <w:p w14:paraId="69E2360B"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Community-based tourism (CBT) models are particularly successful. They empower local stakeholders by fostering ownership of tourism enterprises, ensuring fair distribution of economic benefits, and preserving cultural heritage. Indigenous communities in New Zealand, Peru, and Southeast Asia demonstrate how traditional knowledge can shape environmentally responsible tourism practices.</w:t>
      </w:r>
    </w:p>
    <w:p w14:paraId="26404506"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Social sustainability also depends on protecting cultural identity. Findings show that uncontrolled tourism development can lead to cultural commodification and loss of heritage. However, destinations that implement cultural protection policies—such as cultural zoning, heritage education programs, and support for traditional arts—preserve authenticity while generating tourism revenue.</w:t>
      </w:r>
    </w:p>
    <w:p w14:paraId="0AA4C8C8"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Effective community participation increases residents’ support for tourism and reduces conflict. When communities benefit economically and socially, their attitudes toward tourism remain positive, contributing to long-term destination resilience.</w:t>
      </w:r>
    </w:p>
    <w:p w14:paraId="6EB74CB6" w14:textId="7A7D8B56" w:rsidR="003A414A" w:rsidRPr="003A414A" w:rsidRDefault="003A414A" w:rsidP="0015659C">
      <w:pPr>
        <w:spacing w:line="480" w:lineRule="auto"/>
        <w:rPr>
          <w:rFonts w:ascii="Times New Roman" w:hAnsi="Times New Roman" w:cs="Times New Roman"/>
        </w:rPr>
      </w:pPr>
    </w:p>
    <w:p w14:paraId="0906DAD5"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4.3 Economic Sustainability Requires Local Value Creation</w:t>
      </w:r>
    </w:p>
    <w:p w14:paraId="6705C277"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highlight that sustainable tourism spaces must generate economic benefits that extend beyond profit for external investors. Economic sustainability depends on strengthening local supply chains, diversifying tourism offerings, reducing revenue leakage, and supporting small and medium-sized enterprises (SMEs).</w:t>
      </w:r>
    </w:p>
    <w:p w14:paraId="63024C0F"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Destinations such as Bhutan and Slovenia show that tourism can become an engine for local prosperity when policies promote local ownership and inclusive business models. These strategies include supporting local artisans, promoting locally sourced food, and encouraging rural entrepreneurship. Tourism, when well-managed, increases employment, stimulates local markets, and supports other sectors such as agriculture and transportation.</w:t>
      </w:r>
    </w:p>
    <w:p w14:paraId="6A2CCCD0"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 xml:space="preserve">Economic diversification is equally important. Destinations dependent on a single form of tourism </w:t>
      </w:r>
      <w:proofErr w:type="gramStart"/>
      <w:r w:rsidRPr="003A414A">
        <w:rPr>
          <w:rFonts w:ascii="Times New Roman" w:hAnsi="Times New Roman" w:cs="Times New Roman"/>
        </w:rPr>
        <w:t>are</w:t>
      </w:r>
      <w:proofErr w:type="gramEnd"/>
      <w:r w:rsidRPr="003A414A">
        <w:rPr>
          <w:rFonts w:ascii="Times New Roman" w:hAnsi="Times New Roman" w:cs="Times New Roman"/>
        </w:rPr>
        <w:t xml:space="preserve"> more vulnerable to crises and seasonality. Successful sustainable tourism spaces diversify into ecotourism, cultural tourism, adventure tourism, wellness tourism, and heritage tourism, providing multiple streams of income and increasing resilience.</w:t>
      </w:r>
    </w:p>
    <w:p w14:paraId="53BA40F2"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 xml:space="preserve">Eco-certification programs also enhance economic sustainability by attracting environmentally conscious </w:t>
      </w:r>
      <w:proofErr w:type="spellStart"/>
      <w:r w:rsidRPr="003A414A">
        <w:rPr>
          <w:rFonts w:ascii="Times New Roman" w:hAnsi="Times New Roman" w:cs="Times New Roman"/>
        </w:rPr>
        <w:t>travelers</w:t>
      </w:r>
      <w:proofErr w:type="spellEnd"/>
      <w:r w:rsidRPr="003A414A">
        <w:rPr>
          <w:rFonts w:ascii="Times New Roman" w:hAnsi="Times New Roman" w:cs="Times New Roman"/>
        </w:rPr>
        <w:t xml:space="preserve"> willing to pay higher prices for sustainable options. This creates a competitive advantage for destinations investing in green practices.</w:t>
      </w:r>
    </w:p>
    <w:p w14:paraId="2B5A67A5" w14:textId="3ACD8BEB" w:rsidR="003A414A" w:rsidRPr="003A414A" w:rsidRDefault="003A414A" w:rsidP="0015659C">
      <w:pPr>
        <w:spacing w:line="480" w:lineRule="auto"/>
        <w:rPr>
          <w:rFonts w:ascii="Times New Roman" w:hAnsi="Times New Roman" w:cs="Times New Roman"/>
        </w:rPr>
      </w:pPr>
    </w:p>
    <w:p w14:paraId="4646F5B7"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4.4 Governance Enables Balanced Sustainable Tourism Development</w:t>
      </w:r>
    </w:p>
    <w:p w14:paraId="2B4D3FFA"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lastRenderedPageBreak/>
        <w:t>Governance frameworks emerged as one of the strongest predictors of successful sustainable tourism spaces. Effective governance involves clear regulations, enforcement mechanisms, inclusive policies, and multi-stakeholder collaboration.</w:t>
      </w:r>
    </w:p>
    <w:p w14:paraId="4D9C3322"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Destinations with strong governance—such as New Zealand, Bhutan, and Slovenia—demonstrate that long-term policy vision is essential. These countries apply national sustainability standards, regulate tourist numbers, invest in conservation, and monitor environmental impacts. Transparent governance also fosters trust among community members, investors, and the tourism industry.</w:t>
      </w:r>
    </w:p>
    <w:p w14:paraId="7C628CF8"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Public–private partnerships support infrastructure, resource management, and local enterprise development. Governments provide regulatory frameworks, while private sectors offer investment and innovation. NGOs frequently support conservation efforts, training initiatives, and community education programs.</w:t>
      </w:r>
    </w:p>
    <w:p w14:paraId="6BC6FC54"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In contrast, destinations lacking governance oversight often experience over-tourism, environmental degradation, and social tensions, confirming the importance of structured planning.</w:t>
      </w:r>
    </w:p>
    <w:p w14:paraId="4BCB14A2" w14:textId="47EF1A37" w:rsidR="003A414A" w:rsidRPr="003A414A" w:rsidRDefault="003A414A" w:rsidP="0015659C">
      <w:pPr>
        <w:spacing w:line="480" w:lineRule="auto"/>
        <w:rPr>
          <w:rFonts w:ascii="Times New Roman" w:hAnsi="Times New Roman" w:cs="Times New Roman"/>
        </w:rPr>
      </w:pPr>
    </w:p>
    <w:p w14:paraId="48E356E7"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4.5 Real-World Examples Validate Integrated Sustainability Strategies</w:t>
      </w:r>
    </w:p>
    <w:p w14:paraId="5489C3C5"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highlight several successful destination models:</w:t>
      </w:r>
    </w:p>
    <w:p w14:paraId="44282CF7"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b/>
          <w:bCs/>
        </w:rPr>
        <w:t>Costa Rica</w:t>
      </w:r>
      <w:r w:rsidRPr="003A414A">
        <w:rPr>
          <w:rFonts w:ascii="Times New Roman" w:hAnsi="Times New Roman" w:cs="Times New Roman"/>
        </w:rPr>
        <w:t xml:space="preserve"> demonstrates how national commitment to conservation can transform tourism spaces. Protected areas cover more than 25% of the country, and ecotourism generates both revenue and conservation support (Honey, 2008).</w:t>
      </w:r>
    </w:p>
    <w:p w14:paraId="5451D5BF"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b/>
          <w:bCs/>
        </w:rPr>
        <w:lastRenderedPageBreak/>
        <w:t>Bhutan</w:t>
      </w:r>
      <w:r w:rsidRPr="003A414A">
        <w:rPr>
          <w:rFonts w:ascii="Times New Roman" w:hAnsi="Times New Roman" w:cs="Times New Roman"/>
        </w:rPr>
        <w:t xml:space="preserve"> applies a high-value, low-impact tourism strategy, limiting tourist numbers to protect cultural and environmental integrity. This policy generates economic benefits while preserving cultural identity.</w:t>
      </w:r>
    </w:p>
    <w:p w14:paraId="6281EE4E"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b/>
          <w:bCs/>
        </w:rPr>
        <w:t>Slovenia</w:t>
      </w:r>
      <w:r w:rsidRPr="003A414A">
        <w:rPr>
          <w:rFonts w:ascii="Times New Roman" w:hAnsi="Times New Roman" w:cs="Times New Roman"/>
        </w:rPr>
        <w:t xml:space="preserve"> integrates sustainability into all tourism sectors through its “Green Destination” certification system, promoting energy conservation, local food systems, and responsible tourism experiences.</w:t>
      </w:r>
    </w:p>
    <w:p w14:paraId="2DA01216"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b/>
          <w:bCs/>
        </w:rPr>
        <w:t>New Zealand</w:t>
      </w:r>
      <w:r w:rsidRPr="003A414A">
        <w:rPr>
          <w:rFonts w:ascii="Times New Roman" w:hAnsi="Times New Roman" w:cs="Times New Roman"/>
        </w:rPr>
        <w:t xml:space="preserve"> emphasizes indigenous Māori values, environmental conservation, and community involvement in tourism planning, ensuring both social and environmental sustainability.</w:t>
      </w:r>
    </w:p>
    <w:p w14:paraId="70E2911C"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These examples demonstrate that sustainable tourism spaces succeed when environmental, economic, and social strategies are applied together with strong governance.</w:t>
      </w:r>
    </w:p>
    <w:p w14:paraId="3EE5C513" w14:textId="044A3CD8" w:rsidR="003A414A" w:rsidRDefault="003A414A" w:rsidP="0015659C">
      <w:pPr>
        <w:spacing w:line="480" w:lineRule="auto"/>
        <w:rPr>
          <w:rFonts w:ascii="Times New Roman" w:hAnsi="Times New Roman" w:cs="Times New Roman"/>
        </w:rPr>
      </w:pPr>
    </w:p>
    <w:p w14:paraId="1B2A0468" w14:textId="77777777" w:rsidR="003A414A" w:rsidRDefault="003A414A" w:rsidP="0015659C">
      <w:pPr>
        <w:spacing w:line="480" w:lineRule="auto"/>
        <w:rPr>
          <w:rFonts w:ascii="Times New Roman" w:hAnsi="Times New Roman" w:cs="Times New Roman"/>
        </w:rPr>
      </w:pPr>
    </w:p>
    <w:p w14:paraId="00DE8835" w14:textId="77777777" w:rsidR="003A414A" w:rsidRDefault="003A414A" w:rsidP="0015659C">
      <w:pPr>
        <w:spacing w:line="480" w:lineRule="auto"/>
        <w:rPr>
          <w:rFonts w:ascii="Times New Roman" w:hAnsi="Times New Roman" w:cs="Times New Roman"/>
        </w:rPr>
      </w:pPr>
    </w:p>
    <w:p w14:paraId="71C56341" w14:textId="77777777" w:rsidR="003A414A" w:rsidRDefault="003A414A" w:rsidP="0015659C">
      <w:pPr>
        <w:spacing w:line="480" w:lineRule="auto"/>
        <w:rPr>
          <w:rFonts w:ascii="Times New Roman" w:hAnsi="Times New Roman" w:cs="Times New Roman"/>
        </w:rPr>
      </w:pPr>
    </w:p>
    <w:p w14:paraId="397836BF" w14:textId="77777777" w:rsidR="003A414A" w:rsidRDefault="003A414A" w:rsidP="0015659C">
      <w:pPr>
        <w:spacing w:line="480" w:lineRule="auto"/>
        <w:rPr>
          <w:rFonts w:ascii="Times New Roman" w:hAnsi="Times New Roman" w:cs="Times New Roman"/>
        </w:rPr>
      </w:pPr>
    </w:p>
    <w:p w14:paraId="4B8BA4A1" w14:textId="77777777" w:rsidR="0015659C" w:rsidRDefault="0015659C" w:rsidP="0015659C">
      <w:pPr>
        <w:spacing w:line="480" w:lineRule="auto"/>
        <w:rPr>
          <w:rFonts w:ascii="Times New Roman" w:hAnsi="Times New Roman" w:cs="Times New Roman"/>
        </w:rPr>
      </w:pPr>
    </w:p>
    <w:p w14:paraId="3BE880D5" w14:textId="77777777" w:rsidR="0015659C" w:rsidRDefault="0015659C" w:rsidP="0015659C">
      <w:pPr>
        <w:spacing w:line="480" w:lineRule="auto"/>
        <w:rPr>
          <w:rFonts w:ascii="Times New Roman" w:hAnsi="Times New Roman" w:cs="Times New Roman"/>
        </w:rPr>
      </w:pPr>
    </w:p>
    <w:p w14:paraId="4D5BC145" w14:textId="77777777" w:rsidR="0015659C" w:rsidRDefault="0015659C" w:rsidP="0015659C">
      <w:pPr>
        <w:spacing w:line="480" w:lineRule="auto"/>
        <w:rPr>
          <w:rFonts w:ascii="Times New Roman" w:hAnsi="Times New Roman" w:cs="Times New Roman"/>
        </w:rPr>
      </w:pPr>
    </w:p>
    <w:p w14:paraId="4BEC6BC4" w14:textId="77777777" w:rsidR="003A414A" w:rsidRPr="003A414A" w:rsidRDefault="003A414A" w:rsidP="0015659C">
      <w:pPr>
        <w:spacing w:line="480" w:lineRule="auto"/>
        <w:rPr>
          <w:rFonts w:ascii="Times New Roman" w:hAnsi="Times New Roman" w:cs="Times New Roman"/>
        </w:rPr>
      </w:pPr>
    </w:p>
    <w:p w14:paraId="0FC644F2"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lastRenderedPageBreak/>
        <w:t>5. Discussion</w:t>
      </w:r>
    </w:p>
    <w:p w14:paraId="444F9FA0"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discussion interprets the findings through sustainability theory, tourism planning frameworks, and global best practices. The results align with long-standing academic arguments that sustainable tourism must integrate environmental, social, and economic considerations rather than prioritizing one dimension at the expense of others.</w:t>
      </w:r>
    </w:p>
    <w:p w14:paraId="3DABA14E" w14:textId="03B2FAC0" w:rsidR="003A414A" w:rsidRPr="003A414A" w:rsidRDefault="003A414A" w:rsidP="0015659C">
      <w:pPr>
        <w:spacing w:line="480" w:lineRule="auto"/>
        <w:rPr>
          <w:rFonts w:ascii="Times New Roman" w:hAnsi="Times New Roman" w:cs="Times New Roman"/>
        </w:rPr>
      </w:pPr>
    </w:p>
    <w:p w14:paraId="7C58018D"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5.1 Alignment with the Triple-Bottom-Line Concept</w:t>
      </w:r>
    </w:p>
    <w:p w14:paraId="574084B8"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support Elkington’s (1998) triple-bottom-line framework, which emphasizes balancing planet (environment), people (society), and profit (economy). Destinations achieving this balance—such as Costa Rica, Bhutan, and Slovenia—demonstrate stronger long-term resilience. The environmental pillar is foundational, as degraded ecosystems cannot support tourism. The economic pillar supports livelihoods, while the social pillar sustains community well-being and cultural identity.</w:t>
      </w:r>
    </w:p>
    <w:p w14:paraId="6130627B" w14:textId="4EB4A88D" w:rsidR="003A414A" w:rsidRPr="003A414A" w:rsidRDefault="003A414A" w:rsidP="0015659C">
      <w:pPr>
        <w:spacing w:line="480" w:lineRule="auto"/>
        <w:rPr>
          <w:rFonts w:ascii="Times New Roman" w:hAnsi="Times New Roman" w:cs="Times New Roman"/>
        </w:rPr>
      </w:pPr>
    </w:p>
    <w:p w14:paraId="183EE825"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5.2 Systems Approach to Sustainable Tourism</w:t>
      </w:r>
    </w:p>
    <w:p w14:paraId="405C96A7"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reinforce the systems view of tourism, which regards destinations as interconnected socio-ecological systems (Bramwell &amp; Lane, 2011). Tourism spaces function effectively when natural resources, cultural assets, communities, and businesses operate in harmony. Failures typically occur when one subsystem—such as economic profit—dominates planning at the expense of social or environmental health.</w:t>
      </w:r>
    </w:p>
    <w:p w14:paraId="3B0C5BE3"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lastRenderedPageBreak/>
        <w:t>The carrying-capacity concept also supports the systems approach. Destinations implementing limits on visitor numbers mitigate overcrowding and resource depletion, ensuring equilibrium between ecological health and tourism demand.</w:t>
      </w:r>
    </w:p>
    <w:p w14:paraId="642DD76C" w14:textId="36AE1050" w:rsidR="003A414A" w:rsidRPr="003A414A" w:rsidRDefault="003A414A" w:rsidP="0015659C">
      <w:pPr>
        <w:spacing w:line="480" w:lineRule="auto"/>
        <w:rPr>
          <w:rFonts w:ascii="Times New Roman" w:hAnsi="Times New Roman" w:cs="Times New Roman"/>
        </w:rPr>
      </w:pPr>
    </w:p>
    <w:p w14:paraId="4DAE40C5"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5.3 Importance of Community-Based and Participatory Planning</w:t>
      </w:r>
    </w:p>
    <w:p w14:paraId="30F7AD0B"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show that social sustainability hinges on community involvement. This aligns with Moscardo’s (2014) community empowerment model, which argues that sustainable tourism emerges when communities have control over decision-making and benefit directly from tourism revenue.</w:t>
      </w:r>
    </w:p>
    <w:p w14:paraId="28B652EB"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Participatory governance also increases compliance with regulations, reduces conflict, and fosters positive attitudes toward tourism. Community resistance often arises when tourism development is externally imposed without regard for local needs or cultural values.</w:t>
      </w:r>
    </w:p>
    <w:p w14:paraId="7597C5A1" w14:textId="371EE117" w:rsidR="003A414A" w:rsidRPr="003A414A" w:rsidRDefault="003A414A" w:rsidP="0015659C">
      <w:pPr>
        <w:spacing w:line="480" w:lineRule="auto"/>
        <w:rPr>
          <w:rFonts w:ascii="Times New Roman" w:hAnsi="Times New Roman" w:cs="Times New Roman"/>
        </w:rPr>
      </w:pPr>
    </w:p>
    <w:p w14:paraId="5A859D89"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5.4 Role of Governance and Policy Commitment</w:t>
      </w:r>
    </w:p>
    <w:p w14:paraId="52F967E9"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confirm the importance of governance discussed in tourism literature. Hall (2011) argues that effective governance determines the sustainability outcomes of tourism spaces. Countries with strong regulatory systems manage tourism more responsibly, prevent over-exploitation of resources, and balance stakeholder interests.</w:t>
      </w:r>
    </w:p>
    <w:p w14:paraId="45143900"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Governance also ensures policy continuity. Short-term political cycles often disrupt long-term sustainability planning, whereas countries such as Bhutan demonstrate consistent policy direction over decades.</w:t>
      </w:r>
    </w:p>
    <w:p w14:paraId="33DB894C" w14:textId="122F2EB0" w:rsidR="003A414A" w:rsidRPr="003A414A" w:rsidRDefault="003A414A" w:rsidP="0015659C">
      <w:pPr>
        <w:spacing w:line="480" w:lineRule="auto"/>
        <w:rPr>
          <w:rFonts w:ascii="Times New Roman" w:hAnsi="Times New Roman" w:cs="Times New Roman"/>
        </w:rPr>
      </w:pPr>
    </w:p>
    <w:p w14:paraId="082EE95A"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5.5 Implications for Future Sustainable Tourism Development</w:t>
      </w:r>
    </w:p>
    <w:p w14:paraId="0ABAD2C7"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reveal that sustainable tourism requires long-term investment, strong partnerships, and continuous monitoring. Destinations must embrace adaptive management to respond to climate change, natural disasters, and evolving tourist expectations.</w:t>
      </w:r>
    </w:p>
    <w:p w14:paraId="3C34CECC" w14:textId="018EE028"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Technological solutions</w:t>
      </w:r>
      <w:r w:rsidR="0057412C">
        <w:rPr>
          <w:rFonts w:ascii="Times New Roman" w:hAnsi="Times New Roman" w:cs="Times New Roman"/>
        </w:rPr>
        <w:t xml:space="preserve"> </w:t>
      </w:r>
      <w:r w:rsidRPr="003A414A">
        <w:rPr>
          <w:rFonts w:ascii="Times New Roman" w:hAnsi="Times New Roman" w:cs="Times New Roman"/>
        </w:rPr>
        <w:t>such as GIS monitoring, smart tourism tools, and digital visitor management systems</w:t>
      </w:r>
      <w:r w:rsidR="0057412C">
        <w:rPr>
          <w:rFonts w:ascii="Times New Roman" w:hAnsi="Times New Roman" w:cs="Times New Roman"/>
        </w:rPr>
        <w:t xml:space="preserve"> </w:t>
      </w:r>
      <w:r w:rsidRPr="003A414A">
        <w:rPr>
          <w:rFonts w:ascii="Times New Roman" w:hAnsi="Times New Roman" w:cs="Times New Roman"/>
        </w:rPr>
        <w:t>may enhance sustainability outcomes. Furthermore, the growing demand for responsible tourism indicates that sustainability is not only an ethical obligation but also a competitive advantage.</w:t>
      </w:r>
    </w:p>
    <w:p w14:paraId="6405DAD8" w14:textId="77777777" w:rsidR="003A414A" w:rsidRPr="002E0070" w:rsidRDefault="003A414A" w:rsidP="0015659C">
      <w:pPr>
        <w:spacing w:line="480" w:lineRule="auto"/>
        <w:rPr>
          <w:rFonts w:ascii="Times New Roman" w:hAnsi="Times New Roman" w:cs="Times New Roman"/>
        </w:rPr>
      </w:pPr>
    </w:p>
    <w:p w14:paraId="40DF56AD" w14:textId="77777777" w:rsidR="002E0070" w:rsidRDefault="002E0070" w:rsidP="0015659C">
      <w:pPr>
        <w:spacing w:line="480" w:lineRule="auto"/>
        <w:rPr>
          <w:rFonts w:ascii="Times New Roman" w:hAnsi="Times New Roman" w:cs="Times New Roman"/>
        </w:rPr>
      </w:pPr>
    </w:p>
    <w:p w14:paraId="5C15BC88" w14:textId="77777777" w:rsidR="0015659C" w:rsidRDefault="0015659C" w:rsidP="0015659C">
      <w:pPr>
        <w:spacing w:line="480" w:lineRule="auto"/>
        <w:rPr>
          <w:rFonts w:ascii="Times New Roman" w:hAnsi="Times New Roman" w:cs="Times New Roman"/>
        </w:rPr>
      </w:pPr>
    </w:p>
    <w:p w14:paraId="03511BD8" w14:textId="77777777" w:rsidR="0015659C" w:rsidRDefault="0015659C" w:rsidP="0015659C">
      <w:pPr>
        <w:spacing w:line="480" w:lineRule="auto"/>
        <w:rPr>
          <w:rFonts w:ascii="Times New Roman" w:hAnsi="Times New Roman" w:cs="Times New Roman"/>
        </w:rPr>
      </w:pPr>
    </w:p>
    <w:p w14:paraId="4D43039D" w14:textId="77777777" w:rsidR="0015659C" w:rsidRDefault="0015659C" w:rsidP="0015659C">
      <w:pPr>
        <w:spacing w:line="480" w:lineRule="auto"/>
        <w:rPr>
          <w:rFonts w:ascii="Times New Roman" w:hAnsi="Times New Roman" w:cs="Times New Roman"/>
        </w:rPr>
      </w:pPr>
    </w:p>
    <w:p w14:paraId="3B7FB4CF" w14:textId="77777777" w:rsidR="0015659C" w:rsidRDefault="0015659C" w:rsidP="0015659C">
      <w:pPr>
        <w:spacing w:line="480" w:lineRule="auto"/>
        <w:rPr>
          <w:rFonts w:ascii="Times New Roman" w:hAnsi="Times New Roman" w:cs="Times New Roman"/>
        </w:rPr>
      </w:pPr>
    </w:p>
    <w:p w14:paraId="47A56F4A" w14:textId="77777777" w:rsidR="0015659C" w:rsidRDefault="0015659C" w:rsidP="0015659C">
      <w:pPr>
        <w:spacing w:line="480" w:lineRule="auto"/>
        <w:rPr>
          <w:rFonts w:ascii="Times New Roman" w:hAnsi="Times New Roman" w:cs="Times New Roman"/>
        </w:rPr>
      </w:pPr>
    </w:p>
    <w:p w14:paraId="341B6FD9" w14:textId="77777777" w:rsidR="0015659C" w:rsidRDefault="0015659C" w:rsidP="0015659C">
      <w:pPr>
        <w:spacing w:line="480" w:lineRule="auto"/>
        <w:rPr>
          <w:rFonts w:ascii="Times New Roman" w:hAnsi="Times New Roman" w:cs="Times New Roman"/>
        </w:rPr>
      </w:pPr>
    </w:p>
    <w:p w14:paraId="2FB74051" w14:textId="77777777" w:rsidR="0015659C" w:rsidRDefault="0015659C" w:rsidP="0015659C">
      <w:pPr>
        <w:spacing w:line="480" w:lineRule="auto"/>
        <w:rPr>
          <w:rFonts w:ascii="Times New Roman" w:hAnsi="Times New Roman" w:cs="Times New Roman"/>
        </w:rPr>
      </w:pPr>
    </w:p>
    <w:p w14:paraId="65ECFAA9" w14:textId="77777777" w:rsidR="0015659C" w:rsidRDefault="0015659C" w:rsidP="0015659C">
      <w:pPr>
        <w:spacing w:line="480" w:lineRule="auto"/>
        <w:rPr>
          <w:rFonts w:ascii="Times New Roman" w:hAnsi="Times New Roman" w:cs="Times New Roman"/>
        </w:rPr>
      </w:pPr>
    </w:p>
    <w:p w14:paraId="2D6D512F" w14:textId="77777777" w:rsidR="00CB3009" w:rsidRPr="00CB3009" w:rsidRDefault="00CB3009" w:rsidP="00CB3009">
      <w:pPr>
        <w:spacing w:line="480" w:lineRule="auto"/>
        <w:rPr>
          <w:rFonts w:ascii="Times New Roman" w:hAnsi="Times New Roman" w:cs="Times New Roman"/>
          <w:b/>
          <w:bCs/>
        </w:rPr>
      </w:pPr>
      <w:r w:rsidRPr="00CB3009">
        <w:rPr>
          <w:rFonts w:ascii="Times New Roman" w:hAnsi="Times New Roman" w:cs="Times New Roman"/>
          <w:b/>
          <w:bCs/>
        </w:rPr>
        <w:lastRenderedPageBreak/>
        <w:t>6. Conclusion</w:t>
      </w:r>
    </w:p>
    <w:p w14:paraId="55D04972"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This report concludes that developing sustainable tourism spaces requires an integrated approach that balances environmental protection, economic development, and social well-being. The findings highlight that destinations cannot rely solely on economic gains while neglecting natural ecosystems or community interests. Sustainable tourism planning must therefore incorporate scientific conservation practices, community-based decision-making, inclusive economic models, and strong governance.</w:t>
      </w:r>
    </w:p>
    <w:p w14:paraId="329E7E4B"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Environmental conservation emerged as the foundation of sustainable tourism. Strategies such as carrying capacity assessment, environmental impact evaluations, and low-impact infrastructure ensure that tourism does not deplete natural resources or damage biodiversity. Destinations like Costa Rica and New Zealand demonstrate that ecosystem protection can coexist with thriving tourism economies.</w:t>
      </w:r>
    </w:p>
    <w:p w14:paraId="055FE1F6"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Social sustainability was also shown to be vital. Tourism spaces flourish when local communities are empowered, involved in planning processes, and able to benefit from tourism revenue. Cultural preservation, indigenous knowledge integration, and community-based tourism models strengthen social equity and support long-term participation.</w:t>
      </w:r>
    </w:p>
    <w:p w14:paraId="4A6C3E42"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Economic sustainability requires that tourism creates local value through job creation, small business development, and reduced revenue leakage. Examples from Bhutan and Slovenia confirm that prioritizing local suppliers, green certification, and high-value tourism strategies creates resilient, competitive tourism economies.</w:t>
      </w:r>
    </w:p>
    <w:p w14:paraId="359D440B"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Governance plays a crucial enabling role. Destinations with clear policies, long-term sustainability frameworks, and strong monitoring systems achieve better sustainability outcomes </w:t>
      </w:r>
      <w:r w:rsidRPr="00CB3009">
        <w:rPr>
          <w:rFonts w:ascii="Times New Roman" w:hAnsi="Times New Roman" w:cs="Times New Roman"/>
        </w:rPr>
        <w:lastRenderedPageBreak/>
        <w:t>than those without structured planning. Collaborative governance involving government agencies, private sectors, NGOs, and communities ensures equitable decision-making and accountability.</w:t>
      </w:r>
    </w:p>
    <w:p w14:paraId="6D481A35"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Overall, the conclusion emphasizes that sustainable tourism is not a single strategy but a long-term process requiring continuous monitoring, cross-sector collaboration, and adaptive management. By integrating environmental, economic, and social strategies, destinations can create tourism spaces that remain resilient, culturally vibrant, environmentally healthy, and economically beneficial for future generations.</w:t>
      </w:r>
    </w:p>
    <w:p w14:paraId="022256A6" w14:textId="34667E6A" w:rsidR="00CB3009" w:rsidRDefault="00CB3009" w:rsidP="00CB3009">
      <w:pPr>
        <w:spacing w:line="480" w:lineRule="auto"/>
        <w:rPr>
          <w:rFonts w:ascii="Times New Roman" w:hAnsi="Times New Roman" w:cs="Times New Roman"/>
        </w:rPr>
      </w:pPr>
    </w:p>
    <w:p w14:paraId="06342D13" w14:textId="77777777" w:rsidR="00CB3009" w:rsidRDefault="00CB3009" w:rsidP="00CB3009">
      <w:pPr>
        <w:spacing w:line="480" w:lineRule="auto"/>
        <w:rPr>
          <w:rFonts w:ascii="Times New Roman" w:hAnsi="Times New Roman" w:cs="Times New Roman"/>
        </w:rPr>
      </w:pPr>
    </w:p>
    <w:p w14:paraId="3457FBD1" w14:textId="77777777" w:rsidR="00CB3009" w:rsidRDefault="00CB3009" w:rsidP="00CB3009">
      <w:pPr>
        <w:spacing w:line="480" w:lineRule="auto"/>
        <w:rPr>
          <w:rFonts w:ascii="Times New Roman" w:hAnsi="Times New Roman" w:cs="Times New Roman"/>
        </w:rPr>
      </w:pPr>
    </w:p>
    <w:p w14:paraId="5C22F58E" w14:textId="77777777" w:rsidR="00CB3009" w:rsidRDefault="00CB3009" w:rsidP="00CB3009">
      <w:pPr>
        <w:spacing w:line="480" w:lineRule="auto"/>
        <w:rPr>
          <w:rFonts w:ascii="Times New Roman" w:hAnsi="Times New Roman" w:cs="Times New Roman"/>
        </w:rPr>
      </w:pPr>
    </w:p>
    <w:p w14:paraId="784C664F" w14:textId="77777777" w:rsidR="00CB3009" w:rsidRDefault="00CB3009" w:rsidP="00CB3009">
      <w:pPr>
        <w:spacing w:line="480" w:lineRule="auto"/>
        <w:rPr>
          <w:rFonts w:ascii="Times New Roman" w:hAnsi="Times New Roman" w:cs="Times New Roman"/>
        </w:rPr>
      </w:pPr>
    </w:p>
    <w:p w14:paraId="1948D7F9" w14:textId="77777777" w:rsidR="00CB3009" w:rsidRDefault="00CB3009" w:rsidP="00CB3009">
      <w:pPr>
        <w:spacing w:line="480" w:lineRule="auto"/>
        <w:rPr>
          <w:rFonts w:ascii="Times New Roman" w:hAnsi="Times New Roman" w:cs="Times New Roman"/>
        </w:rPr>
      </w:pPr>
    </w:p>
    <w:p w14:paraId="76098258" w14:textId="77777777" w:rsidR="00CB3009" w:rsidRDefault="00CB3009" w:rsidP="00CB3009">
      <w:pPr>
        <w:spacing w:line="480" w:lineRule="auto"/>
        <w:rPr>
          <w:rFonts w:ascii="Times New Roman" w:hAnsi="Times New Roman" w:cs="Times New Roman"/>
        </w:rPr>
      </w:pPr>
    </w:p>
    <w:p w14:paraId="031FFA17" w14:textId="77777777" w:rsidR="00CB3009" w:rsidRDefault="00CB3009" w:rsidP="00CB3009">
      <w:pPr>
        <w:spacing w:line="480" w:lineRule="auto"/>
        <w:rPr>
          <w:rFonts w:ascii="Times New Roman" w:hAnsi="Times New Roman" w:cs="Times New Roman"/>
        </w:rPr>
      </w:pPr>
    </w:p>
    <w:p w14:paraId="68A335AB" w14:textId="77777777" w:rsidR="00CB3009" w:rsidRDefault="00CB3009" w:rsidP="00CB3009">
      <w:pPr>
        <w:spacing w:line="480" w:lineRule="auto"/>
        <w:rPr>
          <w:rFonts w:ascii="Times New Roman" w:hAnsi="Times New Roman" w:cs="Times New Roman"/>
        </w:rPr>
      </w:pPr>
    </w:p>
    <w:p w14:paraId="607B349F" w14:textId="77777777" w:rsidR="00CB3009" w:rsidRDefault="00CB3009" w:rsidP="00CB3009">
      <w:pPr>
        <w:spacing w:line="480" w:lineRule="auto"/>
        <w:rPr>
          <w:rFonts w:ascii="Times New Roman" w:hAnsi="Times New Roman" w:cs="Times New Roman"/>
        </w:rPr>
      </w:pPr>
    </w:p>
    <w:p w14:paraId="6F2725DE" w14:textId="77777777" w:rsidR="00CB3009" w:rsidRDefault="00CB3009" w:rsidP="00CB3009">
      <w:pPr>
        <w:spacing w:line="480" w:lineRule="auto"/>
        <w:rPr>
          <w:rFonts w:ascii="Times New Roman" w:hAnsi="Times New Roman" w:cs="Times New Roman"/>
        </w:rPr>
      </w:pPr>
    </w:p>
    <w:p w14:paraId="1F18C9D8" w14:textId="77777777" w:rsidR="00CB3009" w:rsidRPr="00CB3009" w:rsidRDefault="00CB3009" w:rsidP="00CB3009">
      <w:pPr>
        <w:spacing w:line="480" w:lineRule="auto"/>
        <w:rPr>
          <w:rFonts w:ascii="Times New Roman" w:hAnsi="Times New Roman" w:cs="Times New Roman"/>
        </w:rPr>
      </w:pPr>
    </w:p>
    <w:p w14:paraId="7A62C74A" w14:textId="0BB133CE" w:rsidR="00CB3009" w:rsidRPr="00CB3009" w:rsidRDefault="00CB3009" w:rsidP="00CB3009">
      <w:pPr>
        <w:spacing w:line="480" w:lineRule="auto"/>
        <w:rPr>
          <w:rFonts w:ascii="Times New Roman" w:hAnsi="Times New Roman" w:cs="Times New Roman"/>
          <w:b/>
          <w:bCs/>
        </w:rPr>
      </w:pPr>
      <w:r w:rsidRPr="00CB3009">
        <w:rPr>
          <w:rFonts w:ascii="Times New Roman" w:hAnsi="Times New Roman" w:cs="Times New Roman"/>
          <w:b/>
          <w:bCs/>
        </w:rPr>
        <w:lastRenderedPageBreak/>
        <w:t xml:space="preserve">Reference List </w:t>
      </w:r>
    </w:p>
    <w:p w14:paraId="3A844970"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i/>
          <w:iCs/>
        </w:rPr>
        <w:t>(Alphabetically ordered — APA 7th Edition)</w:t>
      </w:r>
    </w:p>
    <w:p w14:paraId="0002194B"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Benson, S., &amp; Jackson, I. (2013). Environmental Impact Assessments and tourism development. </w:t>
      </w:r>
      <w:r w:rsidRPr="00CB3009">
        <w:rPr>
          <w:rFonts w:ascii="Times New Roman" w:hAnsi="Times New Roman" w:cs="Times New Roman"/>
          <w:i/>
          <w:iCs/>
        </w:rPr>
        <w:t>Journal of Environmental Planning and Management, 56</w:t>
      </w:r>
      <w:r w:rsidRPr="00CB3009">
        <w:rPr>
          <w:rFonts w:ascii="Times New Roman" w:hAnsi="Times New Roman" w:cs="Times New Roman"/>
        </w:rPr>
        <w:t>(6), 852–870. https://doi.org/10.1080/09640568.2012.708300</w:t>
      </w:r>
    </w:p>
    <w:p w14:paraId="6B911049"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Bramwell, B., &amp; Lane, B. (2011). Critical research on the governance of tourism and sustainability. </w:t>
      </w:r>
      <w:r w:rsidRPr="00CB3009">
        <w:rPr>
          <w:rFonts w:ascii="Times New Roman" w:hAnsi="Times New Roman" w:cs="Times New Roman"/>
          <w:i/>
          <w:iCs/>
        </w:rPr>
        <w:t>Journal of Sustainable Tourism, 19</w:t>
      </w:r>
      <w:r w:rsidRPr="00CB3009">
        <w:rPr>
          <w:rFonts w:ascii="Times New Roman" w:hAnsi="Times New Roman" w:cs="Times New Roman"/>
        </w:rPr>
        <w:t>(4–5), 411–421. https://doi.org/10.1080/09669582.2011.580586</w:t>
      </w:r>
    </w:p>
    <w:p w14:paraId="372AA9A5"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Buckley, R. (2012). Sustainable tourism: Research and reality. </w:t>
      </w:r>
      <w:r w:rsidRPr="00CB3009">
        <w:rPr>
          <w:rFonts w:ascii="Times New Roman" w:hAnsi="Times New Roman" w:cs="Times New Roman"/>
          <w:i/>
          <w:iCs/>
        </w:rPr>
        <w:t>Annals of Tourism Research, 39</w:t>
      </w:r>
      <w:r w:rsidRPr="00CB3009">
        <w:rPr>
          <w:rFonts w:ascii="Times New Roman" w:hAnsi="Times New Roman" w:cs="Times New Roman"/>
        </w:rPr>
        <w:t>(2), 528–546. https://doi.org/10.1016/j.annals.2012.02.003</w:t>
      </w:r>
    </w:p>
    <w:p w14:paraId="7ABB0092"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Creswell, J. W., &amp; </w:t>
      </w:r>
      <w:proofErr w:type="spellStart"/>
      <w:r w:rsidRPr="00CB3009">
        <w:rPr>
          <w:rFonts w:ascii="Times New Roman" w:hAnsi="Times New Roman" w:cs="Times New Roman"/>
        </w:rPr>
        <w:t>Poth</w:t>
      </w:r>
      <w:proofErr w:type="spellEnd"/>
      <w:r w:rsidRPr="00CB3009">
        <w:rPr>
          <w:rFonts w:ascii="Times New Roman" w:hAnsi="Times New Roman" w:cs="Times New Roman"/>
        </w:rPr>
        <w:t xml:space="preserve">, C. N. (2018). </w:t>
      </w:r>
      <w:r w:rsidRPr="00CB3009">
        <w:rPr>
          <w:rFonts w:ascii="Times New Roman" w:hAnsi="Times New Roman" w:cs="Times New Roman"/>
          <w:i/>
          <w:iCs/>
        </w:rPr>
        <w:t>Qualitative inquiry and research design</w:t>
      </w:r>
      <w:r w:rsidRPr="00CB3009">
        <w:rPr>
          <w:rFonts w:ascii="Times New Roman" w:hAnsi="Times New Roman" w:cs="Times New Roman"/>
        </w:rPr>
        <w:t xml:space="preserve"> (4th ed.). SAGE Publications.</w:t>
      </w:r>
    </w:p>
    <w:p w14:paraId="7311D4E0"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Elkington, J. (1998). </w:t>
      </w:r>
      <w:r w:rsidRPr="00CB3009">
        <w:rPr>
          <w:rFonts w:ascii="Times New Roman" w:hAnsi="Times New Roman" w:cs="Times New Roman"/>
          <w:i/>
          <w:iCs/>
        </w:rPr>
        <w:t>Cannibals with forks: The triple bottom line of 21st century business.</w:t>
      </w:r>
      <w:r w:rsidRPr="00CB3009">
        <w:rPr>
          <w:rFonts w:ascii="Times New Roman" w:hAnsi="Times New Roman" w:cs="Times New Roman"/>
        </w:rPr>
        <w:t xml:space="preserve"> New Society Publishers.</w:t>
      </w:r>
    </w:p>
    <w:p w14:paraId="0E208EB0" w14:textId="77777777" w:rsidR="00CB3009" w:rsidRPr="00CB3009" w:rsidRDefault="00CB3009" w:rsidP="00CB3009">
      <w:pPr>
        <w:spacing w:line="480" w:lineRule="auto"/>
        <w:rPr>
          <w:rFonts w:ascii="Times New Roman" w:hAnsi="Times New Roman" w:cs="Times New Roman"/>
        </w:rPr>
      </w:pPr>
      <w:proofErr w:type="spellStart"/>
      <w:r w:rsidRPr="00CB3009">
        <w:rPr>
          <w:rFonts w:ascii="Times New Roman" w:hAnsi="Times New Roman" w:cs="Times New Roman"/>
        </w:rPr>
        <w:t>Esparon</w:t>
      </w:r>
      <w:proofErr w:type="spellEnd"/>
      <w:r w:rsidRPr="00CB3009">
        <w:rPr>
          <w:rFonts w:ascii="Times New Roman" w:hAnsi="Times New Roman" w:cs="Times New Roman"/>
        </w:rPr>
        <w:t xml:space="preserve">, M., Gyuris, E., &amp; Stoeckl, N. (2014). Does high yield tourism maximize economic benefits? </w:t>
      </w:r>
      <w:r w:rsidRPr="00CB3009">
        <w:rPr>
          <w:rFonts w:ascii="Times New Roman" w:hAnsi="Times New Roman" w:cs="Times New Roman"/>
          <w:i/>
          <w:iCs/>
        </w:rPr>
        <w:t>Journal of Sustainable Tourism, 22</w:t>
      </w:r>
      <w:r w:rsidRPr="00CB3009">
        <w:rPr>
          <w:rFonts w:ascii="Times New Roman" w:hAnsi="Times New Roman" w:cs="Times New Roman"/>
        </w:rPr>
        <w:t>(1), 129–144. https://doi.org/10.1080/09669582.2013.809092</w:t>
      </w:r>
    </w:p>
    <w:p w14:paraId="120EAC6A"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Goodwin, H., &amp; Santilli, R. (2009). Community-based tourism: A success? </w:t>
      </w:r>
      <w:r w:rsidRPr="00CB3009">
        <w:rPr>
          <w:rFonts w:ascii="Times New Roman" w:hAnsi="Times New Roman" w:cs="Times New Roman"/>
          <w:i/>
          <w:iCs/>
        </w:rPr>
        <w:t>ICRT Occasional Paper, 11</w:t>
      </w:r>
      <w:r w:rsidRPr="00CB3009">
        <w:rPr>
          <w:rFonts w:ascii="Times New Roman" w:hAnsi="Times New Roman" w:cs="Times New Roman"/>
        </w:rPr>
        <w:t>, 1–37.</w:t>
      </w:r>
    </w:p>
    <w:p w14:paraId="57F91401"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Hall, C. M. (2011). Policy learning and policy failure in sustainable tourism governance. </w:t>
      </w:r>
      <w:r w:rsidRPr="00CB3009">
        <w:rPr>
          <w:rFonts w:ascii="Times New Roman" w:hAnsi="Times New Roman" w:cs="Times New Roman"/>
          <w:i/>
          <w:iCs/>
        </w:rPr>
        <w:t>Journal of Sustainable Tourism, 19</w:t>
      </w:r>
      <w:r w:rsidRPr="00CB3009">
        <w:rPr>
          <w:rFonts w:ascii="Times New Roman" w:hAnsi="Times New Roman" w:cs="Times New Roman"/>
        </w:rPr>
        <w:t>(4–5), 649–671. https://doi.org/10.1080/09669582.2011.615148</w:t>
      </w:r>
    </w:p>
    <w:p w14:paraId="09815EBB"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lastRenderedPageBreak/>
        <w:t xml:space="preserve">Honey, M. (2008). </w:t>
      </w:r>
      <w:r w:rsidRPr="00CB3009">
        <w:rPr>
          <w:rFonts w:ascii="Times New Roman" w:hAnsi="Times New Roman" w:cs="Times New Roman"/>
          <w:i/>
          <w:iCs/>
        </w:rPr>
        <w:t>Ecotourism and sustainable development: Who owns paradise?</w:t>
      </w:r>
      <w:r w:rsidRPr="00CB3009">
        <w:rPr>
          <w:rFonts w:ascii="Times New Roman" w:hAnsi="Times New Roman" w:cs="Times New Roman"/>
        </w:rPr>
        <w:t xml:space="preserve"> (2nd ed.). Island Press.</w:t>
      </w:r>
    </w:p>
    <w:p w14:paraId="431BE2C8"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Lane, B. (2009). Thirty years of sustainable tourism: Drivers, trends and changes. </w:t>
      </w:r>
      <w:r w:rsidRPr="00CB3009">
        <w:rPr>
          <w:rFonts w:ascii="Times New Roman" w:hAnsi="Times New Roman" w:cs="Times New Roman"/>
          <w:i/>
          <w:iCs/>
        </w:rPr>
        <w:t>Tourism Recreation Research, 34</w:t>
      </w:r>
      <w:r w:rsidRPr="00CB3009">
        <w:rPr>
          <w:rFonts w:ascii="Times New Roman" w:hAnsi="Times New Roman" w:cs="Times New Roman"/>
        </w:rPr>
        <w:t>(1), 15–27. https://doi.org/10.1080/02508281.2009.11081583</w:t>
      </w:r>
    </w:p>
    <w:p w14:paraId="1FD7EB00" w14:textId="77777777" w:rsidR="00CB3009" w:rsidRPr="00CB3009" w:rsidRDefault="00CB3009" w:rsidP="00CB3009">
      <w:pPr>
        <w:spacing w:line="480" w:lineRule="auto"/>
        <w:rPr>
          <w:rFonts w:ascii="Times New Roman" w:hAnsi="Times New Roman" w:cs="Times New Roman"/>
        </w:rPr>
      </w:pPr>
      <w:proofErr w:type="spellStart"/>
      <w:r w:rsidRPr="00CB3009">
        <w:rPr>
          <w:rFonts w:ascii="Times New Roman" w:hAnsi="Times New Roman" w:cs="Times New Roman"/>
        </w:rPr>
        <w:t>Moscardo</w:t>
      </w:r>
      <w:proofErr w:type="spellEnd"/>
      <w:r w:rsidRPr="00CB3009">
        <w:rPr>
          <w:rFonts w:ascii="Times New Roman" w:hAnsi="Times New Roman" w:cs="Times New Roman"/>
        </w:rPr>
        <w:t xml:space="preserve">, G. (2014). Tourism and community leadership in rural regions: Linking leadership practice and sustainable tourism. </w:t>
      </w:r>
      <w:r w:rsidRPr="00CB3009">
        <w:rPr>
          <w:rFonts w:ascii="Times New Roman" w:hAnsi="Times New Roman" w:cs="Times New Roman"/>
          <w:i/>
          <w:iCs/>
        </w:rPr>
        <w:t>Tourism Management, 40</w:t>
      </w:r>
      <w:r w:rsidRPr="00CB3009">
        <w:rPr>
          <w:rFonts w:ascii="Times New Roman" w:hAnsi="Times New Roman" w:cs="Times New Roman"/>
        </w:rPr>
        <w:t>, 1–9. https://doi.org/10.1016/j.tourman.2013.04.003</w:t>
      </w:r>
    </w:p>
    <w:p w14:paraId="395F1865" w14:textId="77777777" w:rsidR="00CB3009" w:rsidRPr="00CB3009" w:rsidRDefault="00CB3009" w:rsidP="00CB3009">
      <w:pPr>
        <w:spacing w:line="480" w:lineRule="auto"/>
        <w:rPr>
          <w:rFonts w:ascii="Times New Roman" w:hAnsi="Times New Roman" w:cs="Times New Roman"/>
        </w:rPr>
      </w:pPr>
      <w:proofErr w:type="spellStart"/>
      <w:r w:rsidRPr="00CB3009">
        <w:rPr>
          <w:rFonts w:ascii="Times New Roman" w:hAnsi="Times New Roman" w:cs="Times New Roman"/>
        </w:rPr>
        <w:t>Saveriades</w:t>
      </w:r>
      <w:proofErr w:type="spellEnd"/>
      <w:r w:rsidRPr="00CB3009">
        <w:rPr>
          <w:rFonts w:ascii="Times New Roman" w:hAnsi="Times New Roman" w:cs="Times New Roman"/>
        </w:rPr>
        <w:t xml:space="preserve">, A. (2000). Establishing the social tourism carrying capacity for coastal destinations. </w:t>
      </w:r>
      <w:r w:rsidRPr="00CB3009">
        <w:rPr>
          <w:rFonts w:ascii="Times New Roman" w:hAnsi="Times New Roman" w:cs="Times New Roman"/>
          <w:i/>
          <w:iCs/>
        </w:rPr>
        <w:t>Tourism Management, 21</w:t>
      </w:r>
      <w:r w:rsidRPr="00CB3009">
        <w:rPr>
          <w:rFonts w:ascii="Times New Roman" w:hAnsi="Times New Roman" w:cs="Times New Roman"/>
        </w:rPr>
        <w:t>(2), 147–156. https://doi.org/10.1016/S0261-5177(99)00044-8</w:t>
      </w:r>
    </w:p>
    <w:p w14:paraId="1037B9C7"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Sharpley, R. (2020). Tourism, sustainable development and the theoretical divide. </w:t>
      </w:r>
      <w:r w:rsidRPr="00CB3009">
        <w:rPr>
          <w:rFonts w:ascii="Times New Roman" w:hAnsi="Times New Roman" w:cs="Times New Roman"/>
          <w:i/>
          <w:iCs/>
        </w:rPr>
        <w:t>Journal of Sustainable Tourism, 28</w:t>
      </w:r>
      <w:r w:rsidRPr="00CB3009">
        <w:rPr>
          <w:rFonts w:ascii="Times New Roman" w:hAnsi="Times New Roman" w:cs="Times New Roman"/>
        </w:rPr>
        <w:t>(2), 193–211. https://doi.org/10.1080/09669582.2019.1677359</w:t>
      </w:r>
    </w:p>
    <w:p w14:paraId="44DECE06"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Slovenia Tourist Board. (2020). </w:t>
      </w:r>
      <w:r w:rsidRPr="00CB3009">
        <w:rPr>
          <w:rFonts w:ascii="Times New Roman" w:hAnsi="Times New Roman" w:cs="Times New Roman"/>
          <w:i/>
          <w:iCs/>
        </w:rPr>
        <w:t>Green Destination Certification Report.</w:t>
      </w:r>
      <w:r w:rsidRPr="00CB3009">
        <w:rPr>
          <w:rFonts w:ascii="Times New Roman" w:hAnsi="Times New Roman" w:cs="Times New Roman"/>
        </w:rPr>
        <w:t xml:space="preserve"> Ljubljana, Slovenia.</w:t>
      </w:r>
    </w:p>
    <w:p w14:paraId="3292A801"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Torres, R., &amp; Momsen, J. (2011). Tourism and local development in Mexico. </w:t>
      </w:r>
      <w:r w:rsidRPr="00CB3009">
        <w:rPr>
          <w:rFonts w:ascii="Times New Roman" w:hAnsi="Times New Roman" w:cs="Times New Roman"/>
          <w:i/>
          <w:iCs/>
        </w:rPr>
        <w:t>Annals of Tourism Research, 38</w:t>
      </w:r>
      <w:r w:rsidRPr="00CB3009">
        <w:rPr>
          <w:rFonts w:ascii="Times New Roman" w:hAnsi="Times New Roman" w:cs="Times New Roman"/>
        </w:rPr>
        <w:t>(2), 580–600. https://doi.org/10.1016/j.annals.2010.10.001</w:t>
      </w:r>
    </w:p>
    <w:p w14:paraId="3F43F073"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UNWTO. (2020). </w:t>
      </w:r>
      <w:r w:rsidRPr="00CB3009">
        <w:rPr>
          <w:rFonts w:ascii="Times New Roman" w:hAnsi="Times New Roman" w:cs="Times New Roman"/>
          <w:i/>
          <w:iCs/>
        </w:rPr>
        <w:t>Tourism for Sustainable Development Goals (SDGs).</w:t>
      </w:r>
      <w:r w:rsidRPr="00CB3009">
        <w:rPr>
          <w:rFonts w:ascii="Times New Roman" w:hAnsi="Times New Roman" w:cs="Times New Roman"/>
        </w:rPr>
        <w:t xml:space="preserve"> World Tourism Organization.</w:t>
      </w:r>
    </w:p>
    <w:p w14:paraId="2C6C4D8F"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Weaver, D. (2006). </w:t>
      </w:r>
      <w:r w:rsidRPr="00CB3009">
        <w:rPr>
          <w:rFonts w:ascii="Times New Roman" w:hAnsi="Times New Roman" w:cs="Times New Roman"/>
          <w:i/>
          <w:iCs/>
        </w:rPr>
        <w:t>Sustainable tourism: Theory and practice.</w:t>
      </w:r>
      <w:r w:rsidRPr="00CB3009">
        <w:rPr>
          <w:rFonts w:ascii="Times New Roman" w:hAnsi="Times New Roman" w:cs="Times New Roman"/>
        </w:rPr>
        <w:t xml:space="preserve"> Routledge.</w:t>
      </w:r>
    </w:p>
    <w:p w14:paraId="51E8425C"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WTTC. (2022). </w:t>
      </w:r>
      <w:r w:rsidRPr="00CB3009">
        <w:rPr>
          <w:rFonts w:ascii="Times New Roman" w:hAnsi="Times New Roman" w:cs="Times New Roman"/>
          <w:i/>
          <w:iCs/>
        </w:rPr>
        <w:t>Travel &amp; Tourism Economic Impact Report 2022.</w:t>
      </w:r>
      <w:r w:rsidRPr="00CB3009">
        <w:rPr>
          <w:rFonts w:ascii="Times New Roman" w:hAnsi="Times New Roman" w:cs="Times New Roman"/>
        </w:rPr>
        <w:t xml:space="preserve"> World Travel &amp; Tourism Council.</w:t>
      </w:r>
    </w:p>
    <w:p w14:paraId="5646B456"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Zamfir, A., &amp; </w:t>
      </w:r>
      <w:proofErr w:type="spellStart"/>
      <w:r w:rsidRPr="00CB3009">
        <w:rPr>
          <w:rFonts w:ascii="Times New Roman" w:hAnsi="Times New Roman" w:cs="Times New Roman"/>
        </w:rPr>
        <w:t>Corbos</w:t>
      </w:r>
      <w:proofErr w:type="spellEnd"/>
      <w:r w:rsidRPr="00CB3009">
        <w:rPr>
          <w:rFonts w:ascii="Times New Roman" w:hAnsi="Times New Roman" w:cs="Times New Roman"/>
        </w:rPr>
        <w:t xml:space="preserve">, R. (2015). Towards sustainable tourism development in urban areas. </w:t>
      </w:r>
      <w:r w:rsidRPr="00CB3009">
        <w:rPr>
          <w:rFonts w:ascii="Times New Roman" w:hAnsi="Times New Roman" w:cs="Times New Roman"/>
          <w:i/>
          <w:iCs/>
        </w:rPr>
        <w:t>Journal of Sustainable Development, 8</w:t>
      </w:r>
      <w:r w:rsidRPr="00CB3009">
        <w:rPr>
          <w:rFonts w:ascii="Times New Roman" w:hAnsi="Times New Roman" w:cs="Times New Roman"/>
        </w:rPr>
        <w:t>(9), 183–198. https://doi.org/10.5539/jsd.v8n9p183</w:t>
      </w:r>
    </w:p>
    <w:p w14:paraId="71813D2D"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lastRenderedPageBreak/>
        <w:t xml:space="preserve">Buckley, R., </w:t>
      </w:r>
      <w:proofErr w:type="spellStart"/>
      <w:r w:rsidRPr="00CB3009">
        <w:rPr>
          <w:rFonts w:ascii="Times New Roman" w:hAnsi="Times New Roman" w:cs="Times New Roman"/>
        </w:rPr>
        <w:t>Gretzel</w:t>
      </w:r>
      <w:proofErr w:type="spellEnd"/>
      <w:r w:rsidRPr="00CB3009">
        <w:rPr>
          <w:rFonts w:ascii="Times New Roman" w:hAnsi="Times New Roman" w:cs="Times New Roman"/>
        </w:rPr>
        <w:t xml:space="preserve">, U., Scott, D., Weaver, D., &amp; Becken, S. (2015). Tourism megatrends. </w:t>
      </w:r>
      <w:r w:rsidRPr="00CB3009">
        <w:rPr>
          <w:rFonts w:ascii="Times New Roman" w:hAnsi="Times New Roman" w:cs="Times New Roman"/>
          <w:i/>
          <w:iCs/>
        </w:rPr>
        <w:t>Journal of Tourism Futures, 1</w:t>
      </w:r>
      <w:r w:rsidRPr="00CB3009">
        <w:rPr>
          <w:rFonts w:ascii="Times New Roman" w:hAnsi="Times New Roman" w:cs="Times New Roman"/>
        </w:rPr>
        <w:t>(1), 1–14. https://doi.org/10.1108/JTF-12-2014-0003</w:t>
      </w:r>
    </w:p>
    <w:p w14:paraId="292F79D3" w14:textId="77777777" w:rsidR="0015659C" w:rsidRPr="002E0070" w:rsidRDefault="0015659C" w:rsidP="0015659C">
      <w:pPr>
        <w:spacing w:line="480" w:lineRule="auto"/>
        <w:rPr>
          <w:rFonts w:ascii="Times New Roman" w:hAnsi="Times New Roman" w:cs="Times New Roman"/>
        </w:rPr>
      </w:pPr>
    </w:p>
    <w:sectPr w:rsidR="0015659C" w:rsidRPr="002E00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77811"/>
    <w:multiLevelType w:val="multilevel"/>
    <w:tmpl w:val="DF9A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B23146"/>
    <w:multiLevelType w:val="multilevel"/>
    <w:tmpl w:val="F8A4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F6C7D"/>
    <w:multiLevelType w:val="multilevel"/>
    <w:tmpl w:val="A2EC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D51D6"/>
    <w:multiLevelType w:val="multilevel"/>
    <w:tmpl w:val="8DC08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4468629">
    <w:abstractNumId w:val="1"/>
  </w:num>
  <w:num w:numId="2" w16cid:durableId="1905412386">
    <w:abstractNumId w:val="4"/>
  </w:num>
  <w:num w:numId="3" w16cid:durableId="876426998">
    <w:abstractNumId w:val="2"/>
  </w:num>
  <w:num w:numId="4" w16cid:durableId="341708030">
    <w:abstractNumId w:val="0"/>
  </w:num>
  <w:num w:numId="5" w16cid:durableId="328170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070"/>
    <w:rsid w:val="0015659C"/>
    <w:rsid w:val="002E0070"/>
    <w:rsid w:val="003A414A"/>
    <w:rsid w:val="0040518D"/>
    <w:rsid w:val="0057412C"/>
    <w:rsid w:val="00BD0569"/>
    <w:rsid w:val="00CB300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F3458"/>
  <w15:chartTrackingRefBased/>
  <w15:docId w15:val="{2467AA8B-8D6A-42F2-9D19-20D2B734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07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E007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E007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E00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0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0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0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0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0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07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E007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E007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E00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0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0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0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0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070"/>
    <w:rPr>
      <w:rFonts w:eastAsiaTheme="majorEastAsia" w:cstheme="majorBidi"/>
      <w:color w:val="272727" w:themeColor="text1" w:themeTint="D8"/>
    </w:rPr>
  </w:style>
  <w:style w:type="paragraph" w:styleId="Title">
    <w:name w:val="Title"/>
    <w:basedOn w:val="Normal"/>
    <w:next w:val="Normal"/>
    <w:link w:val="TitleChar"/>
    <w:uiPriority w:val="10"/>
    <w:qFormat/>
    <w:rsid w:val="002E007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E007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E007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E007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E0070"/>
    <w:pPr>
      <w:spacing w:before="160"/>
      <w:jc w:val="center"/>
    </w:pPr>
    <w:rPr>
      <w:i/>
      <w:iCs/>
      <w:color w:val="404040" w:themeColor="text1" w:themeTint="BF"/>
    </w:rPr>
  </w:style>
  <w:style w:type="character" w:customStyle="1" w:styleId="QuoteChar">
    <w:name w:val="Quote Char"/>
    <w:basedOn w:val="DefaultParagraphFont"/>
    <w:link w:val="Quote"/>
    <w:uiPriority w:val="29"/>
    <w:rsid w:val="002E0070"/>
    <w:rPr>
      <w:i/>
      <w:iCs/>
      <w:color w:val="404040" w:themeColor="text1" w:themeTint="BF"/>
    </w:rPr>
  </w:style>
  <w:style w:type="paragraph" w:styleId="ListParagraph">
    <w:name w:val="List Paragraph"/>
    <w:basedOn w:val="Normal"/>
    <w:uiPriority w:val="34"/>
    <w:qFormat/>
    <w:rsid w:val="002E0070"/>
    <w:pPr>
      <w:ind w:left="720"/>
      <w:contextualSpacing/>
    </w:pPr>
  </w:style>
  <w:style w:type="character" w:styleId="IntenseEmphasis">
    <w:name w:val="Intense Emphasis"/>
    <w:basedOn w:val="DefaultParagraphFont"/>
    <w:uiPriority w:val="21"/>
    <w:qFormat/>
    <w:rsid w:val="002E0070"/>
    <w:rPr>
      <w:i/>
      <w:iCs/>
      <w:color w:val="0F4761" w:themeColor="accent1" w:themeShade="BF"/>
    </w:rPr>
  </w:style>
  <w:style w:type="paragraph" w:styleId="IntenseQuote">
    <w:name w:val="Intense Quote"/>
    <w:basedOn w:val="Normal"/>
    <w:next w:val="Normal"/>
    <w:link w:val="IntenseQuoteChar"/>
    <w:uiPriority w:val="30"/>
    <w:qFormat/>
    <w:rsid w:val="002E00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070"/>
    <w:rPr>
      <w:i/>
      <w:iCs/>
      <w:color w:val="0F4761" w:themeColor="accent1" w:themeShade="BF"/>
    </w:rPr>
  </w:style>
  <w:style w:type="character" w:styleId="IntenseReference">
    <w:name w:val="Intense Reference"/>
    <w:basedOn w:val="DefaultParagraphFont"/>
    <w:uiPriority w:val="32"/>
    <w:qFormat/>
    <w:rsid w:val="002E0070"/>
    <w:rPr>
      <w:b/>
      <w:bCs/>
      <w:smallCaps/>
      <w:color w:val="0F4761" w:themeColor="accent1" w:themeShade="BF"/>
      <w:spacing w:val="5"/>
    </w:rPr>
  </w:style>
  <w:style w:type="character" w:styleId="Hyperlink">
    <w:name w:val="Hyperlink"/>
    <w:basedOn w:val="DefaultParagraphFont"/>
    <w:uiPriority w:val="99"/>
    <w:unhideWhenUsed/>
    <w:rsid w:val="0015659C"/>
    <w:rPr>
      <w:color w:val="467886" w:themeColor="hyperlink"/>
      <w:u w:val="single"/>
    </w:rPr>
  </w:style>
  <w:style w:type="paragraph" w:styleId="TOC1">
    <w:name w:val="toc 1"/>
    <w:basedOn w:val="Normal"/>
    <w:next w:val="Normal"/>
    <w:autoRedefine/>
    <w:uiPriority w:val="39"/>
    <w:unhideWhenUsed/>
    <w:rsid w:val="0015659C"/>
    <w:pPr>
      <w:spacing w:after="100" w:line="259" w:lineRule="auto"/>
    </w:pPr>
    <w:rPr>
      <w:rFonts w:eastAsiaTheme="minorEastAsia" w:cs="Times New Roman"/>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4605</Words>
  <Characters>26254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2025-11-29T06:49:00Z</dcterms:created>
  <dcterms:modified xsi:type="dcterms:W3CDTF">2025-11-29T06:49:00Z</dcterms:modified>
</cp:coreProperties>
</file>