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F382F"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C0B44B4" w14:textId="77777777" w:rsidR="00672345" w:rsidRPr="0019504D" w:rsidRDefault="00672345" w:rsidP="00672345">
      <w:pPr>
        <w:rPr>
          <w:b/>
          <w:bCs/>
          <w:lang w:val="en-US"/>
        </w:rPr>
      </w:pPr>
      <w:r>
        <w:rPr>
          <w:b/>
          <w:bCs/>
          <w:lang w:val="en-US"/>
        </w:rPr>
        <w:t xml:space="preserve">Cultural Heritage Management </w:t>
      </w:r>
    </w:p>
    <w:p w14:paraId="0757A13C"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47D12761"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3DE09100" w14:textId="77777777" w:rsidR="00672345" w:rsidRDefault="00672345"/>
    <w:p w14:paraId="6B2781E4" w14:textId="77777777" w:rsidR="00672345" w:rsidRDefault="00672345"/>
    <w:p w14:paraId="65AF0050" w14:textId="77777777" w:rsidR="00672345" w:rsidRDefault="00672345"/>
    <w:p w14:paraId="05ABD9E7" w14:textId="77777777" w:rsidR="00672345" w:rsidRDefault="00672345"/>
    <w:p w14:paraId="2CD3286B" w14:textId="77777777" w:rsidR="00672345" w:rsidRDefault="00672345"/>
    <w:p w14:paraId="3BC25EDF" w14:textId="77777777" w:rsidR="00672345" w:rsidRDefault="00672345"/>
    <w:p w14:paraId="2ABE6E39" w14:textId="77777777" w:rsidR="00672345" w:rsidRDefault="00672345"/>
    <w:p w14:paraId="6697590C" w14:textId="77777777" w:rsidR="00672345" w:rsidRDefault="00672345"/>
    <w:p w14:paraId="5740011E" w14:textId="77777777" w:rsidR="00672345" w:rsidRDefault="00672345"/>
    <w:p w14:paraId="4D77BAFB" w14:textId="77777777" w:rsidR="00672345" w:rsidRDefault="00672345"/>
    <w:p w14:paraId="054D1C48" w14:textId="77777777" w:rsidR="00672345" w:rsidRDefault="00672345"/>
    <w:p w14:paraId="7A42BB9D" w14:textId="77777777" w:rsidR="00672345" w:rsidRDefault="00672345"/>
    <w:p w14:paraId="6D245E7C" w14:textId="77777777" w:rsidR="00672345" w:rsidRDefault="00672345"/>
    <w:p w14:paraId="27499CFB"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4E180C3E" w14:textId="77777777" w:rsidR="00016EE8" w:rsidRDefault="00016EE8" w:rsidP="00016EE8">
      <w:pPr>
        <w:rPr>
          <w:lang w:val="en-US"/>
        </w:rPr>
      </w:pPr>
    </w:p>
    <w:p w14:paraId="0B9A962C"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447FBBD3"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73555D13" w14:textId="77777777" w:rsidR="005E1FD5" w:rsidRPr="005E1FD5" w:rsidRDefault="005E1FD5" w:rsidP="005E1FD5">
      <w:pPr>
        <w:spacing w:line="276" w:lineRule="auto"/>
        <w:rPr>
          <w:lang w:val="en-US"/>
        </w:rPr>
      </w:pPr>
    </w:p>
    <w:p w14:paraId="2CE0906C"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3E115614"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3A2004BF"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7962F829"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2E0A139A" w14:textId="6CD9A9AA" w:rsidR="00DA3E04" w:rsidRDefault="005E1FD5" w:rsidP="00DA3E04">
      <w:pPr>
        <w:pStyle w:val="ListParagraph"/>
        <w:numPr>
          <w:ilvl w:val="0"/>
          <w:numId w:val="9"/>
        </w:numPr>
        <w:spacing w:line="276" w:lineRule="auto"/>
        <w:rPr>
          <w:lang w:val="en-US"/>
        </w:rPr>
      </w:pPr>
      <w:r w:rsidRPr="005E1FD5">
        <w:rPr>
          <w:lang w:val="en-US"/>
        </w:rPr>
        <w:t>Possible mitigation measures</w:t>
      </w:r>
    </w:p>
    <w:p w14:paraId="6A4B7D76" w14:textId="77777777" w:rsidR="00DA3E04" w:rsidRDefault="00DA3E04" w:rsidP="00DA3E04">
      <w:pPr>
        <w:pStyle w:val="ListParagraph"/>
        <w:spacing w:line="276" w:lineRule="auto"/>
        <w:ind w:left="0"/>
        <w:rPr>
          <w:lang w:val="en-US"/>
        </w:rPr>
      </w:pPr>
    </w:p>
    <w:p w14:paraId="74F150E6" w14:textId="77777777" w:rsidR="00DA3E04" w:rsidRDefault="00DA3E04" w:rsidP="00DA3E04">
      <w:pPr>
        <w:pStyle w:val="ListParagraph"/>
        <w:spacing w:line="276" w:lineRule="auto"/>
        <w:ind w:left="0"/>
        <w:rPr>
          <w:lang w:val="en-US"/>
        </w:rPr>
      </w:pPr>
    </w:p>
    <w:p w14:paraId="31A26354" w14:textId="77777777" w:rsidR="00DA3E04" w:rsidRDefault="00DA3E04" w:rsidP="00DA3E04">
      <w:pPr>
        <w:pStyle w:val="ListParagraph"/>
        <w:spacing w:line="276" w:lineRule="auto"/>
        <w:ind w:left="0"/>
        <w:rPr>
          <w:lang w:val="en-US"/>
        </w:rPr>
      </w:pPr>
    </w:p>
    <w:p w14:paraId="6E75AEEF" w14:textId="77777777" w:rsidR="00DA3E04" w:rsidRDefault="00DA3E04" w:rsidP="00DA3E04">
      <w:pPr>
        <w:pStyle w:val="ListParagraph"/>
        <w:spacing w:line="276" w:lineRule="auto"/>
        <w:ind w:left="0"/>
        <w:rPr>
          <w:lang w:val="en-US"/>
        </w:rPr>
      </w:pPr>
    </w:p>
    <w:p w14:paraId="240DFE5F" w14:textId="77777777" w:rsidR="00DA3E04" w:rsidRDefault="00DA3E04" w:rsidP="00DA3E04">
      <w:pPr>
        <w:pStyle w:val="ListParagraph"/>
        <w:spacing w:line="276" w:lineRule="auto"/>
        <w:ind w:left="0"/>
        <w:rPr>
          <w:lang w:val="en-US"/>
        </w:rPr>
      </w:pPr>
    </w:p>
    <w:p w14:paraId="19C41367" w14:textId="77777777" w:rsidR="00DA3E04" w:rsidRDefault="00DA3E04" w:rsidP="00DA3E04">
      <w:pPr>
        <w:pStyle w:val="ListParagraph"/>
        <w:spacing w:line="276" w:lineRule="auto"/>
        <w:ind w:left="0"/>
        <w:rPr>
          <w:lang w:val="en-US"/>
        </w:rPr>
      </w:pPr>
    </w:p>
    <w:p w14:paraId="4D812FF0" w14:textId="77777777" w:rsidR="00DA3E04" w:rsidRDefault="00DA3E04" w:rsidP="00DA3E04">
      <w:pPr>
        <w:pStyle w:val="ListParagraph"/>
        <w:spacing w:line="276" w:lineRule="auto"/>
        <w:ind w:left="0"/>
        <w:rPr>
          <w:lang w:val="en-US"/>
        </w:rPr>
      </w:pPr>
    </w:p>
    <w:p w14:paraId="069A4A97" w14:textId="77777777" w:rsidR="00DA3E04" w:rsidRDefault="00DA3E04" w:rsidP="00DA3E04">
      <w:pPr>
        <w:pStyle w:val="ListParagraph"/>
        <w:spacing w:line="276" w:lineRule="auto"/>
        <w:ind w:left="0"/>
        <w:rPr>
          <w:lang w:val="en-US"/>
        </w:rPr>
      </w:pPr>
    </w:p>
    <w:p w14:paraId="012D8393" w14:textId="77777777" w:rsidR="00DA3E04" w:rsidRDefault="00DA3E04" w:rsidP="00DA3E04">
      <w:pPr>
        <w:pStyle w:val="ListParagraph"/>
        <w:spacing w:line="276" w:lineRule="auto"/>
        <w:ind w:left="0"/>
        <w:rPr>
          <w:lang w:val="en-US"/>
        </w:rPr>
      </w:pPr>
    </w:p>
    <w:p w14:paraId="627BEF2B" w14:textId="77777777" w:rsidR="00DA3E04" w:rsidRDefault="00DA3E04" w:rsidP="00DA3E04">
      <w:pPr>
        <w:pStyle w:val="ListParagraph"/>
        <w:spacing w:line="276" w:lineRule="auto"/>
        <w:ind w:left="0"/>
        <w:rPr>
          <w:lang w:val="en-US"/>
        </w:rPr>
      </w:pPr>
    </w:p>
    <w:p w14:paraId="7393F48F" w14:textId="77777777" w:rsidR="00DA3E04" w:rsidRDefault="00DA3E04" w:rsidP="00DA3E04">
      <w:pPr>
        <w:pStyle w:val="ListParagraph"/>
        <w:spacing w:line="276" w:lineRule="auto"/>
        <w:ind w:left="0"/>
        <w:rPr>
          <w:lang w:val="en-US"/>
        </w:rPr>
      </w:pPr>
    </w:p>
    <w:p w14:paraId="198A9018" w14:textId="77777777" w:rsidR="00DA3E04" w:rsidRDefault="00DA3E04" w:rsidP="00DA3E04">
      <w:pPr>
        <w:pStyle w:val="ListParagraph"/>
        <w:spacing w:line="276" w:lineRule="auto"/>
        <w:ind w:left="0"/>
        <w:rPr>
          <w:lang w:val="en-US"/>
        </w:rPr>
      </w:pPr>
    </w:p>
    <w:p w14:paraId="24A8243E" w14:textId="77777777" w:rsidR="00DA3E04" w:rsidRDefault="00DA3E04" w:rsidP="00DA3E04">
      <w:pPr>
        <w:pStyle w:val="ListParagraph"/>
        <w:spacing w:line="276" w:lineRule="auto"/>
        <w:ind w:left="0"/>
        <w:rPr>
          <w:lang w:val="en-US"/>
        </w:rPr>
      </w:pPr>
    </w:p>
    <w:p w14:paraId="01EDDB46" w14:textId="77777777" w:rsidR="00DA3E04" w:rsidRDefault="00DA3E04" w:rsidP="00DA3E04">
      <w:pPr>
        <w:pStyle w:val="ListParagraph"/>
        <w:spacing w:line="276" w:lineRule="auto"/>
        <w:ind w:left="0"/>
        <w:rPr>
          <w:lang w:val="en-US"/>
        </w:rPr>
      </w:pPr>
    </w:p>
    <w:p w14:paraId="64409A94" w14:textId="77777777" w:rsidR="00DA3E04" w:rsidRDefault="00DA3E04" w:rsidP="00DA3E04">
      <w:pPr>
        <w:pStyle w:val="ListParagraph"/>
        <w:spacing w:line="276" w:lineRule="auto"/>
        <w:ind w:left="0"/>
        <w:rPr>
          <w:lang w:val="en-US"/>
        </w:rPr>
      </w:pPr>
    </w:p>
    <w:p w14:paraId="7B4C3EB5" w14:textId="77777777" w:rsidR="00DA3E04" w:rsidRDefault="00DA3E04" w:rsidP="00DA3E04">
      <w:pPr>
        <w:pStyle w:val="ListParagraph"/>
        <w:spacing w:line="276" w:lineRule="auto"/>
        <w:ind w:left="0"/>
        <w:rPr>
          <w:lang w:val="en-US"/>
        </w:rPr>
      </w:pPr>
    </w:p>
    <w:p w14:paraId="45413983" w14:textId="77777777" w:rsidR="00DA3E04" w:rsidRDefault="00DA3E04" w:rsidP="00DA3E04">
      <w:pPr>
        <w:pStyle w:val="ListParagraph"/>
        <w:spacing w:line="276" w:lineRule="auto"/>
        <w:ind w:left="0"/>
        <w:rPr>
          <w:lang w:val="en-US"/>
        </w:rPr>
      </w:pPr>
    </w:p>
    <w:p w14:paraId="5490F37D" w14:textId="77777777" w:rsidR="00DA3E04" w:rsidRDefault="00DA3E04" w:rsidP="00DA3E04">
      <w:pPr>
        <w:pStyle w:val="ListParagraph"/>
        <w:spacing w:line="276" w:lineRule="auto"/>
        <w:ind w:left="0"/>
        <w:rPr>
          <w:lang w:val="en-US"/>
        </w:rPr>
      </w:pPr>
    </w:p>
    <w:p w14:paraId="069DF8D3" w14:textId="77777777" w:rsidR="00080290" w:rsidRPr="00080290" w:rsidRDefault="00080290" w:rsidP="00080290">
      <w:pPr>
        <w:pStyle w:val="ListParagraph"/>
        <w:spacing w:line="276" w:lineRule="auto"/>
        <w:rPr>
          <w:b/>
          <w:bCs/>
          <w:lang w:val="en-GB"/>
        </w:rPr>
      </w:pPr>
      <w:r w:rsidRPr="00080290">
        <w:rPr>
          <w:b/>
          <w:bCs/>
          <w:lang w:val="en-GB"/>
        </w:rPr>
        <w:t>1. Can different stakeholders assign different values to the same heritage attribute?</w:t>
      </w:r>
    </w:p>
    <w:p w14:paraId="755F65A1" w14:textId="77777777" w:rsidR="00080290" w:rsidRPr="00080290" w:rsidRDefault="00080290" w:rsidP="00080290">
      <w:pPr>
        <w:pStyle w:val="ListParagraph"/>
        <w:spacing w:line="276" w:lineRule="auto"/>
        <w:rPr>
          <w:lang w:val="en-GB"/>
        </w:rPr>
      </w:pPr>
      <w:r w:rsidRPr="00080290">
        <w:rPr>
          <w:lang w:val="en-GB"/>
        </w:rPr>
        <w:t xml:space="preserve">Yes. The same heritage attribute can hold different values for different stakeholders because heritage is not only a physical object; it is also shaped by memory, identity, use, belief, politics and economics. Heritage value typologies are therefore not fixed, and scholars argue that heritage significance must be examined through multiple social, cultural and management perspectives. </w:t>
      </w:r>
    </w:p>
    <w:p w14:paraId="67CACD6B" w14:textId="77777777" w:rsidR="00080290" w:rsidRPr="00080290" w:rsidRDefault="00080290" w:rsidP="00080290">
      <w:pPr>
        <w:pStyle w:val="ListParagraph"/>
        <w:spacing w:line="276" w:lineRule="auto"/>
        <w:rPr>
          <w:lang w:val="en-GB"/>
        </w:rPr>
      </w:pPr>
      <w:r w:rsidRPr="00080290">
        <w:rPr>
          <w:lang w:val="en-GB"/>
        </w:rPr>
        <w:t>For example, a historic temple may be valued by archaeologists for its age, material authenticity and construction techniques. Local worshippers may value the same temple as a living sacred place where rituals, festivals and community traditions continue. Tourists may value it for beauty, photography and learning, while business owners may see it as a source of income through guiding, hotels, shops and transport. Government agencies may value it for national identity, international prestige and tourism revenue. A developer may value the surrounding area for roads, hotels or infrastructure. Therefore, one attribute can simultaneously carry historical, spiritual, social, aesthetic and economic values.</w:t>
      </w:r>
    </w:p>
    <w:p w14:paraId="6A376C7E" w14:textId="77777777" w:rsidR="00080290" w:rsidRPr="00080290" w:rsidRDefault="00080290" w:rsidP="00080290">
      <w:pPr>
        <w:pStyle w:val="ListParagraph"/>
        <w:spacing w:line="276" w:lineRule="auto"/>
        <w:rPr>
          <w:lang w:val="en-GB"/>
        </w:rPr>
      </w:pPr>
      <w:r w:rsidRPr="00080290">
        <w:rPr>
          <w:lang w:val="en-GB"/>
        </w:rPr>
        <w:t xml:space="preserve">This creates important implications for heritage management. If only expert values are considered, local communities may feel excluded. Waterton and Smith argue that conflicts arise when official definitions of heritage fail to recognise alternative community meanings and identities. Similarly, stakeholder collaboration is important because heritage conservation and tourism development are interdependent; local community involvement in decision-making can improve management outcomes. </w:t>
      </w:r>
    </w:p>
    <w:p w14:paraId="6B4A09D1" w14:textId="77777777" w:rsidR="00080290" w:rsidRPr="00080290" w:rsidRDefault="00080290" w:rsidP="00080290">
      <w:pPr>
        <w:pStyle w:val="ListParagraph"/>
        <w:spacing w:line="276" w:lineRule="auto"/>
        <w:rPr>
          <w:lang w:val="en-GB"/>
        </w:rPr>
      </w:pPr>
      <w:r w:rsidRPr="00080290">
        <w:rPr>
          <w:lang w:val="en-GB"/>
        </w:rPr>
        <w:t>For heritage managers, the key implication is that decisions should not be based on a single “correct” value. Management plans should map all stakeholder values, identify conflicts, and create transparent priorities. For example, if tourism threatens a sacred ritual space, managers may introduce visitor routes, carrying-capacity limits, restricted zones, interpretation boards and consultation with priests and residents. If a development project threatens visual integrity, a Heritage Impact Assessment should test alternatives before approval. This helps avoid irreversible damage while still allowing appropriate use and community benefit.</w:t>
      </w:r>
    </w:p>
    <w:p w14:paraId="12679449" w14:textId="77777777" w:rsidR="00080290" w:rsidRPr="00080290" w:rsidRDefault="00080290" w:rsidP="00080290">
      <w:pPr>
        <w:pStyle w:val="ListParagraph"/>
        <w:spacing w:line="276" w:lineRule="auto"/>
        <w:rPr>
          <w:lang w:val="en-GB"/>
        </w:rPr>
      </w:pPr>
      <w:r w:rsidRPr="00080290">
        <w:rPr>
          <w:lang w:val="en-GB"/>
        </w:rPr>
        <w:t>In conclusion, different stakeholders can assign different values to the same heritage attribute. Effective heritage management must therefore be values-based, participatory and balanced, protecting Outstanding Universal Value while also respecting local, social and living meanings.</w:t>
      </w:r>
    </w:p>
    <w:p w14:paraId="2AB063A7" w14:textId="7D6B046D" w:rsidR="00080290" w:rsidRDefault="00080290" w:rsidP="00080290">
      <w:pPr>
        <w:pStyle w:val="ListParagraph"/>
        <w:spacing w:line="276" w:lineRule="auto"/>
        <w:rPr>
          <w:lang w:val="en-GB"/>
        </w:rPr>
      </w:pPr>
    </w:p>
    <w:p w14:paraId="4817DBE0" w14:textId="77777777" w:rsidR="00080290" w:rsidRDefault="00080290" w:rsidP="00080290">
      <w:pPr>
        <w:pStyle w:val="ListParagraph"/>
        <w:spacing w:line="276" w:lineRule="auto"/>
        <w:rPr>
          <w:lang w:val="en-GB"/>
        </w:rPr>
      </w:pPr>
    </w:p>
    <w:p w14:paraId="7B2402D0" w14:textId="77777777" w:rsidR="00080290" w:rsidRDefault="00080290" w:rsidP="00080290">
      <w:pPr>
        <w:pStyle w:val="ListParagraph"/>
        <w:spacing w:line="276" w:lineRule="auto"/>
        <w:rPr>
          <w:lang w:val="en-GB"/>
        </w:rPr>
      </w:pPr>
    </w:p>
    <w:p w14:paraId="4B1544D9" w14:textId="77777777" w:rsidR="00080290" w:rsidRDefault="00080290" w:rsidP="00080290">
      <w:pPr>
        <w:pStyle w:val="ListParagraph"/>
        <w:spacing w:line="276" w:lineRule="auto"/>
        <w:rPr>
          <w:lang w:val="en-GB"/>
        </w:rPr>
      </w:pPr>
    </w:p>
    <w:p w14:paraId="1C1FA3C4" w14:textId="77777777" w:rsidR="00080290" w:rsidRDefault="00080290" w:rsidP="00080290">
      <w:pPr>
        <w:pStyle w:val="ListParagraph"/>
        <w:spacing w:line="276" w:lineRule="auto"/>
        <w:rPr>
          <w:lang w:val="en-GB"/>
        </w:rPr>
      </w:pPr>
    </w:p>
    <w:p w14:paraId="4990989C" w14:textId="77777777" w:rsidR="00080290" w:rsidRPr="00080290" w:rsidRDefault="00080290" w:rsidP="00080290">
      <w:pPr>
        <w:pStyle w:val="ListParagraph"/>
        <w:spacing w:line="276" w:lineRule="auto"/>
        <w:rPr>
          <w:lang w:val="en-GB"/>
        </w:rPr>
      </w:pPr>
    </w:p>
    <w:p w14:paraId="4BEBBACF" w14:textId="77777777" w:rsidR="00080290" w:rsidRPr="00080290" w:rsidRDefault="00080290" w:rsidP="00080290">
      <w:pPr>
        <w:pStyle w:val="ListParagraph"/>
        <w:spacing w:line="276" w:lineRule="auto"/>
        <w:rPr>
          <w:b/>
          <w:bCs/>
          <w:lang w:val="en-GB"/>
        </w:rPr>
      </w:pPr>
      <w:r w:rsidRPr="00080290">
        <w:rPr>
          <w:b/>
          <w:bCs/>
          <w:lang w:val="en-GB"/>
        </w:rPr>
        <w:lastRenderedPageBreak/>
        <w:t xml:space="preserve">2. Five attributes from a heritage site: Group of Monuments at </w:t>
      </w:r>
      <w:proofErr w:type="spellStart"/>
      <w:r w:rsidRPr="00080290">
        <w:rPr>
          <w:b/>
          <w:bCs/>
          <w:lang w:val="en-GB"/>
        </w:rPr>
        <w:t>Hampi</w:t>
      </w:r>
      <w:proofErr w:type="spellEnd"/>
      <w:r w:rsidRPr="00080290">
        <w:rPr>
          <w:b/>
          <w:bCs/>
          <w:lang w:val="en-GB"/>
        </w:rPr>
        <w:t>, India</w:t>
      </w:r>
    </w:p>
    <w:p w14:paraId="2D6A796F" w14:textId="77777777" w:rsidR="00080290" w:rsidRPr="00080290" w:rsidRDefault="00080290" w:rsidP="00080290">
      <w:pPr>
        <w:pStyle w:val="ListParagraph"/>
        <w:spacing w:line="276" w:lineRule="auto"/>
        <w:rPr>
          <w:lang w:val="en-GB"/>
        </w:rPr>
      </w:pPr>
      <w:r w:rsidRPr="00080290">
        <w:rPr>
          <w:lang w:val="en-GB"/>
        </w:rPr>
        <w:t xml:space="preserve">The selected site is the </w:t>
      </w:r>
      <w:r w:rsidRPr="00080290">
        <w:rPr>
          <w:b/>
          <w:bCs/>
          <w:lang w:val="en-GB"/>
        </w:rPr>
        <w:t xml:space="preserve">Group of Monuments at </w:t>
      </w:r>
      <w:proofErr w:type="spellStart"/>
      <w:r w:rsidRPr="00080290">
        <w:rPr>
          <w:b/>
          <w:bCs/>
          <w:lang w:val="en-GB"/>
        </w:rPr>
        <w:t>Hampi</w:t>
      </w:r>
      <w:proofErr w:type="spellEnd"/>
      <w:r w:rsidRPr="00080290">
        <w:rPr>
          <w:lang w:val="en-GB"/>
        </w:rPr>
        <w:t xml:space="preserve">, a UNESCO World Heritage Site in Karnataka. UNESCO describes </w:t>
      </w:r>
      <w:proofErr w:type="spellStart"/>
      <w:r w:rsidRPr="00080290">
        <w:rPr>
          <w:lang w:val="en-GB"/>
        </w:rPr>
        <w:t>Hampi</w:t>
      </w:r>
      <w:proofErr w:type="spellEnd"/>
      <w:r w:rsidRPr="00080290">
        <w:rPr>
          <w:lang w:val="en-GB"/>
        </w:rPr>
        <w:t xml:space="preserve"> as the remains of the </w:t>
      </w:r>
      <w:proofErr w:type="spellStart"/>
      <w:r w:rsidRPr="00080290">
        <w:rPr>
          <w:lang w:val="en-GB"/>
        </w:rPr>
        <w:t>Vijayanagara</w:t>
      </w:r>
      <w:proofErr w:type="spellEnd"/>
      <w:r w:rsidRPr="00080290">
        <w:rPr>
          <w:lang w:val="en-GB"/>
        </w:rPr>
        <w:t xml:space="preserve"> Empire’s capital, covering about 4,187.24 hectares, with more than 1,600 surviving remains including forts, temples, royal complexes, riverside features, mandapas, water structures and gateways. </w:t>
      </w:r>
    </w:p>
    <w:tbl>
      <w:tblPr>
        <w:tblStyle w:val="GridTable1Light"/>
        <w:tblW w:w="0" w:type="auto"/>
        <w:tblLook w:val="04A0" w:firstRow="1" w:lastRow="0" w:firstColumn="1" w:lastColumn="0" w:noHBand="0" w:noVBand="1"/>
      </w:tblPr>
      <w:tblGrid>
        <w:gridCol w:w="1734"/>
        <w:gridCol w:w="1828"/>
        <w:gridCol w:w="1822"/>
        <w:gridCol w:w="1858"/>
        <w:gridCol w:w="1774"/>
      </w:tblGrid>
      <w:tr w:rsidR="00080290" w:rsidRPr="00080290" w14:paraId="22592365" w14:textId="77777777" w:rsidTr="00080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C14FD1" w14:textId="77777777" w:rsidR="00080290" w:rsidRPr="00080290" w:rsidRDefault="00080290" w:rsidP="00080290">
            <w:pPr>
              <w:pStyle w:val="ListParagraph"/>
              <w:spacing w:line="276" w:lineRule="auto"/>
              <w:rPr>
                <w:lang w:val="en-GB"/>
              </w:rPr>
            </w:pPr>
            <w:r w:rsidRPr="00080290">
              <w:rPr>
                <w:lang w:val="en-GB"/>
              </w:rPr>
              <w:t>Heritage attribute</w:t>
            </w:r>
          </w:p>
        </w:tc>
        <w:tc>
          <w:tcPr>
            <w:tcW w:w="0" w:type="auto"/>
            <w:hideMark/>
          </w:tcPr>
          <w:p w14:paraId="5B20037A" w14:textId="77777777" w:rsidR="00080290" w:rsidRPr="00080290" w:rsidRDefault="00080290" w:rsidP="00080290">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080290">
              <w:rPr>
                <w:lang w:val="en-GB"/>
              </w:rPr>
              <w:t>Heritage value conveyed</w:t>
            </w:r>
          </w:p>
        </w:tc>
        <w:tc>
          <w:tcPr>
            <w:tcW w:w="0" w:type="auto"/>
            <w:hideMark/>
          </w:tcPr>
          <w:p w14:paraId="76325781" w14:textId="77777777" w:rsidR="00080290" w:rsidRPr="00080290" w:rsidRDefault="00080290" w:rsidP="00080290">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080290">
              <w:rPr>
                <w:lang w:val="en-GB"/>
              </w:rPr>
              <w:t>Significance level</w:t>
            </w:r>
          </w:p>
        </w:tc>
        <w:tc>
          <w:tcPr>
            <w:tcW w:w="0" w:type="auto"/>
            <w:hideMark/>
          </w:tcPr>
          <w:p w14:paraId="0453D732" w14:textId="77777777" w:rsidR="00080290" w:rsidRPr="00080290" w:rsidRDefault="00080290" w:rsidP="00080290">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080290">
              <w:rPr>
                <w:lang w:val="en-GB"/>
              </w:rPr>
              <w:t>Potential impacts from development</w:t>
            </w:r>
          </w:p>
        </w:tc>
        <w:tc>
          <w:tcPr>
            <w:tcW w:w="0" w:type="auto"/>
            <w:hideMark/>
          </w:tcPr>
          <w:p w14:paraId="1F7338DC" w14:textId="77777777" w:rsidR="00080290" w:rsidRPr="00080290" w:rsidRDefault="00080290" w:rsidP="00080290">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080290">
              <w:rPr>
                <w:lang w:val="en-GB"/>
              </w:rPr>
              <w:t>Possible mitigation measures</w:t>
            </w:r>
          </w:p>
        </w:tc>
      </w:tr>
      <w:tr w:rsidR="00080290" w:rsidRPr="00080290" w14:paraId="1F28290D" w14:textId="77777777" w:rsidTr="00080290">
        <w:tc>
          <w:tcPr>
            <w:cnfStyle w:val="001000000000" w:firstRow="0" w:lastRow="0" w:firstColumn="1" w:lastColumn="0" w:oddVBand="0" w:evenVBand="0" w:oddHBand="0" w:evenHBand="0" w:firstRowFirstColumn="0" w:firstRowLastColumn="0" w:lastRowFirstColumn="0" w:lastRowLastColumn="0"/>
            <w:tcW w:w="0" w:type="auto"/>
            <w:hideMark/>
          </w:tcPr>
          <w:p w14:paraId="50AF9A81" w14:textId="77777777" w:rsidR="00080290" w:rsidRPr="00080290" w:rsidRDefault="00080290" w:rsidP="00080290">
            <w:pPr>
              <w:pStyle w:val="ListParagraph"/>
              <w:spacing w:line="276" w:lineRule="auto"/>
              <w:rPr>
                <w:lang w:val="en-GB"/>
              </w:rPr>
            </w:pPr>
            <w:proofErr w:type="spellStart"/>
            <w:r w:rsidRPr="00080290">
              <w:rPr>
                <w:lang w:val="en-GB"/>
              </w:rPr>
              <w:t>Virupaksha</w:t>
            </w:r>
            <w:proofErr w:type="spellEnd"/>
            <w:r w:rsidRPr="00080290">
              <w:rPr>
                <w:lang w:val="en-GB"/>
              </w:rPr>
              <w:t xml:space="preserve"> Temple and sacred centre</w:t>
            </w:r>
          </w:p>
        </w:tc>
        <w:tc>
          <w:tcPr>
            <w:tcW w:w="0" w:type="auto"/>
            <w:hideMark/>
          </w:tcPr>
          <w:p w14:paraId="7BC72545"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Living religious value, ritual continuity, architectural and historical value.</w:t>
            </w:r>
          </w:p>
        </w:tc>
        <w:tc>
          <w:tcPr>
            <w:tcW w:w="0" w:type="auto"/>
            <w:hideMark/>
          </w:tcPr>
          <w:p w14:paraId="21EDC32D"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Very high: important for both OUV and local worship.</w:t>
            </w:r>
          </w:p>
        </w:tc>
        <w:tc>
          <w:tcPr>
            <w:tcW w:w="0" w:type="auto"/>
            <w:hideMark/>
          </w:tcPr>
          <w:p w14:paraId="3965599C"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Visitor overcrowding, commercial pressure, insensitive facilities, vibration and loss of sacred atmosphere.</w:t>
            </w:r>
          </w:p>
        </w:tc>
        <w:tc>
          <w:tcPr>
            <w:tcW w:w="0" w:type="auto"/>
            <w:hideMark/>
          </w:tcPr>
          <w:p w14:paraId="002B7B5C"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Separate pilgrim and tourist routes, crowd limits during festivals, ritual-sensitive management and consultation with priests/</w:t>
            </w:r>
            <w:proofErr w:type="gramStart"/>
            <w:r w:rsidRPr="00080290">
              <w:rPr>
                <w:lang w:val="en-GB"/>
              </w:rPr>
              <w:t>local residents</w:t>
            </w:r>
            <w:proofErr w:type="gramEnd"/>
            <w:r w:rsidRPr="00080290">
              <w:rPr>
                <w:lang w:val="en-GB"/>
              </w:rPr>
              <w:t>.</w:t>
            </w:r>
          </w:p>
        </w:tc>
      </w:tr>
      <w:tr w:rsidR="00080290" w:rsidRPr="00080290" w14:paraId="247532B0" w14:textId="77777777" w:rsidTr="00080290">
        <w:tc>
          <w:tcPr>
            <w:cnfStyle w:val="001000000000" w:firstRow="0" w:lastRow="0" w:firstColumn="1" w:lastColumn="0" w:oddVBand="0" w:evenVBand="0" w:oddHBand="0" w:evenHBand="0" w:firstRowFirstColumn="0" w:firstRowLastColumn="0" w:lastRowFirstColumn="0" w:lastRowLastColumn="0"/>
            <w:tcW w:w="0" w:type="auto"/>
            <w:hideMark/>
          </w:tcPr>
          <w:p w14:paraId="62BBAD24" w14:textId="77777777" w:rsidR="00080290" w:rsidRPr="00080290" w:rsidRDefault="00080290" w:rsidP="00080290">
            <w:pPr>
              <w:pStyle w:val="ListParagraph"/>
              <w:spacing w:line="276" w:lineRule="auto"/>
              <w:rPr>
                <w:lang w:val="en-GB"/>
              </w:rPr>
            </w:pPr>
            <w:proofErr w:type="spellStart"/>
            <w:r w:rsidRPr="00080290">
              <w:rPr>
                <w:lang w:val="en-GB"/>
              </w:rPr>
              <w:t>Vittala</w:t>
            </w:r>
            <w:proofErr w:type="spellEnd"/>
            <w:r w:rsidRPr="00080290">
              <w:rPr>
                <w:lang w:val="en-GB"/>
              </w:rPr>
              <w:t xml:space="preserve"> Temple and Stone Chariot</w:t>
            </w:r>
          </w:p>
        </w:tc>
        <w:tc>
          <w:tcPr>
            <w:tcW w:w="0" w:type="auto"/>
            <w:hideMark/>
          </w:tcPr>
          <w:p w14:paraId="54EE2900"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 xml:space="preserve">Artistic, architectural and symbolic value; represents </w:t>
            </w:r>
            <w:proofErr w:type="spellStart"/>
            <w:r w:rsidRPr="00080290">
              <w:rPr>
                <w:lang w:val="en-GB"/>
              </w:rPr>
              <w:lastRenderedPageBreak/>
              <w:t>Vijayanagara</w:t>
            </w:r>
            <w:proofErr w:type="spellEnd"/>
            <w:r w:rsidRPr="00080290">
              <w:rPr>
                <w:lang w:val="en-GB"/>
              </w:rPr>
              <w:t xml:space="preserve"> craftsmanship.</w:t>
            </w:r>
          </w:p>
        </w:tc>
        <w:tc>
          <w:tcPr>
            <w:tcW w:w="0" w:type="auto"/>
            <w:hideMark/>
          </w:tcPr>
          <w:p w14:paraId="4FA7C68E"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lastRenderedPageBreak/>
              <w:t xml:space="preserve">Very high: iconic monument of </w:t>
            </w:r>
            <w:proofErr w:type="spellStart"/>
            <w:r w:rsidRPr="00080290">
              <w:rPr>
                <w:lang w:val="en-GB"/>
              </w:rPr>
              <w:t>Hampi</w:t>
            </w:r>
            <w:proofErr w:type="spellEnd"/>
            <w:r w:rsidRPr="00080290">
              <w:rPr>
                <w:lang w:val="en-GB"/>
              </w:rPr>
              <w:t>.</w:t>
            </w:r>
          </w:p>
        </w:tc>
        <w:tc>
          <w:tcPr>
            <w:tcW w:w="0" w:type="auto"/>
            <w:hideMark/>
          </w:tcPr>
          <w:p w14:paraId="72792274"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 xml:space="preserve">Touching, crowding, surface wear, vibration from </w:t>
            </w:r>
            <w:r w:rsidRPr="00080290">
              <w:rPr>
                <w:lang w:val="en-GB"/>
              </w:rPr>
              <w:lastRenderedPageBreak/>
              <w:t>vehicles and visual clutter from tourism facilities.</w:t>
            </w:r>
          </w:p>
        </w:tc>
        <w:tc>
          <w:tcPr>
            <w:tcW w:w="0" w:type="auto"/>
            <w:hideMark/>
          </w:tcPr>
          <w:p w14:paraId="2C2BB96C"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lastRenderedPageBreak/>
              <w:t xml:space="preserve">Controlled access barriers, timed entry, visitor </w:t>
            </w:r>
            <w:r w:rsidRPr="00080290">
              <w:rPr>
                <w:lang w:val="en-GB"/>
              </w:rPr>
              <w:lastRenderedPageBreak/>
              <w:t>education, regular condition monitoring and no-vehicle zones.</w:t>
            </w:r>
          </w:p>
        </w:tc>
      </w:tr>
      <w:tr w:rsidR="00080290" w:rsidRPr="00080290" w14:paraId="4D4270A0" w14:textId="77777777" w:rsidTr="00080290">
        <w:tc>
          <w:tcPr>
            <w:cnfStyle w:val="001000000000" w:firstRow="0" w:lastRow="0" w:firstColumn="1" w:lastColumn="0" w:oddVBand="0" w:evenVBand="0" w:oddHBand="0" w:evenHBand="0" w:firstRowFirstColumn="0" w:firstRowLastColumn="0" w:lastRowFirstColumn="0" w:lastRowLastColumn="0"/>
            <w:tcW w:w="0" w:type="auto"/>
            <w:hideMark/>
          </w:tcPr>
          <w:p w14:paraId="3F26443B" w14:textId="77777777" w:rsidR="00080290" w:rsidRPr="00080290" w:rsidRDefault="00080290" w:rsidP="00080290">
            <w:pPr>
              <w:pStyle w:val="ListParagraph"/>
              <w:spacing w:line="276" w:lineRule="auto"/>
              <w:rPr>
                <w:lang w:val="en-GB"/>
              </w:rPr>
            </w:pPr>
            <w:r w:rsidRPr="00080290">
              <w:rPr>
                <w:lang w:val="en-GB"/>
              </w:rPr>
              <w:lastRenderedPageBreak/>
              <w:t xml:space="preserve">Royal Centre: Lotus Mahal, Elephant Stables, </w:t>
            </w:r>
            <w:proofErr w:type="spellStart"/>
            <w:r w:rsidRPr="00080290">
              <w:rPr>
                <w:lang w:val="en-GB"/>
              </w:rPr>
              <w:t>Mahanavami</w:t>
            </w:r>
            <w:proofErr w:type="spellEnd"/>
            <w:r w:rsidRPr="00080290">
              <w:rPr>
                <w:lang w:val="en-GB"/>
              </w:rPr>
              <w:t xml:space="preserve"> Dibba</w:t>
            </w:r>
          </w:p>
        </w:tc>
        <w:tc>
          <w:tcPr>
            <w:tcW w:w="0" w:type="auto"/>
            <w:hideMark/>
          </w:tcPr>
          <w:p w14:paraId="3A147169"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 xml:space="preserve">Political, royal and urban-planning value showing the power of </w:t>
            </w:r>
            <w:proofErr w:type="spellStart"/>
            <w:r w:rsidRPr="00080290">
              <w:rPr>
                <w:lang w:val="en-GB"/>
              </w:rPr>
              <w:t>Vijayanagara</w:t>
            </w:r>
            <w:proofErr w:type="spellEnd"/>
            <w:r w:rsidRPr="00080290">
              <w:rPr>
                <w:lang w:val="en-GB"/>
              </w:rPr>
              <w:t xml:space="preserve"> rulers.</w:t>
            </w:r>
          </w:p>
        </w:tc>
        <w:tc>
          <w:tcPr>
            <w:tcW w:w="0" w:type="auto"/>
            <w:hideMark/>
          </w:tcPr>
          <w:p w14:paraId="3D4FAB27"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High: central to understanding the former capital.</w:t>
            </w:r>
          </w:p>
        </w:tc>
        <w:tc>
          <w:tcPr>
            <w:tcW w:w="0" w:type="auto"/>
            <w:hideMark/>
          </w:tcPr>
          <w:p w14:paraId="3465C120"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Roads, parking, hotels or large buildings may affect setting, views and archaeological remains.</w:t>
            </w:r>
          </w:p>
        </w:tc>
        <w:tc>
          <w:tcPr>
            <w:tcW w:w="0" w:type="auto"/>
            <w:hideMark/>
          </w:tcPr>
          <w:p w14:paraId="3EAEA6D1"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Buffer-zone planning, height/design controls and mandatory Heritage Impact Assessment before new projects.</w:t>
            </w:r>
          </w:p>
        </w:tc>
      </w:tr>
      <w:tr w:rsidR="00080290" w:rsidRPr="00080290" w14:paraId="0530998C" w14:textId="77777777" w:rsidTr="00080290">
        <w:tc>
          <w:tcPr>
            <w:cnfStyle w:val="001000000000" w:firstRow="0" w:lastRow="0" w:firstColumn="1" w:lastColumn="0" w:oddVBand="0" w:evenVBand="0" w:oddHBand="0" w:evenHBand="0" w:firstRowFirstColumn="0" w:firstRowLastColumn="0" w:lastRowFirstColumn="0" w:lastRowLastColumn="0"/>
            <w:tcW w:w="0" w:type="auto"/>
            <w:hideMark/>
          </w:tcPr>
          <w:p w14:paraId="08E775A8" w14:textId="77777777" w:rsidR="00080290" w:rsidRPr="00080290" w:rsidRDefault="00080290" w:rsidP="00080290">
            <w:pPr>
              <w:pStyle w:val="ListParagraph"/>
              <w:spacing w:line="276" w:lineRule="auto"/>
              <w:rPr>
                <w:lang w:val="en-GB"/>
              </w:rPr>
            </w:pPr>
            <w:r w:rsidRPr="00080290">
              <w:rPr>
                <w:lang w:val="en-GB"/>
              </w:rPr>
              <w:t>Tungabhadra river and riverside features</w:t>
            </w:r>
          </w:p>
        </w:tc>
        <w:tc>
          <w:tcPr>
            <w:tcW w:w="0" w:type="auto"/>
            <w:hideMark/>
          </w:tcPr>
          <w:p w14:paraId="3299651B"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Cultural landscape value, ritual value, ecological setting and historic water-management value.</w:t>
            </w:r>
          </w:p>
        </w:tc>
        <w:tc>
          <w:tcPr>
            <w:tcW w:w="0" w:type="auto"/>
            <w:hideMark/>
          </w:tcPr>
          <w:p w14:paraId="41C883B1"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High to very high.</w:t>
            </w:r>
          </w:p>
        </w:tc>
        <w:tc>
          <w:tcPr>
            <w:tcW w:w="0" w:type="auto"/>
            <w:hideMark/>
          </w:tcPr>
          <w:p w14:paraId="4470F0B2"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Bridges, riverfront construction, pollution, erosion, waste and climate-related risks.</w:t>
            </w:r>
          </w:p>
        </w:tc>
        <w:tc>
          <w:tcPr>
            <w:tcW w:w="0" w:type="auto"/>
            <w:hideMark/>
          </w:tcPr>
          <w:p w14:paraId="3BCEBCDF"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 xml:space="preserve">Riparian no-build zones, waste control, erosion monitoring, low-impact paths and sustainable </w:t>
            </w:r>
            <w:r w:rsidRPr="00080290">
              <w:rPr>
                <w:lang w:val="en-GB"/>
              </w:rPr>
              <w:lastRenderedPageBreak/>
              <w:t>visitor facilities.</w:t>
            </w:r>
          </w:p>
        </w:tc>
      </w:tr>
      <w:tr w:rsidR="00080290" w:rsidRPr="00080290" w14:paraId="61EE3F52" w14:textId="77777777" w:rsidTr="00080290">
        <w:tc>
          <w:tcPr>
            <w:cnfStyle w:val="001000000000" w:firstRow="0" w:lastRow="0" w:firstColumn="1" w:lastColumn="0" w:oddVBand="0" w:evenVBand="0" w:oddHBand="0" w:evenHBand="0" w:firstRowFirstColumn="0" w:firstRowLastColumn="0" w:lastRowFirstColumn="0" w:lastRowLastColumn="0"/>
            <w:tcW w:w="0" w:type="auto"/>
            <w:hideMark/>
          </w:tcPr>
          <w:p w14:paraId="347F3DDE" w14:textId="77777777" w:rsidR="00080290" w:rsidRPr="00080290" w:rsidRDefault="00080290" w:rsidP="00080290">
            <w:pPr>
              <w:pStyle w:val="ListParagraph"/>
              <w:spacing w:line="276" w:lineRule="auto"/>
              <w:rPr>
                <w:lang w:val="en-GB"/>
              </w:rPr>
            </w:pPr>
            <w:r w:rsidRPr="00080290">
              <w:rPr>
                <w:lang w:val="en-GB"/>
              </w:rPr>
              <w:lastRenderedPageBreak/>
              <w:t>Historic bazaars, mandapas and settlement pattern</w:t>
            </w:r>
          </w:p>
        </w:tc>
        <w:tc>
          <w:tcPr>
            <w:tcW w:w="0" w:type="auto"/>
            <w:hideMark/>
          </w:tcPr>
          <w:p w14:paraId="1075355C"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Social, economic and living heritage value linked to trade, festivals and community memory.</w:t>
            </w:r>
          </w:p>
        </w:tc>
        <w:tc>
          <w:tcPr>
            <w:tcW w:w="0" w:type="auto"/>
            <w:hideMark/>
          </w:tcPr>
          <w:p w14:paraId="7B8CB760"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Medium to high: important for local identity and site interpretation.</w:t>
            </w:r>
          </w:p>
        </w:tc>
        <w:tc>
          <w:tcPr>
            <w:tcW w:w="0" w:type="auto"/>
            <w:hideMark/>
          </w:tcPr>
          <w:p w14:paraId="6063DD7A"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Encroachment, unplanned shops, traffic, signage and displacement of local livelihoods.</w:t>
            </w:r>
          </w:p>
        </w:tc>
        <w:tc>
          <w:tcPr>
            <w:tcW w:w="0" w:type="auto"/>
            <w:hideMark/>
          </w:tcPr>
          <w:p w14:paraId="7234780B" w14:textId="77777777" w:rsidR="00080290" w:rsidRPr="00080290" w:rsidRDefault="00080290" w:rsidP="00080290">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080290">
              <w:rPr>
                <w:lang w:val="en-GB"/>
              </w:rPr>
              <w:t>Conservation-based reuse, regulated signage, pedestrian management, local vendor zones and participatory planning.</w:t>
            </w:r>
          </w:p>
        </w:tc>
      </w:tr>
    </w:tbl>
    <w:p w14:paraId="0C001A6A" w14:textId="77777777" w:rsidR="00080290" w:rsidRPr="00080290" w:rsidRDefault="00080290" w:rsidP="00080290">
      <w:pPr>
        <w:pStyle w:val="ListParagraph"/>
        <w:spacing w:line="276" w:lineRule="auto"/>
        <w:rPr>
          <w:lang w:val="en-GB"/>
        </w:rPr>
      </w:pPr>
      <w:r w:rsidRPr="00080290">
        <w:rPr>
          <w:lang w:val="en-GB"/>
        </w:rPr>
        <w:t xml:space="preserve">Recent UNESCO decisions show why such mitigation is necessary: the Committee has raised concerns about evolving development pressures, increasing tourism, climate change impacts, building-height controls, township proposals, ropeways and the need for HIA reports at </w:t>
      </w:r>
      <w:proofErr w:type="spellStart"/>
      <w:r w:rsidRPr="00080290">
        <w:rPr>
          <w:lang w:val="en-GB"/>
        </w:rPr>
        <w:t>Hampi</w:t>
      </w:r>
      <w:proofErr w:type="spellEnd"/>
      <w:r w:rsidRPr="00080290">
        <w:rPr>
          <w:lang w:val="en-GB"/>
        </w:rPr>
        <w:t xml:space="preserve">. ICOMOS guidance also states that impact assessment should examine how development affects the attributes that convey Outstanding Universal Value, and whether impacts can be avoided, reduced, rehabilitated or compensated. </w:t>
      </w:r>
    </w:p>
    <w:p w14:paraId="7B01FE04" w14:textId="039A252E" w:rsidR="00080290" w:rsidRDefault="00080290" w:rsidP="00080290">
      <w:pPr>
        <w:pStyle w:val="ListParagraph"/>
        <w:spacing w:line="276" w:lineRule="auto"/>
        <w:rPr>
          <w:lang w:val="en-GB"/>
        </w:rPr>
      </w:pPr>
    </w:p>
    <w:p w14:paraId="14E995D2" w14:textId="77777777" w:rsidR="00080290" w:rsidRDefault="00080290" w:rsidP="00080290">
      <w:pPr>
        <w:pStyle w:val="ListParagraph"/>
        <w:spacing w:line="276" w:lineRule="auto"/>
        <w:rPr>
          <w:lang w:val="en-GB"/>
        </w:rPr>
      </w:pPr>
    </w:p>
    <w:p w14:paraId="1426B40C" w14:textId="77777777" w:rsidR="00080290" w:rsidRDefault="00080290" w:rsidP="00080290">
      <w:pPr>
        <w:pStyle w:val="ListParagraph"/>
        <w:spacing w:line="276" w:lineRule="auto"/>
        <w:rPr>
          <w:lang w:val="en-GB"/>
        </w:rPr>
      </w:pPr>
    </w:p>
    <w:p w14:paraId="49A9025C" w14:textId="77777777" w:rsidR="00080290" w:rsidRDefault="00080290" w:rsidP="00080290">
      <w:pPr>
        <w:pStyle w:val="ListParagraph"/>
        <w:spacing w:line="276" w:lineRule="auto"/>
        <w:rPr>
          <w:lang w:val="en-GB"/>
        </w:rPr>
      </w:pPr>
    </w:p>
    <w:p w14:paraId="022E2480" w14:textId="77777777" w:rsidR="00080290" w:rsidRDefault="00080290" w:rsidP="00080290">
      <w:pPr>
        <w:pStyle w:val="ListParagraph"/>
        <w:spacing w:line="276" w:lineRule="auto"/>
        <w:rPr>
          <w:lang w:val="en-GB"/>
        </w:rPr>
      </w:pPr>
    </w:p>
    <w:p w14:paraId="51776676" w14:textId="77777777" w:rsidR="00080290" w:rsidRDefault="00080290" w:rsidP="00080290">
      <w:pPr>
        <w:pStyle w:val="ListParagraph"/>
        <w:spacing w:line="276" w:lineRule="auto"/>
        <w:rPr>
          <w:lang w:val="en-GB"/>
        </w:rPr>
      </w:pPr>
    </w:p>
    <w:p w14:paraId="3839A45C" w14:textId="77777777" w:rsidR="00080290" w:rsidRDefault="00080290" w:rsidP="00080290">
      <w:pPr>
        <w:pStyle w:val="ListParagraph"/>
        <w:spacing w:line="276" w:lineRule="auto"/>
        <w:rPr>
          <w:lang w:val="en-GB"/>
        </w:rPr>
      </w:pPr>
    </w:p>
    <w:p w14:paraId="788DC886" w14:textId="77777777" w:rsidR="00080290" w:rsidRDefault="00080290" w:rsidP="00080290">
      <w:pPr>
        <w:pStyle w:val="ListParagraph"/>
        <w:spacing w:line="276" w:lineRule="auto"/>
        <w:rPr>
          <w:lang w:val="en-GB"/>
        </w:rPr>
      </w:pPr>
    </w:p>
    <w:p w14:paraId="6AE5BEB1" w14:textId="77777777" w:rsidR="00080290" w:rsidRDefault="00080290" w:rsidP="00080290">
      <w:pPr>
        <w:pStyle w:val="ListParagraph"/>
        <w:spacing w:line="276" w:lineRule="auto"/>
        <w:rPr>
          <w:lang w:val="en-GB"/>
        </w:rPr>
      </w:pPr>
    </w:p>
    <w:p w14:paraId="215BE164" w14:textId="77777777" w:rsidR="00080290" w:rsidRDefault="00080290" w:rsidP="00080290">
      <w:pPr>
        <w:pStyle w:val="ListParagraph"/>
        <w:spacing w:line="276" w:lineRule="auto"/>
        <w:rPr>
          <w:lang w:val="en-GB"/>
        </w:rPr>
      </w:pPr>
    </w:p>
    <w:p w14:paraId="43760967" w14:textId="77777777" w:rsidR="00080290" w:rsidRDefault="00080290" w:rsidP="00080290">
      <w:pPr>
        <w:pStyle w:val="ListParagraph"/>
        <w:spacing w:line="276" w:lineRule="auto"/>
        <w:rPr>
          <w:lang w:val="en-GB"/>
        </w:rPr>
      </w:pPr>
    </w:p>
    <w:p w14:paraId="7BC17D6B" w14:textId="77777777" w:rsidR="00080290" w:rsidRDefault="00080290" w:rsidP="00080290">
      <w:pPr>
        <w:pStyle w:val="ListParagraph"/>
        <w:spacing w:line="276" w:lineRule="auto"/>
        <w:rPr>
          <w:lang w:val="en-GB"/>
        </w:rPr>
      </w:pPr>
    </w:p>
    <w:p w14:paraId="0C230946" w14:textId="77777777" w:rsidR="00080290" w:rsidRDefault="00080290" w:rsidP="00080290">
      <w:pPr>
        <w:pStyle w:val="ListParagraph"/>
        <w:spacing w:line="276" w:lineRule="auto"/>
        <w:rPr>
          <w:lang w:val="en-GB"/>
        </w:rPr>
      </w:pPr>
    </w:p>
    <w:p w14:paraId="79B09BC0" w14:textId="77777777" w:rsidR="00080290" w:rsidRDefault="00080290" w:rsidP="00080290">
      <w:pPr>
        <w:pStyle w:val="ListParagraph"/>
        <w:spacing w:line="276" w:lineRule="auto"/>
        <w:rPr>
          <w:lang w:val="en-GB"/>
        </w:rPr>
      </w:pPr>
    </w:p>
    <w:p w14:paraId="3CC66838" w14:textId="77777777" w:rsidR="00080290" w:rsidRDefault="00080290" w:rsidP="00080290">
      <w:pPr>
        <w:pStyle w:val="ListParagraph"/>
        <w:spacing w:line="276" w:lineRule="auto"/>
        <w:rPr>
          <w:lang w:val="en-GB"/>
        </w:rPr>
      </w:pPr>
    </w:p>
    <w:p w14:paraId="600B5339" w14:textId="77777777" w:rsidR="00080290" w:rsidRDefault="00080290" w:rsidP="00080290">
      <w:pPr>
        <w:pStyle w:val="ListParagraph"/>
        <w:spacing w:line="276" w:lineRule="auto"/>
        <w:rPr>
          <w:lang w:val="en-GB"/>
        </w:rPr>
      </w:pPr>
    </w:p>
    <w:p w14:paraId="546E030D" w14:textId="77777777" w:rsidR="00080290" w:rsidRDefault="00080290" w:rsidP="00080290">
      <w:pPr>
        <w:pStyle w:val="ListParagraph"/>
        <w:spacing w:line="276" w:lineRule="auto"/>
        <w:rPr>
          <w:lang w:val="en-GB"/>
        </w:rPr>
      </w:pPr>
    </w:p>
    <w:p w14:paraId="637B64CC" w14:textId="77777777" w:rsidR="00080290" w:rsidRDefault="00080290" w:rsidP="00080290">
      <w:pPr>
        <w:pStyle w:val="ListParagraph"/>
        <w:spacing w:line="276" w:lineRule="auto"/>
        <w:rPr>
          <w:lang w:val="en-GB"/>
        </w:rPr>
      </w:pPr>
    </w:p>
    <w:p w14:paraId="41BBC355" w14:textId="77777777" w:rsidR="00080290" w:rsidRDefault="00080290" w:rsidP="00080290">
      <w:pPr>
        <w:pStyle w:val="ListParagraph"/>
        <w:spacing w:line="276" w:lineRule="auto"/>
        <w:rPr>
          <w:lang w:val="en-GB"/>
        </w:rPr>
      </w:pPr>
    </w:p>
    <w:p w14:paraId="750A40D2" w14:textId="77777777" w:rsidR="00080290" w:rsidRDefault="00080290" w:rsidP="00080290">
      <w:pPr>
        <w:pStyle w:val="ListParagraph"/>
        <w:spacing w:line="276" w:lineRule="auto"/>
        <w:rPr>
          <w:lang w:val="en-GB"/>
        </w:rPr>
      </w:pPr>
    </w:p>
    <w:p w14:paraId="467298D7" w14:textId="77777777" w:rsidR="00080290" w:rsidRDefault="00080290" w:rsidP="00080290">
      <w:pPr>
        <w:pStyle w:val="ListParagraph"/>
        <w:spacing w:line="276" w:lineRule="auto"/>
        <w:rPr>
          <w:lang w:val="en-GB"/>
        </w:rPr>
      </w:pPr>
    </w:p>
    <w:p w14:paraId="7B844EE3" w14:textId="77777777" w:rsidR="00080290" w:rsidRDefault="00080290" w:rsidP="00080290">
      <w:pPr>
        <w:pStyle w:val="ListParagraph"/>
        <w:spacing w:line="276" w:lineRule="auto"/>
        <w:rPr>
          <w:lang w:val="en-GB"/>
        </w:rPr>
      </w:pPr>
    </w:p>
    <w:p w14:paraId="4F728D7E" w14:textId="77777777" w:rsidR="00080290" w:rsidRDefault="00080290" w:rsidP="00080290">
      <w:pPr>
        <w:pStyle w:val="ListParagraph"/>
        <w:spacing w:line="276" w:lineRule="auto"/>
        <w:rPr>
          <w:lang w:val="en-GB"/>
        </w:rPr>
      </w:pPr>
    </w:p>
    <w:p w14:paraId="51B919BB" w14:textId="77777777" w:rsidR="00080290" w:rsidRDefault="00080290" w:rsidP="00080290">
      <w:pPr>
        <w:pStyle w:val="ListParagraph"/>
        <w:spacing w:line="276" w:lineRule="auto"/>
        <w:rPr>
          <w:lang w:val="en-GB"/>
        </w:rPr>
      </w:pPr>
    </w:p>
    <w:p w14:paraId="05E3BF34" w14:textId="77777777" w:rsidR="00080290" w:rsidRPr="00080290" w:rsidRDefault="00080290" w:rsidP="00080290">
      <w:pPr>
        <w:pStyle w:val="ListParagraph"/>
        <w:spacing w:line="276" w:lineRule="auto"/>
        <w:rPr>
          <w:lang w:val="en-GB"/>
        </w:rPr>
      </w:pPr>
    </w:p>
    <w:p w14:paraId="167AD16C" w14:textId="77777777" w:rsidR="00080290" w:rsidRPr="00080290" w:rsidRDefault="00080290" w:rsidP="00080290">
      <w:pPr>
        <w:pStyle w:val="ListParagraph"/>
        <w:spacing w:line="276" w:lineRule="auto"/>
        <w:rPr>
          <w:b/>
          <w:bCs/>
          <w:lang w:val="en-GB"/>
        </w:rPr>
      </w:pPr>
      <w:r w:rsidRPr="00080290">
        <w:rPr>
          <w:b/>
          <w:bCs/>
          <w:lang w:val="en-GB"/>
        </w:rPr>
        <w:t>References</w:t>
      </w:r>
    </w:p>
    <w:p w14:paraId="00C0DA5B" w14:textId="77777777" w:rsidR="00080290" w:rsidRPr="00080290" w:rsidRDefault="00080290" w:rsidP="00080290">
      <w:pPr>
        <w:pStyle w:val="ListParagraph"/>
        <w:spacing w:line="276" w:lineRule="auto"/>
        <w:rPr>
          <w:lang w:val="en-GB"/>
        </w:rPr>
      </w:pPr>
      <w:r w:rsidRPr="00080290">
        <w:rPr>
          <w:b/>
          <w:bCs/>
          <w:lang w:val="en-GB"/>
        </w:rPr>
        <w:t>DOI references</w:t>
      </w:r>
    </w:p>
    <w:p w14:paraId="0185786E" w14:textId="77777777" w:rsidR="00080290" w:rsidRPr="00080290" w:rsidRDefault="00080290" w:rsidP="00080290">
      <w:pPr>
        <w:pStyle w:val="ListParagraph"/>
        <w:spacing w:line="276" w:lineRule="auto"/>
        <w:rPr>
          <w:lang w:val="en-GB"/>
        </w:rPr>
      </w:pPr>
      <w:r w:rsidRPr="00080290">
        <w:rPr>
          <w:lang w:val="en-GB"/>
        </w:rPr>
        <w:t xml:space="preserve">Aas, C., </w:t>
      </w:r>
      <w:proofErr w:type="spellStart"/>
      <w:r w:rsidRPr="00080290">
        <w:rPr>
          <w:lang w:val="en-GB"/>
        </w:rPr>
        <w:t>Ladkin</w:t>
      </w:r>
      <w:proofErr w:type="spellEnd"/>
      <w:r w:rsidRPr="00080290">
        <w:rPr>
          <w:lang w:val="en-GB"/>
        </w:rPr>
        <w:t xml:space="preserve">, A., &amp; Fletcher, J. (2005). </w:t>
      </w:r>
      <w:r w:rsidRPr="00080290">
        <w:rPr>
          <w:i/>
          <w:iCs/>
          <w:lang w:val="en-GB"/>
        </w:rPr>
        <w:t>Stakeholder collaboration and heritage management</w:t>
      </w:r>
      <w:r w:rsidRPr="00080290">
        <w:rPr>
          <w:lang w:val="en-GB"/>
        </w:rPr>
        <w:t xml:space="preserve">. Annals of Tourism Research, 32(1), 28–48. DOI: 10.1016/j.annals.2004.04.005. </w:t>
      </w:r>
    </w:p>
    <w:p w14:paraId="7869BD3F" w14:textId="77777777" w:rsidR="00080290" w:rsidRPr="00080290" w:rsidRDefault="00080290" w:rsidP="00080290">
      <w:pPr>
        <w:pStyle w:val="ListParagraph"/>
        <w:spacing w:line="276" w:lineRule="auto"/>
        <w:rPr>
          <w:lang w:val="en-GB"/>
        </w:rPr>
      </w:pPr>
      <w:r w:rsidRPr="00080290">
        <w:rPr>
          <w:lang w:val="en-GB"/>
        </w:rPr>
        <w:t xml:space="preserve">Fredheim, L. H., &amp; Khalaf, M. (2016). </w:t>
      </w:r>
      <w:r w:rsidRPr="00080290">
        <w:rPr>
          <w:i/>
          <w:iCs/>
          <w:lang w:val="en-GB"/>
        </w:rPr>
        <w:t>The significance of values: Heritage value typologies re-examined</w:t>
      </w:r>
      <w:r w:rsidRPr="00080290">
        <w:rPr>
          <w:lang w:val="en-GB"/>
        </w:rPr>
        <w:t xml:space="preserve">. International Journal of Heritage Studies, 22(6), 466–481. DOI: 10.1080/13527258.2016.1171247. </w:t>
      </w:r>
    </w:p>
    <w:p w14:paraId="0B8E0273" w14:textId="77777777" w:rsidR="00080290" w:rsidRPr="00080290" w:rsidRDefault="00080290" w:rsidP="00080290">
      <w:pPr>
        <w:pStyle w:val="ListParagraph"/>
        <w:spacing w:line="276" w:lineRule="auto"/>
        <w:rPr>
          <w:lang w:val="en-GB"/>
        </w:rPr>
      </w:pPr>
      <w:proofErr w:type="spellStart"/>
      <w:r w:rsidRPr="00080290">
        <w:rPr>
          <w:lang w:val="en-GB"/>
        </w:rPr>
        <w:t>Patiwael</w:t>
      </w:r>
      <w:proofErr w:type="spellEnd"/>
      <w:r w:rsidRPr="00080290">
        <w:rPr>
          <w:lang w:val="en-GB"/>
        </w:rPr>
        <w:t xml:space="preserve">, P. R., Groote, P., &amp; </w:t>
      </w:r>
      <w:proofErr w:type="spellStart"/>
      <w:r w:rsidRPr="00080290">
        <w:rPr>
          <w:lang w:val="en-GB"/>
        </w:rPr>
        <w:t>Vanclay</w:t>
      </w:r>
      <w:proofErr w:type="spellEnd"/>
      <w:r w:rsidRPr="00080290">
        <w:rPr>
          <w:lang w:val="en-GB"/>
        </w:rPr>
        <w:t xml:space="preserve">, F. (2019). </w:t>
      </w:r>
      <w:r w:rsidRPr="00080290">
        <w:rPr>
          <w:i/>
          <w:iCs/>
          <w:lang w:val="en-GB"/>
        </w:rPr>
        <w:t>Improving heritage impact assessment: An analytical critique of the ICOMOS guidelines</w:t>
      </w:r>
      <w:r w:rsidRPr="00080290">
        <w:rPr>
          <w:lang w:val="en-GB"/>
        </w:rPr>
        <w:t xml:space="preserve">. International Journal of Heritage Studies, 25(4), 333–347. DOI: 10.1080/13527258.2018.1477057. </w:t>
      </w:r>
    </w:p>
    <w:p w14:paraId="6200B7F0" w14:textId="77777777" w:rsidR="00080290" w:rsidRPr="00080290" w:rsidRDefault="00080290" w:rsidP="00080290">
      <w:pPr>
        <w:pStyle w:val="ListParagraph"/>
        <w:spacing w:line="276" w:lineRule="auto"/>
        <w:rPr>
          <w:lang w:val="en-GB"/>
        </w:rPr>
      </w:pPr>
      <w:r w:rsidRPr="00080290">
        <w:rPr>
          <w:lang w:val="en-GB"/>
        </w:rPr>
        <w:t xml:space="preserve">Waterton, E., &amp; Smith, L. (2010). </w:t>
      </w:r>
      <w:r w:rsidRPr="00080290">
        <w:rPr>
          <w:i/>
          <w:iCs/>
          <w:lang w:val="en-GB"/>
        </w:rPr>
        <w:t>The recognition and misrecognition of community heritage</w:t>
      </w:r>
      <w:r w:rsidRPr="00080290">
        <w:rPr>
          <w:lang w:val="en-GB"/>
        </w:rPr>
        <w:t xml:space="preserve">. International Journal of Heritage Studies, 16(1–2), 4–15. DOI: 10.1080/13527250903441671. </w:t>
      </w:r>
    </w:p>
    <w:p w14:paraId="509D5AF0" w14:textId="77777777" w:rsidR="00080290" w:rsidRPr="00080290" w:rsidRDefault="00080290" w:rsidP="00080290">
      <w:pPr>
        <w:pStyle w:val="ListParagraph"/>
        <w:spacing w:line="276" w:lineRule="auto"/>
        <w:rPr>
          <w:lang w:val="en-GB"/>
        </w:rPr>
      </w:pPr>
      <w:r w:rsidRPr="00080290">
        <w:rPr>
          <w:b/>
          <w:bCs/>
          <w:lang w:val="en-GB"/>
        </w:rPr>
        <w:t>Website references</w:t>
      </w:r>
    </w:p>
    <w:p w14:paraId="3FB6807B" w14:textId="77777777" w:rsidR="00080290" w:rsidRPr="00080290" w:rsidRDefault="00080290" w:rsidP="00080290">
      <w:pPr>
        <w:pStyle w:val="ListParagraph"/>
        <w:spacing w:line="276" w:lineRule="auto"/>
        <w:rPr>
          <w:lang w:val="en-GB"/>
        </w:rPr>
      </w:pPr>
      <w:r w:rsidRPr="00080290">
        <w:rPr>
          <w:lang w:val="en-GB"/>
        </w:rPr>
        <w:t xml:space="preserve">UNESCO World Heritage Centre. (n.d.). </w:t>
      </w:r>
      <w:r w:rsidRPr="00080290">
        <w:rPr>
          <w:i/>
          <w:iCs/>
          <w:lang w:val="en-GB"/>
        </w:rPr>
        <w:t xml:space="preserve">Group of Monuments at </w:t>
      </w:r>
      <w:proofErr w:type="spellStart"/>
      <w:r w:rsidRPr="00080290">
        <w:rPr>
          <w:i/>
          <w:iCs/>
          <w:lang w:val="en-GB"/>
        </w:rPr>
        <w:t>Hampi</w:t>
      </w:r>
      <w:proofErr w:type="spellEnd"/>
      <w:r w:rsidRPr="00080290">
        <w:rPr>
          <w:lang w:val="en-GB"/>
        </w:rPr>
        <w:t xml:space="preserve">. </w:t>
      </w:r>
    </w:p>
    <w:p w14:paraId="576BB99C" w14:textId="77777777" w:rsidR="00080290" w:rsidRPr="00080290" w:rsidRDefault="00080290" w:rsidP="00080290">
      <w:pPr>
        <w:pStyle w:val="ListParagraph"/>
        <w:spacing w:line="276" w:lineRule="auto"/>
        <w:rPr>
          <w:lang w:val="en-GB"/>
        </w:rPr>
      </w:pPr>
      <w:r w:rsidRPr="00080290">
        <w:rPr>
          <w:lang w:val="en-GB"/>
        </w:rPr>
        <w:t xml:space="preserve">UNESCO World Heritage Centre. (n.d.). </w:t>
      </w:r>
      <w:r w:rsidRPr="00080290">
        <w:rPr>
          <w:i/>
          <w:iCs/>
          <w:lang w:val="en-GB"/>
        </w:rPr>
        <w:t xml:space="preserve">Decision 47 COM 7B.68: Group of Monuments at </w:t>
      </w:r>
      <w:proofErr w:type="spellStart"/>
      <w:r w:rsidRPr="00080290">
        <w:rPr>
          <w:i/>
          <w:iCs/>
          <w:lang w:val="en-GB"/>
        </w:rPr>
        <w:t>Hampi</w:t>
      </w:r>
      <w:proofErr w:type="spellEnd"/>
      <w:r w:rsidRPr="00080290">
        <w:rPr>
          <w:lang w:val="en-GB"/>
        </w:rPr>
        <w:t xml:space="preserve">. </w:t>
      </w:r>
    </w:p>
    <w:p w14:paraId="5ABC8816" w14:textId="77777777" w:rsidR="00080290" w:rsidRPr="00080290" w:rsidRDefault="00080290" w:rsidP="00080290">
      <w:pPr>
        <w:pStyle w:val="ListParagraph"/>
        <w:spacing w:line="276" w:lineRule="auto"/>
        <w:rPr>
          <w:lang w:val="en-GB"/>
        </w:rPr>
      </w:pPr>
      <w:r w:rsidRPr="00080290">
        <w:rPr>
          <w:lang w:val="en-GB"/>
        </w:rPr>
        <w:t xml:space="preserve">ICOMOS. (2011). </w:t>
      </w:r>
      <w:r w:rsidRPr="00080290">
        <w:rPr>
          <w:i/>
          <w:iCs/>
          <w:lang w:val="en-GB"/>
        </w:rPr>
        <w:t>Guidance on Heritage Impact Assessments for Cultural World Heritage Properties</w:t>
      </w:r>
      <w:r w:rsidRPr="00080290">
        <w:rPr>
          <w:lang w:val="en-GB"/>
        </w:rPr>
        <w:t xml:space="preserve">. </w:t>
      </w:r>
    </w:p>
    <w:p w14:paraId="3E4FB7DB" w14:textId="77777777" w:rsidR="00DA3E04" w:rsidRPr="00DA3E04" w:rsidRDefault="00DA3E04" w:rsidP="00DA3E04">
      <w:pPr>
        <w:pStyle w:val="ListParagraph"/>
        <w:spacing w:line="276" w:lineRule="auto"/>
        <w:ind w:left="0"/>
        <w:rPr>
          <w:lang w:val="en-US"/>
        </w:rPr>
      </w:pPr>
    </w:p>
    <w:sectPr w:rsidR="00DA3E04" w:rsidRPr="00DA3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0009F00-5816-4061-BBFA-04077E0ABAB4}"/>
    <w:embedBold r:id="rId2" w:fontKey="{EBEFEE47-8A2B-4D3F-9FF9-E21B42C33734}"/>
    <w:embedItalic r:id="rId3" w:fontKey="{403079B9-0648-45CC-AB28-CA88456DB4C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7CC0C09-9A84-4BE2-88FA-2629FC53998F}"/>
  </w:font>
  <w:font w:name="Calibri Light">
    <w:panose1 w:val="020F0302020204030204"/>
    <w:charset w:val="00"/>
    <w:family w:val="swiss"/>
    <w:pitch w:val="variable"/>
    <w:sig w:usb0="E4002EFF" w:usb1="C000247B" w:usb2="00000009" w:usb3="00000000" w:csb0="000001FF" w:csb1="00000000"/>
    <w:embedRegular r:id="rId5" w:fontKey="{0CDEC3A1-7860-48C7-93B4-6472B9D5B73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8"/>
  </w:num>
  <w:num w:numId="3" w16cid:durableId="1544052912">
    <w:abstractNumId w:val="0"/>
  </w:num>
  <w:num w:numId="4" w16cid:durableId="746540664">
    <w:abstractNumId w:val="1"/>
  </w:num>
  <w:num w:numId="5" w16cid:durableId="1108088842">
    <w:abstractNumId w:val="3"/>
  </w:num>
  <w:num w:numId="6" w16cid:durableId="1713579031">
    <w:abstractNumId w:val="7"/>
  </w:num>
  <w:num w:numId="7" w16cid:durableId="612253008">
    <w:abstractNumId w:val="6"/>
  </w:num>
  <w:num w:numId="8" w16cid:durableId="314267375">
    <w:abstractNumId w:val="4"/>
  </w:num>
  <w:num w:numId="9" w16cid:durableId="327443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80290"/>
    <w:rsid w:val="001700EC"/>
    <w:rsid w:val="00174BB1"/>
    <w:rsid w:val="00224FD9"/>
    <w:rsid w:val="002F4AE0"/>
    <w:rsid w:val="00384E8A"/>
    <w:rsid w:val="003D1074"/>
    <w:rsid w:val="00426865"/>
    <w:rsid w:val="00477CAA"/>
    <w:rsid w:val="00502E29"/>
    <w:rsid w:val="005E1FD5"/>
    <w:rsid w:val="005E458B"/>
    <w:rsid w:val="00672345"/>
    <w:rsid w:val="00705037"/>
    <w:rsid w:val="007C7917"/>
    <w:rsid w:val="00844EC2"/>
    <w:rsid w:val="008516FE"/>
    <w:rsid w:val="00942251"/>
    <w:rsid w:val="009C1D0A"/>
    <w:rsid w:val="00A044F7"/>
    <w:rsid w:val="00A057BE"/>
    <w:rsid w:val="00A8150E"/>
    <w:rsid w:val="00B20343"/>
    <w:rsid w:val="00B85EA7"/>
    <w:rsid w:val="00BE65DD"/>
    <w:rsid w:val="00C612A4"/>
    <w:rsid w:val="00C80777"/>
    <w:rsid w:val="00CC6AD1"/>
    <w:rsid w:val="00CF34F8"/>
    <w:rsid w:val="00DA3E04"/>
    <w:rsid w:val="00E6778A"/>
    <w:rsid w:val="00F00C2D"/>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540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table" w:styleId="GridTable1Light">
    <w:name w:val="Grid Table 1 Light"/>
    <w:basedOn w:val="TableNormal"/>
    <w:uiPriority w:val="46"/>
    <w:rsid w:val="0008029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1078</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2026-06-16T15:16:00Z</dcterms:created>
  <dcterms:modified xsi:type="dcterms:W3CDTF">2026-06-16T15:16:00Z</dcterms:modified>
</cp:coreProperties>
</file>