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69EED9" w14:textId="77777777" w:rsidR="0019504D" w:rsidRPr="007211E8" w:rsidRDefault="0019504D" w:rsidP="0019504D">
      <w:pPr>
        <w:rPr>
          <w:lang w:val="en-US"/>
        </w:rPr>
      </w:pPr>
      <w:r w:rsidRPr="007211E8">
        <w:rPr>
          <w:noProof/>
          <w:lang w:val="en-US"/>
        </w:rPr>
        <w:drawing>
          <wp:anchor distT="0" distB="0" distL="114300" distR="114300" simplePos="0" relativeHeight="251658240" behindDoc="1" locked="0" layoutInCell="1" allowOverlap="1" wp14:anchorId="0C6AC241" wp14:editId="76AAFB92">
            <wp:simplePos x="0" y="0"/>
            <wp:positionH relativeFrom="column">
              <wp:posOffset>4001770</wp:posOffset>
            </wp:positionH>
            <wp:positionV relativeFrom="paragraph">
              <wp:posOffset>0</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37FCDEB6" w14:textId="77777777" w:rsidR="00661030" w:rsidRPr="007211E8" w:rsidRDefault="00661030" w:rsidP="00661030">
      <w:pPr>
        <w:rPr>
          <w:lang w:val="en-US"/>
        </w:rPr>
      </w:pPr>
      <w:r w:rsidRPr="007211E8">
        <w:rPr>
          <w:lang w:val="en-US"/>
        </w:rPr>
        <w:t>Tourism</w:t>
      </w:r>
      <w:r w:rsidR="00C21EBA" w:rsidRPr="007211E8">
        <w:rPr>
          <w:lang w:val="en-US"/>
        </w:rPr>
        <w:t xml:space="preserve"> </w:t>
      </w:r>
      <w:r w:rsidR="00481859" w:rsidRPr="007211E8">
        <w:rPr>
          <w:lang w:val="en-US"/>
        </w:rPr>
        <w:t>Law and Legislation</w:t>
      </w:r>
    </w:p>
    <w:p w14:paraId="7AF8CAD3" w14:textId="77777777" w:rsidR="0019504D" w:rsidRPr="007211E8" w:rsidRDefault="0019504D" w:rsidP="0019504D">
      <w:pPr>
        <w:rPr>
          <w:lang w:val="en-US"/>
        </w:rPr>
      </w:pPr>
      <w:r w:rsidRPr="007211E8">
        <w:rPr>
          <w:lang w:val="en-US"/>
        </w:rPr>
        <w:t xml:space="preserve">Assignment </w:t>
      </w:r>
      <w:r w:rsidR="00716E23" w:rsidRPr="007211E8">
        <w:rPr>
          <w:lang w:val="en-US"/>
        </w:rPr>
        <w:t>2</w:t>
      </w:r>
    </w:p>
    <w:p w14:paraId="3589F145" w14:textId="77777777" w:rsidR="0019504D" w:rsidRPr="007211E8" w:rsidRDefault="00716E23" w:rsidP="0019504D">
      <w:pPr>
        <w:rPr>
          <w:lang w:val="en-US"/>
        </w:rPr>
      </w:pPr>
      <w:r w:rsidRPr="007211E8">
        <w:rPr>
          <w:lang w:val="en-US"/>
        </w:rPr>
        <w:t>14</w:t>
      </w:r>
      <w:r w:rsidR="0019504D" w:rsidRPr="007211E8">
        <w:rPr>
          <w:lang w:val="en-US"/>
        </w:rPr>
        <w:t>.0</w:t>
      </w:r>
      <w:r w:rsidR="00481859" w:rsidRPr="007211E8">
        <w:rPr>
          <w:lang w:val="en-US"/>
        </w:rPr>
        <w:t>1</w:t>
      </w:r>
      <w:r w:rsidR="0019504D" w:rsidRPr="007211E8">
        <w:rPr>
          <w:lang w:val="en-US"/>
        </w:rPr>
        <w:t>.2025</w:t>
      </w:r>
    </w:p>
    <w:p w14:paraId="07F9BE35" w14:textId="77777777" w:rsidR="0019504D" w:rsidRPr="007211E8" w:rsidRDefault="0019504D"/>
    <w:p w14:paraId="0DB7088D" w14:textId="77777777" w:rsidR="007B2D80" w:rsidRPr="007B2D80" w:rsidRDefault="007B2D80" w:rsidP="007B2D80">
      <w:pPr>
        <w:rPr>
          <w:rFonts w:ascii="Aptos Narrow" w:eastAsia="Times New Roman" w:hAnsi="Aptos Narrow" w:cs="Times New Roman"/>
          <w:color w:val="000000"/>
          <w:kern w:val="0"/>
          <w:sz w:val="22"/>
          <w:szCs w:val="22"/>
          <w:lang w:val="en-GB" w:eastAsia="en-GB" w:bidi="hi-IN"/>
          <w14:ligatures w14:val="none"/>
        </w:rPr>
      </w:pPr>
      <w:r w:rsidRPr="007B2D80">
        <w:rPr>
          <w:rFonts w:ascii="Aptos Narrow" w:eastAsia="Times New Roman" w:hAnsi="Aptos Narrow" w:cs="Times New Roman"/>
          <w:color w:val="000000"/>
          <w:kern w:val="0"/>
          <w:sz w:val="22"/>
          <w:szCs w:val="22"/>
          <w:lang w:val="en-GB" w:eastAsia="en-GB" w:bidi="hi-IN"/>
          <w14:ligatures w14:val="none"/>
        </w:rPr>
        <w:t xml:space="preserve">Deepak </w:t>
      </w:r>
      <w:proofErr w:type="spellStart"/>
      <w:r w:rsidRPr="007B2D80">
        <w:rPr>
          <w:rFonts w:ascii="Aptos Narrow" w:eastAsia="Times New Roman" w:hAnsi="Aptos Narrow" w:cs="Times New Roman"/>
          <w:color w:val="000000"/>
          <w:kern w:val="0"/>
          <w:sz w:val="22"/>
          <w:szCs w:val="22"/>
          <w:lang w:val="en-GB" w:eastAsia="en-GB" w:bidi="hi-IN"/>
          <w14:ligatures w14:val="none"/>
        </w:rPr>
        <w:t>chand</w:t>
      </w:r>
      <w:proofErr w:type="spellEnd"/>
      <w:r w:rsidRPr="007B2D80">
        <w:rPr>
          <w:rFonts w:ascii="Aptos Narrow" w:eastAsia="Times New Roman" w:hAnsi="Aptos Narrow" w:cs="Times New Roman"/>
          <w:color w:val="000000"/>
          <w:kern w:val="0"/>
          <w:sz w:val="22"/>
          <w:szCs w:val="22"/>
          <w:lang w:val="en-GB" w:eastAsia="en-GB" w:bidi="hi-IN"/>
          <w14:ligatures w14:val="none"/>
        </w:rPr>
        <w:t xml:space="preserve"> </w:t>
      </w:r>
      <w:proofErr w:type="spellStart"/>
      <w:r w:rsidRPr="007B2D80">
        <w:rPr>
          <w:rFonts w:ascii="Aptos Narrow" w:eastAsia="Times New Roman" w:hAnsi="Aptos Narrow" w:cs="Times New Roman"/>
          <w:color w:val="000000"/>
          <w:kern w:val="0"/>
          <w:sz w:val="22"/>
          <w:szCs w:val="22"/>
          <w:lang w:val="en-GB" w:eastAsia="en-GB" w:bidi="hi-IN"/>
          <w14:ligatures w14:val="none"/>
        </w:rPr>
        <w:t>ramola</w:t>
      </w:r>
      <w:proofErr w:type="spellEnd"/>
    </w:p>
    <w:p w14:paraId="2A240E95" w14:textId="77777777" w:rsidR="0019504D" w:rsidRPr="007211E8" w:rsidRDefault="0019504D"/>
    <w:p w14:paraId="44503069" w14:textId="77777777" w:rsidR="00CD620A" w:rsidRPr="007211E8" w:rsidRDefault="00CD620A"/>
    <w:p w14:paraId="535E1485" w14:textId="77777777" w:rsidR="00CD620A" w:rsidRPr="007211E8" w:rsidRDefault="00CD620A"/>
    <w:p w14:paraId="5B460D21" w14:textId="77777777" w:rsidR="00CD620A" w:rsidRPr="007211E8" w:rsidRDefault="00CD620A"/>
    <w:p w14:paraId="29728A86" w14:textId="77777777" w:rsidR="00CD620A" w:rsidRPr="007211E8" w:rsidRDefault="00CD620A"/>
    <w:p w14:paraId="2A3900DC" w14:textId="77777777" w:rsidR="00CD620A" w:rsidRPr="007211E8" w:rsidRDefault="00CD620A"/>
    <w:p w14:paraId="67E2CB04" w14:textId="77777777" w:rsidR="00EA737F" w:rsidRPr="007211E8" w:rsidRDefault="00EA737F"/>
    <w:p w14:paraId="02934328" w14:textId="77777777" w:rsidR="0019504D" w:rsidRPr="007211E8" w:rsidRDefault="0019504D"/>
    <w:p w14:paraId="6683FBD1" w14:textId="77777777" w:rsidR="0019504D" w:rsidRPr="007211E8" w:rsidRDefault="0019504D"/>
    <w:p w14:paraId="70607A29" w14:textId="77777777" w:rsidR="00EA737F" w:rsidRPr="007211E8" w:rsidRDefault="00CD620A" w:rsidP="00EA737F">
      <w:pPr>
        <w:spacing w:line="276" w:lineRule="auto"/>
        <w:rPr>
          <w:lang w:val="en-US"/>
        </w:rPr>
      </w:pPr>
      <w:r w:rsidRPr="007211E8">
        <w:rPr>
          <w:lang w:val="en-US"/>
        </w:rPr>
        <w:t>In no more than 500 words</w:t>
      </w:r>
      <w:r w:rsidR="00716E23" w:rsidRPr="007211E8">
        <w:rPr>
          <w:lang w:val="en-US"/>
        </w:rPr>
        <w:t>,</w:t>
      </w:r>
      <w:r w:rsidR="00481859" w:rsidRPr="007211E8">
        <w:rPr>
          <w:lang w:val="en-US"/>
        </w:rPr>
        <w:t xml:space="preserve"> each explain</w:t>
      </w:r>
      <w:r w:rsidR="00716E23" w:rsidRPr="007211E8">
        <w:rPr>
          <w:lang w:val="en-US"/>
        </w:rPr>
        <w:t xml:space="preserve"> and 2-4 references:</w:t>
      </w:r>
    </w:p>
    <w:p w14:paraId="403B63B1" w14:textId="77777777" w:rsidR="00EA737F" w:rsidRPr="007211E8" w:rsidRDefault="00EA737F" w:rsidP="00EA737F">
      <w:pPr>
        <w:spacing w:line="276" w:lineRule="auto"/>
        <w:rPr>
          <w:lang w:val="en-US"/>
        </w:rPr>
      </w:pPr>
    </w:p>
    <w:p w14:paraId="4AD3029C" w14:textId="77777777" w:rsidR="00195C08" w:rsidRDefault="00195C08" w:rsidP="00195C08">
      <w:pPr>
        <w:spacing w:line="276" w:lineRule="auto"/>
        <w:rPr>
          <w:b/>
          <w:bCs/>
          <w:lang w:val="en-GB"/>
        </w:rPr>
      </w:pPr>
      <w:r w:rsidRPr="00195C08">
        <w:rPr>
          <w:b/>
          <w:bCs/>
          <w:lang w:val="en-GB"/>
        </w:rPr>
        <w:t>1. What are subsidiary bodies in international tourism governance? Explain their general role within UNWTO.</w:t>
      </w:r>
    </w:p>
    <w:p w14:paraId="3573B14E" w14:textId="77777777" w:rsidR="00195C08" w:rsidRPr="00195C08" w:rsidRDefault="00195C08" w:rsidP="00195C08">
      <w:pPr>
        <w:spacing w:line="276" w:lineRule="auto"/>
        <w:rPr>
          <w:b/>
          <w:bCs/>
          <w:lang w:val="en-GB"/>
        </w:rPr>
      </w:pPr>
    </w:p>
    <w:p w14:paraId="65611560" w14:textId="77777777" w:rsidR="007B2D80" w:rsidRPr="007B2D80" w:rsidRDefault="007B2D80" w:rsidP="007B2D80">
      <w:pPr>
        <w:spacing w:line="276" w:lineRule="auto"/>
        <w:rPr>
          <w:lang w:val="en-GB"/>
        </w:rPr>
      </w:pPr>
      <w:proofErr w:type="gramStart"/>
      <w:r w:rsidRPr="007B2D80">
        <w:rPr>
          <w:lang w:val="en-GB"/>
        </w:rPr>
        <w:t>For the purpose of</w:t>
      </w:r>
      <w:proofErr w:type="gramEnd"/>
      <w:r w:rsidRPr="007B2D80">
        <w:rPr>
          <w:lang w:val="en-GB"/>
        </w:rPr>
        <w:t xml:space="preserve"> </w:t>
      </w:r>
      <w:proofErr w:type="gramStart"/>
      <w:r w:rsidRPr="007B2D80">
        <w:rPr>
          <w:lang w:val="en-GB"/>
        </w:rPr>
        <w:t>providing assistance to</w:t>
      </w:r>
      <w:proofErr w:type="gramEnd"/>
      <w:r w:rsidRPr="007B2D80">
        <w:rPr>
          <w:lang w:val="en-GB"/>
        </w:rPr>
        <w:t xml:space="preserve"> international organizations in the management of specialized policy areas and operational responsibilities, subsidiary bodies are organizational units that have been established. These organizations contribute to the coordination of global tourism development and regulation within the context of international tourism governance. One of the most important roles that subsidiary entities play within the United Nations World Tourism Organization (UNWTO) is to improve the efficiency of the organization and to foster worldwide cooperation. </w:t>
      </w:r>
      <w:r w:rsidRPr="007B2D80">
        <w:rPr>
          <w:lang w:val="en-GB"/>
        </w:rPr>
        <w:br/>
        <w:t xml:space="preserve">Composed of regional commissions, advisory committees, and expert groups, the subsidiary bodies of the United Nations World Tourism Organization (UNWTO) are responsible for a variety of topics, including sustainable tourism, tourist statistics, ethics, innovation, and education. The purpose of these groups is to ensure that regional and thematic goals are effectively handled while also providing technical input and policy guidance. </w:t>
      </w:r>
      <w:r w:rsidRPr="007B2D80">
        <w:rPr>
          <w:lang w:val="en-GB"/>
        </w:rPr>
        <w:br/>
        <w:t xml:space="preserve">Support in the areas of both technical and strategic advisory work is one of their key objectives. The research, the preparation of analytical studies, and the provision of suggestions that are used to inform global tourist strategies are all carried out by subsidiary bodies. This ensures that the governance of tourism is informed by empirical facts and the knowledge of qualified professionals. </w:t>
      </w:r>
      <w:r w:rsidRPr="007B2D80">
        <w:rPr>
          <w:lang w:val="en-GB"/>
        </w:rPr>
        <w:br/>
      </w:r>
      <w:proofErr w:type="gramStart"/>
      <w:r w:rsidRPr="007B2D80">
        <w:rPr>
          <w:lang w:val="en-GB"/>
        </w:rPr>
        <w:t>An</w:t>
      </w:r>
      <w:proofErr w:type="gramEnd"/>
      <w:r w:rsidRPr="007B2D80">
        <w:rPr>
          <w:lang w:val="en-GB"/>
        </w:rPr>
        <w:t xml:space="preserve"> further essential function is that of inclusive representation. Member states are given the opportunity to actively participate in governance processes through the establishment of regional commissions. This helps to ensure that tourism policies are reflective of a variety of cultural, economic, and developmental contexts. This system provides support for decisions that are made on a global level that are equitable. </w:t>
      </w:r>
      <w:r w:rsidRPr="007B2D80">
        <w:rPr>
          <w:lang w:val="en-GB"/>
        </w:rPr>
        <w:br/>
        <w:t xml:space="preserve">Additionally, subsidiary entities contribute to the implementation and control of </w:t>
      </w:r>
      <w:r w:rsidRPr="007B2D80">
        <w:rPr>
          <w:lang w:val="en-GB"/>
        </w:rPr>
        <w:lastRenderedPageBreak/>
        <w:t xml:space="preserve">international tourism frameworks by </w:t>
      </w:r>
      <w:proofErr w:type="gramStart"/>
      <w:r w:rsidRPr="007B2D80">
        <w:rPr>
          <w:lang w:val="en-GB"/>
        </w:rPr>
        <w:t>providing assistance to</w:t>
      </w:r>
      <w:proofErr w:type="gramEnd"/>
      <w:r w:rsidRPr="007B2D80">
        <w:rPr>
          <w:lang w:val="en-GB"/>
        </w:rPr>
        <w:t xml:space="preserve"> member states in the process of applying these frameworks and monitoring progress. By providing training, engaging in policy dialogue, and disseminating best practices, they contribute to the strengthening of institutional capacity all around the world. </w:t>
      </w:r>
      <w:r w:rsidRPr="007B2D80">
        <w:rPr>
          <w:lang w:val="en-GB"/>
        </w:rPr>
        <w:br/>
      </w:r>
      <w:proofErr w:type="gramStart"/>
      <w:r w:rsidRPr="007B2D80">
        <w:rPr>
          <w:lang w:val="en-GB"/>
        </w:rPr>
        <w:t>For the purpose of</w:t>
      </w:r>
      <w:proofErr w:type="gramEnd"/>
      <w:r w:rsidRPr="007B2D80">
        <w:rPr>
          <w:lang w:val="en-GB"/>
        </w:rPr>
        <w:t xml:space="preserve"> enabling effective governance through specialization, involvement, and continual policy support, subsidiary entities serve as operational pillars of the United Nations World Tourism Organization (UNWTO).</w:t>
      </w:r>
    </w:p>
    <w:p w14:paraId="2C292F70" w14:textId="430D9934" w:rsidR="00195C08" w:rsidRDefault="00195C08" w:rsidP="00195C08">
      <w:pPr>
        <w:spacing w:line="276" w:lineRule="auto"/>
        <w:rPr>
          <w:b/>
          <w:bCs/>
          <w:lang w:val="en-GB"/>
        </w:rPr>
      </w:pPr>
    </w:p>
    <w:p w14:paraId="42691F4B" w14:textId="77777777" w:rsidR="007B2D80" w:rsidRPr="00195C08" w:rsidRDefault="007B2D80" w:rsidP="00195C08">
      <w:pPr>
        <w:spacing w:line="276" w:lineRule="auto"/>
        <w:rPr>
          <w:b/>
          <w:bCs/>
          <w:lang w:val="en-GB"/>
        </w:rPr>
      </w:pPr>
    </w:p>
    <w:p w14:paraId="489D314A" w14:textId="3969D550" w:rsidR="00195C08" w:rsidRPr="00195C08" w:rsidRDefault="00195C08" w:rsidP="00195C08">
      <w:pPr>
        <w:spacing w:line="276" w:lineRule="auto"/>
        <w:rPr>
          <w:b/>
          <w:bCs/>
          <w:lang w:val="en-GB"/>
        </w:rPr>
      </w:pPr>
    </w:p>
    <w:p w14:paraId="5178B614" w14:textId="77777777" w:rsidR="00195C08" w:rsidRDefault="00195C08" w:rsidP="00195C08">
      <w:pPr>
        <w:spacing w:line="276" w:lineRule="auto"/>
        <w:rPr>
          <w:b/>
          <w:bCs/>
          <w:lang w:val="en-GB"/>
        </w:rPr>
      </w:pPr>
      <w:r w:rsidRPr="00195C08">
        <w:rPr>
          <w:b/>
          <w:bCs/>
          <w:lang w:val="en-GB"/>
        </w:rPr>
        <w:t>2. What is the Manila Declaration on World Tourism (1980)? Why is it considered a milestone in tourism policy?</w:t>
      </w:r>
    </w:p>
    <w:p w14:paraId="595D6433" w14:textId="77777777" w:rsidR="00195C08" w:rsidRPr="00195C08" w:rsidRDefault="00195C08" w:rsidP="00195C08">
      <w:pPr>
        <w:spacing w:line="276" w:lineRule="auto"/>
        <w:rPr>
          <w:b/>
          <w:bCs/>
          <w:lang w:val="en-GB"/>
        </w:rPr>
      </w:pPr>
    </w:p>
    <w:p w14:paraId="04A61CCB" w14:textId="77777777" w:rsidR="007B2D80" w:rsidRPr="007B2D80" w:rsidRDefault="007B2D80" w:rsidP="007B2D80">
      <w:pPr>
        <w:spacing w:line="276" w:lineRule="auto"/>
        <w:rPr>
          <w:lang w:val="en-GB"/>
        </w:rPr>
      </w:pPr>
      <w:r w:rsidRPr="007B2D80">
        <w:rPr>
          <w:lang w:val="en-GB"/>
        </w:rPr>
        <w:t xml:space="preserve">One of the most important policy statements ever made was the Manila Declaration on World Tourism (1980), which was endorsed at the World Tourism Conference held in Manila. A united view of tourism as a contributor to economic progress, social advancement, and international understanding was stated by this document. </w:t>
      </w:r>
      <w:r w:rsidRPr="007B2D80">
        <w:rPr>
          <w:lang w:val="en-GB"/>
        </w:rPr>
        <w:br/>
        <w:t xml:space="preserve">The Declaration acknowledged tourism as a significant contributor to employment, the generating of money, and the interchange of cultural ideas. It placed an emphasis on the obligation of governments to plan the development of tourism in a manner that is beneficial to the communities that are hosting tourists and that preserves both cultural and natural resources. </w:t>
      </w:r>
      <w:r w:rsidRPr="007B2D80">
        <w:rPr>
          <w:lang w:val="en-GB"/>
        </w:rPr>
        <w:br/>
        <w:t xml:space="preserve">An approach to tourism that is based on rights and ethics was presented by the Manila Declaration, which is why it is regarded a significant milestone. In doing so, it raised tourism policy to a more comprehensive social and political framework by establishing a connection between tourism and fundamental human rights. </w:t>
      </w:r>
      <w:r w:rsidRPr="007B2D80">
        <w:rPr>
          <w:lang w:val="en-GB"/>
        </w:rPr>
        <w:br/>
        <w:t xml:space="preserve">Furthermore, the Declaration foreshadowed the ideas of sustainable tourism, which advocated for the protection of the environment and the responsible management of resources. These concepts eventually became the focal point of tourist policy and sustainability objectives on a global scale. </w:t>
      </w:r>
      <w:r w:rsidRPr="007B2D80">
        <w:rPr>
          <w:lang w:val="en-GB"/>
        </w:rPr>
        <w:br/>
        <w:t xml:space="preserve">Additionally, the Declaration placed an emphasis on international solidarity and cooperation, urging nations to work together </w:t>
      </w:r>
      <w:proofErr w:type="gramStart"/>
      <w:r w:rsidRPr="007B2D80">
        <w:rPr>
          <w:lang w:val="en-GB"/>
        </w:rPr>
        <w:t>in order to</w:t>
      </w:r>
      <w:proofErr w:type="gramEnd"/>
      <w:r w:rsidRPr="007B2D80">
        <w:rPr>
          <w:lang w:val="en-GB"/>
        </w:rPr>
        <w:t xml:space="preserve"> close the development gap and promote peace through tourism. </w:t>
      </w:r>
      <w:r w:rsidRPr="007B2D80">
        <w:rPr>
          <w:lang w:val="en-GB"/>
        </w:rPr>
        <w:br/>
      </w:r>
      <w:proofErr w:type="gramStart"/>
      <w:r w:rsidRPr="007B2D80">
        <w:rPr>
          <w:lang w:val="en-GB"/>
        </w:rPr>
        <w:t>Generally speaking, the</w:t>
      </w:r>
      <w:proofErr w:type="gramEnd"/>
      <w:r w:rsidRPr="007B2D80">
        <w:rPr>
          <w:lang w:val="en-GB"/>
        </w:rPr>
        <w:t xml:space="preserve"> Manila Declaration continues to be a foundational text that continues to have an impact on the governance and policy frameworks of international tourism management.</w:t>
      </w:r>
    </w:p>
    <w:p w14:paraId="0BB68B58" w14:textId="77777777" w:rsidR="00195C08" w:rsidRDefault="00195C08" w:rsidP="00195C08">
      <w:pPr>
        <w:spacing w:line="276" w:lineRule="auto"/>
        <w:rPr>
          <w:b/>
          <w:bCs/>
          <w:lang w:val="en-GB"/>
        </w:rPr>
      </w:pPr>
    </w:p>
    <w:p w14:paraId="382C1273" w14:textId="77777777" w:rsidR="007B2D80" w:rsidRDefault="007B2D80" w:rsidP="00195C08">
      <w:pPr>
        <w:spacing w:line="276" w:lineRule="auto"/>
        <w:rPr>
          <w:b/>
          <w:bCs/>
          <w:lang w:val="en-GB"/>
        </w:rPr>
      </w:pPr>
    </w:p>
    <w:p w14:paraId="7D426B82" w14:textId="77777777" w:rsidR="007B2D80" w:rsidRDefault="007B2D80" w:rsidP="00195C08">
      <w:pPr>
        <w:spacing w:line="276" w:lineRule="auto"/>
        <w:rPr>
          <w:b/>
          <w:bCs/>
          <w:lang w:val="en-GB"/>
        </w:rPr>
      </w:pPr>
    </w:p>
    <w:p w14:paraId="7E56EAE1" w14:textId="77777777" w:rsidR="007B2D80" w:rsidRDefault="007B2D80" w:rsidP="00195C08">
      <w:pPr>
        <w:spacing w:line="276" w:lineRule="auto"/>
        <w:rPr>
          <w:b/>
          <w:bCs/>
          <w:lang w:val="en-GB"/>
        </w:rPr>
      </w:pPr>
    </w:p>
    <w:p w14:paraId="5F418E0D" w14:textId="77777777" w:rsidR="007B2D80" w:rsidRDefault="007B2D80" w:rsidP="00195C08">
      <w:pPr>
        <w:spacing w:line="276" w:lineRule="auto"/>
        <w:rPr>
          <w:b/>
          <w:bCs/>
          <w:lang w:val="en-GB"/>
        </w:rPr>
      </w:pPr>
    </w:p>
    <w:p w14:paraId="75A292AC" w14:textId="77777777" w:rsidR="00195C08" w:rsidRPr="00195C08" w:rsidRDefault="00195C08" w:rsidP="00195C08">
      <w:pPr>
        <w:spacing w:line="276" w:lineRule="auto"/>
        <w:rPr>
          <w:b/>
          <w:bCs/>
          <w:lang w:val="en-GB"/>
        </w:rPr>
      </w:pPr>
    </w:p>
    <w:p w14:paraId="4EEE3830" w14:textId="3330FDF9" w:rsidR="00195C08" w:rsidRDefault="00195C08" w:rsidP="00195C08">
      <w:pPr>
        <w:spacing w:line="276" w:lineRule="auto"/>
        <w:rPr>
          <w:b/>
          <w:bCs/>
          <w:lang w:val="en-GB"/>
        </w:rPr>
      </w:pPr>
      <w:r w:rsidRPr="00195C08">
        <w:rPr>
          <w:b/>
          <w:bCs/>
          <w:lang w:val="en-GB"/>
        </w:rPr>
        <w:t xml:space="preserve">References </w:t>
      </w:r>
    </w:p>
    <w:p w14:paraId="07C55C12" w14:textId="77777777" w:rsidR="00195C08" w:rsidRPr="00195C08" w:rsidRDefault="00195C08" w:rsidP="00195C08">
      <w:pPr>
        <w:spacing w:line="276" w:lineRule="auto"/>
        <w:rPr>
          <w:b/>
          <w:bCs/>
          <w:lang w:val="en-GB"/>
        </w:rPr>
      </w:pPr>
    </w:p>
    <w:p w14:paraId="23EE587D" w14:textId="77777777" w:rsidR="00195C08" w:rsidRPr="00195C08" w:rsidRDefault="00195C08" w:rsidP="00195C08">
      <w:pPr>
        <w:numPr>
          <w:ilvl w:val="0"/>
          <w:numId w:val="4"/>
        </w:numPr>
        <w:spacing w:line="276" w:lineRule="auto"/>
        <w:rPr>
          <w:b/>
          <w:bCs/>
          <w:lang w:val="en-GB"/>
        </w:rPr>
      </w:pPr>
      <w:r w:rsidRPr="00195C08">
        <w:rPr>
          <w:b/>
          <w:bCs/>
          <w:lang w:val="en-GB"/>
        </w:rPr>
        <w:t xml:space="preserve">Bramwell, B., &amp; Lane, B. (2011). Critical research on the governance of tourism. </w:t>
      </w:r>
      <w:r w:rsidRPr="00195C08">
        <w:rPr>
          <w:b/>
          <w:bCs/>
          <w:i/>
          <w:iCs/>
          <w:lang w:val="en-GB"/>
        </w:rPr>
        <w:t>Journal of Sustainable Tourism, 19</w:t>
      </w:r>
      <w:r w:rsidRPr="00195C08">
        <w:rPr>
          <w:b/>
          <w:bCs/>
          <w:lang w:val="en-GB"/>
        </w:rPr>
        <w:t xml:space="preserve">(4–5), 411–421. </w:t>
      </w:r>
      <w:hyperlink r:id="rId6" w:tgtFrame="_new" w:history="1">
        <w:r w:rsidRPr="00195C08">
          <w:rPr>
            <w:rStyle w:val="Hyperlink"/>
            <w:b/>
            <w:bCs/>
            <w:lang w:val="en-GB"/>
          </w:rPr>
          <w:t>https://doi.org/10.1080/09669582.2011.580586</w:t>
        </w:r>
      </w:hyperlink>
    </w:p>
    <w:p w14:paraId="09C57F17" w14:textId="77777777" w:rsidR="00195C08" w:rsidRPr="00195C08" w:rsidRDefault="00195C08" w:rsidP="00195C08">
      <w:pPr>
        <w:numPr>
          <w:ilvl w:val="0"/>
          <w:numId w:val="4"/>
        </w:numPr>
        <w:spacing w:line="276" w:lineRule="auto"/>
        <w:rPr>
          <w:b/>
          <w:bCs/>
          <w:lang w:val="en-GB"/>
        </w:rPr>
      </w:pPr>
      <w:r w:rsidRPr="00195C08">
        <w:rPr>
          <w:b/>
          <w:bCs/>
          <w:lang w:val="en-GB"/>
        </w:rPr>
        <w:t xml:space="preserve">Cooper, C., Fletcher, J., Fyall, A., Gilbert, D., &amp; </w:t>
      </w:r>
      <w:proofErr w:type="spellStart"/>
      <w:r w:rsidRPr="00195C08">
        <w:rPr>
          <w:b/>
          <w:bCs/>
          <w:lang w:val="en-GB"/>
        </w:rPr>
        <w:t>Wanhill</w:t>
      </w:r>
      <w:proofErr w:type="spellEnd"/>
      <w:r w:rsidRPr="00195C08">
        <w:rPr>
          <w:b/>
          <w:bCs/>
          <w:lang w:val="en-GB"/>
        </w:rPr>
        <w:t xml:space="preserve">, S. (2008). </w:t>
      </w:r>
      <w:r w:rsidRPr="00195C08">
        <w:rPr>
          <w:b/>
          <w:bCs/>
          <w:i/>
          <w:iCs/>
          <w:lang w:val="en-GB"/>
        </w:rPr>
        <w:t>Tourism: Principles and practice</w:t>
      </w:r>
      <w:r w:rsidRPr="00195C08">
        <w:rPr>
          <w:b/>
          <w:bCs/>
          <w:lang w:val="en-GB"/>
        </w:rPr>
        <w:t xml:space="preserve"> (4th ed.). Pearson.</w:t>
      </w:r>
    </w:p>
    <w:p w14:paraId="78A95A5C" w14:textId="77777777" w:rsidR="00195C08" w:rsidRPr="00195C08" w:rsidRDefault="00195C08" w:rsidP="00195C08">
      <w:pPr>
        <w:numPr>
          <w:ilvl w:val="0"/>
          <w:numId w:val="4"/>
        </w:numPr>
        <w:spacing w:line="276" w:lineRule="auto"/>
        <w:rPr>
          <w:b/>
          <w:bCs/>
          <w:lang w:val="en-GB"/>
        </w:rPr>
      </w:pPr>
      <w:r w:rsidRPr="00195C08">
        <w:rPr>
          <w:b/>
          <w:bCs/>
          <w:lang w:val="en-GB"/>
        </w:rPr>
        <w:t xml:space="preserve">United Nations World Tourism Organization (UNWTO). (1980). </w:t>
      </w:r>
      <w:r w:rsidRPr="00195C08">
        <w:rPr>
          <w:b/>
          <w:bCs/>
          <w:i/>
          <w:iCs/>
          <w:lang w:val="en-GB"/>
        </w:rPr>
        <w:t>Manila Declaration on World Tourism</w:t>
      </w:r>
      <w:r w:rsidRPr="00195C08">
        <w:rPr>
          <w:b/>
          <w:bCs/>
          <w:lang w:val="en-GB"/>
        </w:rPr>
        <w:t>. Madrid: UNWTO.</w:t>
      </w:r>
    </w:p>
    <w:p w14:paraId="13FC86CB" w14:textId="77777777" w:rsidR="00195C08" w:rsidRPr="00195C08" w:rsidRDefault="00195C08" w:rsidP="00195C08">
      <w:pPr>
        <w:numPr>
          <w:ilvl w:val="0"/>
          <w:numId w:val="4"/>
        </w:numPr>
        <w:spacing w:line="276" w:lineRule="auto"/>
        <w:rPr>
          <w:b/>
          <w:bCs/>
          <w:lang w:val="en-GB"/>
        </w:rPr>
      </w:pPr>
      <w:r w:rsidRPr="00195C08">
        <w:rPr>
          <w:b/>
          <w:bCs/>
          <w:lang w:val="en-GB"/>
        </w:rPr>
        <w:t xml:space="preserve">United Nations World Tourism Organization (UNWTO). (2017). </w:t>
      </w:r>
      <w:r w:rsidRPr="00195C08">
        <w:rPr>
          <w:b/>
          <w:bCs/>
          <w:i/>
          <w:iCs/>
          <w:lang w:val="en-GB"/>
        </w:rPr>
        <w:t>Tourism and the Sustainable Development Goals</w:t>
      </w:r>
      <w:r w:rsidRPr="00195C08">
        <w:rPr>
          <w:b/>
          <w:bCs/>
          <w:lang w:val="en-GB"/>
        </w:rPr>
        <w:t>. Madrid: UNWTO.</w:t>
      </w:r>
    </w:p>
    <w:p w14:paraId="5829232A" w14:textId="77777777" w:rsidR="00C70025" w:rsidRPr="007211E8" w:rsidRDefault="00C70025" w:rsidP="007211E8">
      <w:pPr>
        <w:spacing w:line="276" w:lineRule="auto"/>
        <w:rPr>
          <w:lang w:val="en-US"/>
        </w:rPr>
      </w:pPr>
    </w:p>
    <w:sectPr w:rsidR="00C70025" w:rsidRPr="007211E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embedRegular r:id="rId1" w:fontKey="{CF6CD754-7DA9-4A0C-846A-800A2414CD99}"/>
    <w:embedBold r:id="rId2" w:fontKey="{5BF7E674-E630-47B6-BA48-E4B6EBD5CCAE}"/>
    <w:embedBoldItalic r:id="rId3" w:fontKey="{D10952E4-D66F-46F8-95B7-3F53FE1326FF}"/>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4" w:fontKey="{1499271C-64F9-4F8A-BC4C-C0A23014C84E}"/>
  </w:font>
  <w:font w:name="Aptos Narrow">
    <w:charset w:val="00"/>
    <w:family w:val="swiss"/>
    <w:pitch w:val="variable"/>
    <w:sig w:usb0="20000287" w:usb1="00000003" w:usb2="00000000" w:usb3="00000000" w:csb0="0000019F" w:csb1="00000000"/>
    <w:embedRegular r:id="rId5" w:fontKey="{98A382F5-3A87-4974-98CC-4F5F35BC5F1C}"/>
  </w:font>
  <w:font w:name="Calibri Light">
    <w:panose1 w:val="020F0302020204030204"/>
    <w:charset w:val="00"/>
    <w:family w:val="swiss"/>
    <w:pitch w:val="variable"/>
    <w:sig w:usb0="E4002EFF" w:usb1="C000247B" w:usb2="00000009" w:usb3="00000000" w:csb0="000001FF" w:csb1="00000000"/>
    <w:embedRegular r:id="rId6" w:fontKey="{070D7E7E-C2BF-4550-8829-114577A01084}"/>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E414169"/>
    <w:multiLevelType w:val="multilevel"/>
    <w:tmpl w:val="56B4C1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41C7C06"/>
    <w:multiLevelType w:val="hybridMultilevel"/>
    <w:tmpl w:val="70FE5A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9F769EF"/>
    <w:multiLevelType w:val="multilevel"/>
    <w:tmpl w:val="61A210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FA436BA"/>
    <w:multiLevelType w:val="multilevel"/>
    <w:tmpl w:val="91DE90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97253393">
    <w:abstractNumId w:val="3"/>
  </w:num>
  <w:num w:numId="2" w16cid:durableId="1152258877">
    <w:abstractNumId w:val="0"/>
  </w:num>
  <w:num w:numId="3" w16cid:durableId="1034308017">
    <w:abstractNumId w:val="1"/>
  </w:num>
  <w:num w:numId="4" w16cid:durableId="58846960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504D"/>
    <w:rsid w:val="0003533E"/>
    <w:rsid w:val="001700EC"/>
    <w:rsid w:val="00174BB1"/>
    <w:rsid w:val="0019504D"/>
    <w:rsid w:val="00195C08"/>
    <w:rsid w:val="00224FD9"/>
    <w:rsid w:val="002565DA"/>
    <w:rsid w:val="002F4AE0"/>
    <w:rsid w:val="00384E8A"/>
    <w:rsid w:val="003D1074"/>
    <w:rsid w:val="00426865"/>
    <w:rsid w:val="00477CAA"/>
    <w:rsid w:val="00481859"/>
    <w:rsid w:val="00502E29"/>
    <w:rsid w:val="00525072"/>
    <w:rsid w:val="005E458B"/>
    <w:rsid w:val="00661030"/>
    <w:rsid w:val="00686ACB"/>
    <w:rsid w:val="00687DF8"/>
    <w:rsid w:val="00716E23"/>
    <w:rsid w:val="007211E8"/>
    <w:rsid w:val="007B2D80"/>
    <w:rsid w:val="00844EC2"/>
    <w:rsid w:val="008516FE"/>
    <w:rsid w:val="00903466"/>
    <w:rsid w:val="0091369A"/>
    <w:rsid w:val="009C1D0A"/>
    <w:rsid w:val="00A044F7"/>
    <w:rsid w:val="00A22845"/>
    <w:rsid w:val="00A8150E"/>
    <w:rsid w:val="00B20343"/>
    <w:rsid w:val="00B85EA7"/>
    <w:rsid w:val="00BE65DD"/>
    <w:rsid w:val="00C21EBA"/>
    <w:rsid w:val="00C612A4"/>
    <w:rsid w:val="00C70025"/>
    <w:rsid w:val="00CC6AD1"/>
    <w:rsid w:val="00CD620A"/>
    <w:rsid w:val="00DA47A1"/>
    <w:rsid w:val="00E06B94"/>
    <w:rsid w:val="00E6778A"/>
    <w:rsid w:val="00EA737F"/>
    <w:rsid w:val="00F25F5B"/>
    <w:rsid w:val="00F837B1"/>
    <w:rsid w:val="00FB3399"/>
  </w:rsids>
  <m:mathPr>
    <m:mathFont m:val="Cambria Math"/>
    <m:brkBin m:val="before"/>
    <m:brkBinSub m:val="--"/>
    <m:smallFrac m:val="0"/>
    <m:dispDef/>
    <m:lMargin m:val="0"/>
    <m:rMargin m:val="0"/>
    <m:defJc m:val="centerGroup"/>
    <m:wrapIndent m:val="1440"/>
    <m:intLim m:val="subSup"/>
    <m:naryLim m:val="undOvr"/>
  </m:mathPr>
  <w:themeFontLang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9A666F"/>
  <w15:chartTrackingRefBased/>
  <w15:docId w15:val="{AE258468-FA1D-F144-9C16-5F86A1A2C1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paragraph" w:styleId="NormalWeb">
    <w:name w:val="Normal (Web)"/>
    <w:basedOn w:val="Normal"/>
    <w:uiPriority w:val="99"/>
    <w:semiHidden/>
    <w:unhideWhenUsed/>
    <w:rsid w:val="00C70025"/>
    <w:rPr>
      <w:rFonts w:ascii="Times New Roman" w:hAnsi="Times New Roman" w:cs="Times New Roman"/>
    </w:rPr>
  </w:style>
  <w:style w:type="character" w:styleId="Hyperlink">
    <w:name w:val="Hyperlink"/>
    <w:basedOn w:val="DefaultParagraphFont"/>
    <w:uiPriority w:val="99"/>
    <w:unhideWhenUsed/>
    <w:rsid w:val="00195C08"/>
    <w:rPr>
      <w:color w:val="0563C1" w:themeColor="hyperlink"/>
      <w:u w:val="single"/>
    </w:rPr>
  </w:style>
  <w:style w:type="character" w:styleId="UnresolvedMention">
    <w:name w:val="Unresolved Mention"/>
    <w:basedOn w:val="DefaultParagraphFont"/>
    <w:uiPriority w:val="99"/>
    <w:semiHidden/>
    <w:unhideWhenUsed/>
    <w:rsid w:val="00195C0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doi.org/10.1080/09669582.2011.580586" TargetMode="External"/><Relationship Id="rId5" Type="http://schemas.openxmlformats.org/officeDocument/2006/relationships/image" Target="media/image1.png"/><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767</Words>
  <Characters>4378</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Preeti (24131962)</cp:lastModifiedBy>
  <cp:revision>2</cp:revision>
  <dcterms:created xsi:type="dcterms:W3CDTF">2026-01-20T13:07:00Z</dcterms:created>
  <dcterms:modified xsi:type="dcterms:W3CDTF">2026-01-20T13:07:00Z</dcterms:modified>
</cp:coreProperties>
</file>