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7742B" w14:textId="77777777" w:rsidR="0019504D" w:rsidRPr="00A20601" w:rsidRDefault="0019504D" w:rsidP="00A20601">
      <w:pPr>
        <w:spacing w:line="360" w:lineRule="auto"/>
        <w:jc w:val="both"/>
        <w:rPr>
          <w:rFonts w:ascii="Times New Roman" w:hAnsi="Times New Roman" w:cs="Times New Roman"/>
          <w:lang w:val="en-US"/>
        </w:rPr>
      </w:pPr>
      <w:r w:rsidRPr="00A20601">
        <w:rPr>
          <w:rFonts w:ascii="Times New Roman" w:hAnsi="Times New Roman" w:cs="Times New Roman"/>
          <w:noProof/>
          <w:lang w:val="en-US"/>
        </w:rPr>
        <w:drawing>
          <wp:anchor distT="0" distB="0" distL="114300" distR="114300" simplePos="0" relativeHeight="251658240" behindDoc="1" locked="0" layoutInCell="1" allowOverlap="1" wp14:anchorId="112CDBE5" wp14:editId="00FC9C9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70835A" w14:textId="77777777" w:rsidR="00661030" w:rsidRPr="00A20601" w:rsidRDefault="00661030" w:rsidP="00A20601">
      <w:pPr>
        <w:spacing w:line="360" w:lineRule="auto"/>
        <w:jc w:val="both"/>
        <w:rPr>
          <w:rFonts w:ascii="Times New Roman" w:hAnsi="Times New Roman" w:cs="Times New Roman"/>
          <w:b/>
          <w:bCs/>
          <w:lang w:val="en-US"/>
        </w:rPr>
      </w:pPr>
      <w:r w:rsidRPr="00A20601">
        <w:rPr>
          <w:rFonts w:ascii="Times New Roman" w:hAnsi="Times New Roman" w:cs="Times New Roman"/>
          <w:b/>
          <w:bCs/>
          <w:lang w:val="en-US"/>
        </w:rPr>
        <w:t>Tourism</w:t>
      </w:r>
      <w:r w:rsidR="00C21EBA" w:rsidRPr="00A20601">
        <w:rPr>
          <w:rFonts w:ascii="Times New Roman" w:hAnsi="Times New Roman" w:cs="Times New Roman"/>
          <w:b/>
          <w:bCs/>
          <w:lang w:val="en-US"/>
        </w:rPr>
        <w:t xml:space="preserve"> </w:t>
      </w:r>
      <w:r w:rsidR="00481859" w:rsidRPr="00A20601">
        <w:rPr>
          <w:rFonts w:ascii="Times New Roman" w:hAnsi="Times New Roman" w:cs="Times New Roman"/>
          <w:b/>
          <w:bCs/>
          <w:lang w:val="en-US"/>
        </w:rPr>
        <w:t>Law and Legislation</w:t>
      </w:r>
    </w:p>
    <w:p w14:paraId="5A6BEA3C" w14:textId="77777777" w:rsidR="0019504D" w:rsidRPr="00A20601" w:rsidRDefault="0019504D"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t xml:space="preserve">Assignment </w:t>
      </w:r>
      <w:r w:rsidR="00716E23" w:rsidRPr="00A20601">
        <w:rPr>
          <w:rFonts w:ascii="Times New Roman" w:hAnsi="Times New Roman" w:cs="Times New Roman"/>
          <w:lang w:val="en-US"/>
        </w:rPr>
        <w:t>2</w:t>
      </w:r>
    </w:p>
    <w:p w14:paraId="7905F821" w14:textId="77777777" w:rsidR="0019504D" w:rsidRPr="00A20601" w:rsidRDefault="00716E23"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t>14</w:t>
      </w:r>
      <w:r w:rsidR="0019504D" w:rsidRPr="00A20601">
        <w:rPr>
          <w:rFonts w:ascii="Times New Roman" w:hAnsi="Times New Roman" w:cs="Times New Roman"/>
          <w:lang w:val="en-US"/>
        </w:rPr>
        <w:t>.0</w:t>
      </w:r>
      <w:r w:rsidR="00481859" w:rsidRPr="00A20601">
        <w:rPr>
          <w:rFonts w:ascii="Times New Roman" w:hAnsi="Times New Roman" w:cs="Times New Roman"/>
          <w:lang w:val="en-US"/>
        </w:rPr>
        <w:t>1</w:t>
      </w:r>
      <w:r w:rsidR="0019504D" w:rsidRPr="00A20601">
        <w:rPr>
          <w:rFonts w:ascii="Times New Roman" w:hAnsi="Times New Roman" w:cs="Times New Roman"/>
          <w:lang w:val="en-US"/>
        </w:rPr>
        <w:t>.2025</w:t>
      </w:r>
    </w:p>
    <w:p w14:paraId="750CFF40" w14:textId="77777777" w:rsidR="0019504D" w:rsidRPr="00A20601" w:rsidRDefault="0019504D" w:rsidP="00A20601">
      <w:pPr>
        <w:spacing w:line="360" w:lineRule="auto"/>
        <w:jc w:val="both"/>
        <w:rPr>
          <w:rFonts w:ascii="Times New Roman" w:hAnsi="Times New Roman" w:cs="Times New Roman"/>
        </w:rPr>
      </w:pPr>
    </w:p>
    <w:p w14:paraId="0EA91E6F" w14:textId="77777777" w:rsidR="0019504D" w:rsidRPr="00A20601" w:rsidRDefault="0019504D" w:rsidP="00A20601">
      <w:pPr>
        <w:spacing w:line="360" w:lineRule="auto"/>
        <w:jc w:val="both"/>
        <w:rPr>
          <w:rFonts w:ascii="Times New Roman" w:hAnsi="Times New Roman" w:cs="Times New Roman"/>
        </w:rPr>
      </w:pPr>
    </w:p>
    <w:p w14:paraId="09013642" w14:textId="77777777" w:rsidR="0019504D" w:rsidRPr="00A20601" w:rsidRDefault="0019504D" w:rsidP="00A20601">
      <w:pPr>
        <w:spacing w:line="360" w:lineRule="auto"/>
        <w:jc w:val="both"/>
        <w:rPr>
          <w:rFonts w:ascii="Times New Roman" w:hAnsi="Times New Roman" w:cs="Times New Roman"/>
        </w:rPr>
      </w:pPr>
    </w:p>
    <w:p w14:paraId="0E8B42B8" w14:textId="77777777" w:rsidR="0019504D" w:rsidRPr="00A20601" w:rsidRDefault="0019504D" w:rsidP="00A20601">
      <w:pPr>
        <w:spacing w:line="360" w:lineRule="auto"/>
        <w:jc w:val="both"/>
        <w:rPr>
          <w:rFonts w:ascii="Times New Roman" w:hAnsi="Times New Roman" w:cs="Times New Roman"/>
        </w:rPr>
      </w:pPr>
    </w:p>
    <w:p w14:paraId="0F8B3DED" w14:textId="77777777" w:rsidR="0019504D" w:rsidRPr="00A20601" w:rsidRDefault="0019504D" w:rsidP="00A20601">
      <w:pPr>
        <w:spacing w:line="360" w:lineRule="auto"/>
        <w:jc w:val="both"/>
        <w:rPr>
          <w:rFonts w:ascii="Times New Roman" w:hAnsi="Times New Roman" w:cs="Times New Roman"/>
        </w:rPr>
      </w:pPr>
    </w:p>
    <w:p w14:paraId="6BD35F99" w14:textId="77777777" w:rsidR="00CD620A" w:rsidRPr="00A20601" w:rsidRDefault="00CD620A" w:rsidP="00A20601">
      <w:pPr>
        <w:spacing w:line="360" w:lineRule="auto"/>
        <w:jc w:val="both"/>
        <w:rPr>
          <w:rFonts w:ascii="Times New Roman" w:hAnsi="Times New Roman" w:cs="Times New Roman"/>
        </w:rPr>
      </w:pPr>
    </w:p>
    <w:p w14:paraId="27075AC2" w14:textId="77777777" w:rsidR="00CD620A" w:rsidRPr="00A20601" w:rsidRDefault="00CD620A" w:rsidP="00A20601">
      <w:pPr>
        <w:spacing w:line="360" w:lineRule="auto"/>
        <w:jc w:val="both"/>
        <w:rPr>
          <w:rFonts w:ascii="Times New Roman" w:hAnsi="Times New Roman" w:cs="Times New Roman"/>
        </w:rPr>
      </w:pPr>
    </w:p>
    <w:p w14:paraId="603186C9" w14:textId="77777777" w:rsidR="00CD620A" w:rsidRPr="00A20601" w:rsidRDefault="00CD620A" w:rsidP="00A20601">
      <w:pPr>
        <w:spacing w:line="360" w:lineRule="auto"/>
        <w:jc w:val="both"/>
        <w:rPr>
          <w:rFonts w:ascii="Times New Roman" w:hAnsi="Times New Roman" w:cs="Times New Roman"/>
        </w:rPr>
      </w:pPr>
    </w:p>
    <w:p w14:paraId="670CC3B4" w14:textId="77777777" w:rsidR="00CD620A" w:rsidRPr="00A20601" w:rsidRDefault="00CD620A" w:rsidP="00A20601">
      <w:pPr>
        <w:spacing w:line="360" w:lineRule="auto"/>
        <w:jc w:val="both"/>
        <w:rPr>
          <w:rFonts w:ascii="Times New Roman" w:hAnsi="Times New Roman" w:cs="Times New Roman"/>
        </w:rPr>
      </w:pPr>
    </w:p>
    <w:p w14:paraId="6FBCC5CD" w14:textId="77777777" w:rsidR="00CD620A" w:rsidRPr="00A20601" w:rsidRDefault="00CD620A" w:rsidP="00A20601">
      <w:pPr>
        <w:spacing w:line="360" w:lineRule="auto"/>
        <w:jc w:val="both"/>
        <w:rPr>
          <w:rFonts w:ascii="Times New Roman" w:hAnsi="Times New Roman" w:cs="Times New Roman"/>
        </w:rPr>
      </w:pPr>
    </w:p>
    <w:p w14:paraId="37FD3B84" w14:textId="77777777" w:rsidR="00EA737F" w:rsidRPr="00A20601" w:rsidRDefault="00EA737F" w:rsidP="00A20601">
      <w:pPr>
        <w:spacing w:line="360" w:lineRule="auto"/>
        <w:jc w:val="both"/>
        <w:rPr>
          <w:rFonts w:ascii="Times New Roman" w:hAnsi="Times New Roman" w:cs="Times New Roman"/>
        </w:rPr>
      </w:pPr>
    </w:p>
    <w:p w14:paraId="08E0FC1E" w14:textId="77777777" w:rsidR="0019504D" w:rsidRPr="00A20601" w:rsidRDefault="0019504D" w:rsidP="00A20601">
      <w:pPr>
        <w:spacing w:line="360" w:lineRule="auto"/>
        <w:jc w:val="both"/>
        <w:rPr>
          <w:rFonts w:ascii="Times New Roman" w:hAnsi="Times New Roman" w:cs="Times New Roman"/>
        </w:rPr>
      </w:pPr>
    </w:p>
    <w:p w14:paraId="3A34B11D" w14:textId="77777777" w:rsidR="0019504D" w:rsidRPr="00A20601" w:rsidRDefault="0019504D" w:rsidP="00A20601">
      <w:pPr>
        <w:spacing w:line="360" w:lineRule="auto"/>
        <w:jc w:val="both"/>
        <w:rPr>
          <w:rFonts w:ascii="Times New Roman" w:hAnsi="Times New Roman" w:cs="Times New Roman"/>
        </w:rPr>
      </w:pPr>
    </w:p>
    <w:p w14:paraId="127B7171" w14:textId="77777777" w:rsidR="00EA737F" w:rsidRPr="00A20601" w:rsidRDefault="00CD620A" w:rsidP="00A20601">
      <w:pPr>
        <w:spacing w:line="360" w:lineRule="auto"/>
        <w:jc w:val="both"/>
        <w:rPr>
          <w:rFonts w:ascii="Times New Roman" w:hAnsi="Times New Roman" w:cs="Times New Roman"/>
          <w:b/>
          <w:bCs/>
          <w:lang w:val="en-US"/>
        </w:rPr>
      </w:pPr>
      <w:r w:rsidRPr="00A20601">
        <w:rPr>
          <w:rFonts w:ascii="Times New Roman" w:hAnsi="Times New Roman" w:cs="Times New Roman"/>
          <w:b/>
          <w:bCs/>
          <w:lang w:val="en-US"/>
        </w:rPr>
        <w:t>In no more than 500 words</w:t>
      </w:r>
      <w:r w:rsidR="00716E23" w:rsidRPr="00A20601">
        <w:rPr>
          <w:rFonts w:ascii="Times New Roman" w:hAnsi="Times New Roman" w:cs="Times New Roman"/>
          <w:b/>
          <w:bCs/>
          <w:lang w:val="en-US"/>
        </w:rPr>
        <w:t>,</w:t>
      </w:r>
      <w:r w:rsidR="00481859" w:rsidRPr="00A20601">
        <w:rPr>
          <w:rFonts w:ascii="Times New Roman" w:hAnsi="Times New Roman" w:cs="Times New Roman"/>
          <w:b/>
          <w:bCs/>
          <w:lang w:val="en-US"/>
        </w:rPr>
        <w:t xml:space="preserve"> each explain</w:t>
      </w:r>
      <w:r w:rsidR="00716E23" w:rsidRPr="00A20601">
        <w:rPr>
          <w:rFonts w:ascii="Times New Roman" w:hAnsi="Times New Roman" w:cs="Times New Roman"/>
          <w:b/>
          <w:bCs/>
          <w:lang w:val="en-US"/>
        </w:rPr>
        <w:t xml:space="preserve"> and 2-4 references:</w:t>
      </w:r>
    </w:p>
    <w:p w14:paraId="24BBAF9A" w14:textId="77777777" w:rsidR="00EA737F" w:rsidRPr="00A20601" w:rsidRDefault="00EA737F" w:rsidP="00A20601">
      <w:pPr>
        <w:spacing w:line="360" w:lineRule="auto"/>
        <w:jc w:val="both"/>
        <w:rPr>
          <w:rFonts w:ascii="Times New Roman" w:hAnsi="Times New Roman" w:cs="Times New Roman"/>
          <w:lang w:val="en-US"/>
        </w:rPr>
      </w:pPr>
    </w:p>
    <w:p w14:paraId="68A83D1F" w14:textId="77777777" w:rsidR="00A20601" w:rsidRP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br w:type="page"/>
      </w:r>
    </w:p>
    <w:p w14:paraId="4F4C7F96" w14:textId="722AA27B" w:rsidR="00716E23" w:rsidRPr="00A20601" w:rsidRDefault="00EA737F"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lastRenderedPageBreak/>
        <w:t xml:space="preserve">1- </w:t>
      </w:r>
      <w:r w:rsidR="00716E23" w:rsidRPr="00A20601">
        <w:rPr>
          <w:rFonts w:ascii="Times New Roman" w:hAnsi="Times New Roman" w:cs="Times New Roman"/>
          <w:lang w:val="en-US"/>
        </w:rPr>
        <w:t>What are subsidiary bodies in international tourism governance? Explain their general role within UNWTO.</w:t>
      </w:r>
    </w:p>
    <w:p w14:paraId="44C772C3" w14:textId="77777777" w:rsidR="00716E23" w:rsidRPr="00A20601" w:rsidRDefault="00716E23" w:rsidP="00A20601">
      <w:pPr>
        <w:spacing w:line="360" w:lineRule="auto"/>
        <w:jc w:val="both"/>
        <w:rPr>
          <w:rFonts w:ascii="Times New Roman" w:hAnsi="Times New Roman" w:cs="Times New Roman"/>
          <w:lang w:val="en-US"/>
        </w:rPr>
      </w:pPr>
    </w:p>
    <w:p w14:paraId="4CB180CB" w14:textId="77777777" w:rsidR="00A20601" w:rsidRPr="00A20601" w:rsidRDefault="00A20601" w:rsidP="00A20601">
      <w:pPr>
        <w:spacing w:line="360" w:lineRule="auto"/>
        <w:jc w:val="both"/>
        <w:rPr>
          <w:rFonts w:ascii="Times New Roman" w:hAnsi="Times New Roman" w:cs="Times New Roman"/>
          <w:lang w:val="en-US"/>
        </w:rPr>
      </w:pPr>
      <w:proofErr w:type="spellStart"/>
      <w:r w:rsidRPr="00A20601">
        <w:rPr>
          <w:rFonts w:ascii="Times New Roman" w:hAnsi="Times New Roman" w:cs="Times New Roman"/>
          <w:lang w:val="en-US"/>
        </w:rPr>
        <w:t>Specialised</w:t>
      </w:r>
      <w:proofErr w:type="spellEnd"/>
      <w:r w:rsidRPr="00A20601">
        <w:rPr>
          <w:rFonts w:ascii="Times New Roman" w:hAnsi="Times New Roman" w:cs="Times New Roman"/>
          <w:lang w:val="en-US"/>
        </w:rPr>
        <w:t xml:space="preserve"> entities established according to the mandate of a leading international </w:t>
      </w:r>
      <w:proofErr w:type="spellStart"/>
      <w:r w:rsidRPr="00A20601">
        <w:rPr>
          <w:rFonts w:ascii="Times New Roman" w:hAnsi="Times New Roman" w:cs="Times New Roman"/>
          <w:lang w:val="en-US"/>
        </w:rPr>
        <w:t>organisation</w:t>
      </w:r>
      <w:proofErr w:type="spellEnd"/>
      <w:r w:rsidRPr="00A20601">
        <w:rPr>
          <w:rFonts w:ascii="Times New Roman" w:hAnsi="Times New Roman" w:cs="Times New Roman"/>
          <w:lang w:val="en-US"/>
        </w:rPr>
        <w:t xml:space="preserve"> thus operate as subsidiary bodies within the international tourism governance domain, thus advancing overriding functions as well as increasing operational effectiveness. In the specific context of the United Nations World Tourism </w:t>
      </w:r>
      <w:proofErr w:type="spellStart"/>
      <w:r w:rsidRPr="00A20601">
        <w:rPr>
          <w:rFonts w:ascii="Times New Roman" w:hAnsi="Times New Roman" w:cs="Times New Roman"/>
          <w:lang w:val="en-US"/>
        </w:rPr>
        <w:t>Organisation</w:t>
      </w:r>
      <w:proofErr w:type="spellEnd"/>
      <w:r w:rsidRPr="00A20601">
        <w:rPr>
          <w:rFonts w:ascii="Times New Roman" w:hAnsi="Times New Roman" w:cs="Times New Roman"/>
          <w:lang w:val="en-US"/>
        </w:rPr>
        <w:t xml:space="preserve"> (UNWTO), these subsidiary bodies play a central role which is helping the </w:t>
      </w:r>
      <w:proofErr w:type="spellStart"/>
      <w:r w:rsidRPr="00A20601">
        <w:rPr>
          <w:rFonts w:ascii="Times New Roman" w:hAnsi="Times New Roman" w:cs="Times New Roman"/>
          <w:lang w:val="en-US"/>
        </w:rPr>
        <w:t>organisation</w:t>
      </w:r>
      <w:proofErr w:type="spellEnd"/>
      <w:r w:rsidRPr="00A20601">
        <w:rPr>
          <w:rFonts w:ascii="Times New Roman" w:hAnsi="Times New Roman" w:cs="Times New Roman"/>
          <w:lang w:val="en-US"/>
        </w:rPr>
        <w:t xml:space="preserve"> to </w:t>
      </w:r>
      <w:proofErr w:type="spellStart"/>
      <w:r w:rsidRPr="00A20601">
        <w:rPr>
          <w:rFonts w:ascii="Times New Roman" w:hAnsi="Times New Roman" w:cs="Times New Roman"/>
          <w:lang w:val="en-US"/>
        </w:rPr>
        <w:t>realise</w:t>
      </w:r>
      <w:proofErr w:type="spellEnd"/>
      <w:r w:rsidRPr="00A20601">
        <w:rPr>
          <w:rFonts w:ascii="Times New Roman" w:hAnsi="Times New Roman" w:cs="Times New Roman"/>
          <w:lang w:val="en-US"/>
        </w:rPr>
        <w:t xml:space="preserve"> its mission to promote responsible, sustainable and universally accessible tourism </w:t>
      </w:r>
      <w:proofErr w:type="spellStart"/>
      <w:r w:rsidRPr="00A20601">
        <w:rPr>
          <w:rFonts w:ascii="Times New Roman" w:hAnsi="Times New Roman" w:cs="Times New Roman"/>
          <w:lang w:val="en-US"/>
        </w:rPr>
        <w:t>practises</w:t>
      </w:r>
      <w:proofErr w:type="spellEnd"/>
      <w:r w:rsidRPr="00A20601">
        <w:rPr>
          <w:rFonts w:ascii="Times New Roman" w:hAnsi="Times New Roman" w:cs="Times New Roman"/>
          <w:lang w:val="en-US"/>
        </w:rPr>
        <w:t>.</w:t>
      </w:r>
    </w:p>
    <w:p w14:paraId="50A6DAA4" w14:textId="77777777" w:rsidR="00A20601" w:rsidRPr="00A20601" w:rsidRDefault="00A20601" w:rsidP="00A20601">
      <w:pPr>
        <w:spacing w:line="360" w:lineRule="auto"/>
        <w:jc w:val="both"/>
        <w:rPr>
          <w:rFonts w:ascii="Times New Roman" w:hAnsi="Times New Roman" w:cs="Times New Roman"/>
          <w:lang w:val="en-US"/>
        </w:rPr>
      </w:pPr>
    </w:p>
    <w:p w14:paraId="2C1E98D3" w14:textId="6B3C7D8E" w:rsidR="00A20601" w:rsidRP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t xml:space="preserve">The UNWTO is placed at the peak of the international </w:t>
      </w:r>
      <w:proofErr w:type="spellStart"/>
      <w:r w:rsidRPr="00A20601">
        <w:rPr>
          <w:rFonts w:ascii="Times New Roman" w:hAnsi="Times New Roman" w:cs="Times New Roman"/>
          <w:lang w:val="en-US"/>
        </w:rPr>
        <w:t>organisations</w:t>
      </w:r>
      <w:proofErr w:type="spellEnd"/>
      <w:r w:rsidRPr="00A20601">
        <w:rPr>
          <w:rFonts w:ascii="Times New Roman" w:hAnsi="Times New Roman" w:cs="Times New Roman"/>
          <w:lang w:val="en-US"/>
        </w:rPr>
        <w:t xml:space="preserve"> which give policy directions as well as coordination of tourism at the international level. To compete with multifarious and complicated nature of international tourism, the UNWTO devolves its work to subsidiary bodies, which focus their efforts on various thematic, region or functional specialties. They are managed by the overall strategic guidance offered by the UNWTO General Assembly and the Executive Council and they provide technical advice and support assistance as well as </w:t>
      </w:r>
      <w:proofErr w:type="spellStart"/>
      <w:r w:rsidRPr="00A20601">
        <w:rPr>
          <w:rFonts w:ascii="Times New Roman" w:hAnsi="Times New Roman" w:cs="Times New Roman"/>
          <w:lang w:val="en-US"/>
        </w:rPr>
        <w:t>specialised</w:t>
      </w:r>
      <w:proofErr w:type="spellEnd"/>
      <w:r w:rsidRPr="00A20601">
        <w:rPr>
          <w:rFonts w:ascii="Times New Roman" w:hAnsi="Times New Roman" w:cs="Times New Roman"/>
          <w:lang w:val="en-US"/>
        </w:rPr>
        <w:t xml:space="preserve"> knowledge</w:t>
      </w:r>
      <w:r w:rsidR="00254C2E">
        <w:rPr>
          <w:rFonts w:ascii="Times New Roman" w:hAnsi="Times New Roman" w:cs="Times New Roman"/>
          <w:lang w:val="en-US"/>
        </w:rPr>
        <w:t xml:space="preserve"> </w:t>
      </w:r>
      <w:r w:rsidR="00254C2E" w:rsidRPr="00254C2E">
        <w:rPr>
          <w:rFonts w:ascii="Times New Roman" w:hAnsi="Times New Roman" w:cs="Times New Roman"/>
        </w:rPr>
        <w:t>(OECD, 2022)</w:t>
      </w:r>
      <w:r w:rsidRPr="00A20601">
        <w:rPr>
          <w:rFonts w:ascii="Times New Roman" w:hAnsi="Times New Roman" w:cs="Times New Roman"/>
          <w:lang w:val="en-US"/>
        </w:rPr>
        <w:t>.</w:t>
      </w:r>
    </w:p>
    <w:p w14:paraId="2CD9A8ED" w14:textId="77777777" w:rsidR="00A20601" w:rsidRPr="00A20601" w:rsidRDefault="00A20601" w:rsidP="00A20601">
      <w:pPr>
        <w:spacing w:line="360" w:lineRule="auto"/>
        <w:jc w:val="both"/>
        <w:rPr>
          <w:rFonts w:ascii="Times New Roman" w:hAnsi="Times New Roman" w:cs="Times New Roman"/>
          <w:lang w:val="en-US"/>
        </w:rPr>
      </w:pPr>
    </w:p>
    <w:p w14:paraId="35325082" w14:textId="77777777" w:rsidR="00A20601" w:rsidRP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t xml:space="preserve">One of the salient </w:t>
      </w:r>
      <w:proofErr w:type="gramStart"/>
      <w:r w:rsidRPr="00A20601">
        <w:rPr>
          <w:rFonts w:ascii="Times New Roman" w:hAnsi="Times New Roman" w:cs="Times New Roman"/>
          <w:lang w:val="en-US"/>
        </w:rPr>
        <w:t>category</w:t>
      </w:r>
      <w:proofErr w:type="gramEnd"/>
      <w:r w:rsidRPr="00A20601">
        <w:rPr>
          <w:rFonts w:ascii="Times New Roman" w:hAnsi="Times New Roman" w:cs="Times New Roman"/>
          <w:lang w:val="en-US"/>
        </w:rPr>
        <w:t xml:space="preserve"> of subsidiary bodies of UNWTO includes regional commissions. These commissions are a range of geographical areas like Africa, the Americas, East Asia and the Pacific, Europe, Middle East, and South Asia. They are primarily meant to ensure that the regional interests, issue and views are sufficiently captured in the global agenda of the UNWTO. Under this role, the regional commissions facilitate the cooperation amongst member states, advance the efforts directed at the regional tourism development, and provide a platform where regional-specific issues can be discussed.</w:t>
      </w:r>
    </w:p>
    <w:p w14:paraId="66475ED8" w14:textId="77777777" w:rsidR="00A20601" w:rsidRPr="00A20601" w:rsidRDefault="00A20601" w:rsidP="00A20601">
      <w:pPr>
        <w:spacing w:line="360" w:lineRule="auto"/>
        <w:jc w:val="both"/>
        <w:rPr>
          <w:rFonts w:ascii="Times New Roman" w:hAnsi="Times New Roman" w:cs="Times New Roman"/>
          <w:lang w:val="en-US"/>
        </w:rPr>
      </w:pPr>
    </w:p>
    <w:p w14:paraId="5B0E7995" w14:textId="28C8F935" w:rsidR="00A20601" w:rsidRP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t xml:space="preserve">Other subsidiary bodies are of importance such as technical committees and working groups. Such </w:t>
      </w:r>
      <w:proofErr w:type="spellStart"/>
      <w:r w:rsidRPr="00A20601">
        <w:rPr>
          <w:rFonts w:ascii="Times New Roman" w:hAnsi="Times New Roman" w:cs="Times New Roman"/>
          <w:lang w:val="en-US"/>
        </w:rPr>
        <w:t>organisations</w:t>
      </w:r>
      <w:proofErr w:type="spellEnd"/>
      <w:r w:rsidRPr="00A20601">
        <w:rPr>
          <w:rFonts w:ascii="Times New Roman" w:hAnsi="Times New Roman" w:cs="Times New Roman"/>
          <w:lang w:val="en-US"/>
        </w:rPr>
        <w:t xml:space="preserve"> deal with the areas of </w:t>
      </w:r>
      <w:proofErr w:type="spellStart"/>
      <w:r w:rsidRPr="00A20601">
        <w:rPr>
          <w:rFonts w:ascii="Times New Roman" w:hAnsi="Times New Roman" w:cs="Times New Roman"/>
          <w:lang w:val="en-US"/>
        </w:rPr>
        <w:t>specialisation</w:t>
      </w:r>
      <w:proofErr w:type="spellEnd"/>
      <w:r w:rsidRPr="00A20601">
        <w:rPr>
          <w:rFonts w:ascii="Times New Roman" w:hAnsi="Times New Roman" w:cs="Times New Roman"/>
          <w:lang w:val="en-US"/>
        </w:rPr>
        <w:t xml:space="preserve"> like tourism statistics, sustainability, ethics, education and digital transformation</w:t>
      </w:r>
      <w:r w:rsidR="00254C2E">
        <w:rPr>
          <w:rFonts w:ascii="Times New Roman" w:hAnsi="Times New Roman" w:cs="Times New Roman"/>
          <w:lang w:val="en-US"/>
        </w:rPr>
        <w:t xml:space="preserve"> </w:t>
      </w:r>
      <w:r w:rsidR="00254C2E" w:rsidRPr="00254C2E">
        <w:rPr>
          <w:rFonts w:ascii="Times New Roman" w:hAnsi="Times New Roman" w:cs="Times New Roman"/>
        </w:rPr>
        <w:t xml:space="preserve">(Prasada </w:t>
      </w:r>
      <w:r w:rsidR="00254C2E" w:rsidRPr="00254C2E">
        <w:rPr>
          <w:rFonts w:ascii="Times New Roman" w:hAnsi="Times New Roman" w:cs="Times New Roman"/>
          <w:i/>
          <w:iCs/>
        </w:rPr>
        <w:t>et al.</w:t>
      </w:r>
      <w:r w:rsidR="00254C2E" w:rsidRPr="00254C2E">
        <w:rPr>
          <w:rFonts w:ascii="Times New Roman" w:hAnsi="Times New Roman" w:cs="Times New Roman"/>
        </w:rPr>
        <w:t>, 2023)</w:t>
      </w:r>
      <w:r w:rsidRPr="00A20601">
        <w:rPr>
          <w:rFonts w:ascii="Times New Roman" w:hAnsi="Times New Roman" w:cs="Times New Roman"/>
          <w:lang w:val="en-US"/>
        </w:rPr>
        <w:t xml:space="preserve">. They are mandated to be concerned with how research is conducted, how guidelines are formed, and policy recommendations are proposed that can assist in evidence-based decision-making. As an example, tourism-related committees will </w:t>
      </w:r>
      <w:proofErr w:type="spellStart"/>
      <w:r w:rsidRPr="00A20601">
        <w:rPr>
          <w:rFonts w:ascii="Times New Roman" w:hAnsi="Times New Roman" w:cs="Times New Roman"/>
          <w:lang w:val="en-US"/>
        </w:rPr>
        <w:t>standardise</w:t>
      </w:r>
      <w:proofErr w:type="spellEnd"/>
      <w:r w:rsidRPr="00A20601">
        <w:rPr>
          <w:rFonts w:ascii="Times New Roman" w:hAnsi="Times New Roman" w:cs="Times New Roman"/>
          <w:lang w:val="en-US"/>
        </w:rPr>
        <w:t xml:space="preserve"> data-collection methodologies, making it possible to compare data more accurately and make policies using these comparisons across national borders.</w:t>
      </w:r>
    </w:p>
    <w:p w14:paraId="555B1F4C" w14:textId="77777777" w:rsidR="00A20601" w:rsidRPr="00A20601" w:rsidRDefault="00A20601" w:rsidP="00A20601">
      <w:pPr>
        <w:spacing w:line="360" w:lineRule="auto"/>
        <w:jc w:val="both"/>
        <w:rPr>
          <w:rFonts w:ascii="Times New Roman" w:hAnsi="Times New Roman" w:cs="Times New Roman"/>
          <w:lang w:val="en-US"/>
        </w:rPr>
      </w:pPr>
    </w:p>
    <w:p w14:paraId="23CC7C1B" w14:textId="77777777" w:rsidR="00A20601" w:rsidRP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t xml:space="preserve">Another </w:t>
      </w:r>
      <w:proofErr w:type="spellStart"/>
      <w:r w:rsidRPr="00A20601">
        <w:rPr>
          <w:rFonts w:ascii="Times New Roman" w:hAnsi="Times New Roman" w:cs="Times New Roman"/>
          <w:lang w:val="en-US"/>
        </w:rPr>
        <w:t>organisation</w:t>
      </w:r>
      <w:proofErr w:type="spellEnd"/>
      <w:r w:rsidRPr="00A20601">
        <w:rPr>
          <w:rFonts w:ascii="Times New Roman" w:hAnsi="Times New Roman" w:cs="Times New Roman"/>
          <w:lang w:val="en-US"/>
        </w:rPr>
        <w:t xml:space="preserve"> subdivided by UNWTO is the various </w:t>
      </w:r>
      <w:proofErr w:type="spellStart"/>
      <w:r w:rsidRPr="00A20601">
        <w:rPr>
          <w:rFonts w:ascii="Times New Roman" w:hAnsi="Times New Roman" w:cs="Times New Roman"/>
          <w:lang w:val="en-US"/>
        </w:rPr>
        <w:t>programme</w:t>
      </w:r>
      <w:proofErr w:type="spellEnd"/>
      <w:r w:rsidRPr="00A20601">
        <w:rPr>
          <w:rFonts w:ascii="Times New Roman" w:hAnsi="Times New Roman" w:cs="Times New Roman"/>
          <w:lang w:val="en-US"/>
        </w:rPr>
        <w:t xml:space="preserve"> specific and advisory bodies - such as tourist competitiveness committees, market intelligence and crisis management. These are bodies, which offer strategic advice and practical recommendations to new issues, including global crises, technological development and environmental demands. They, therefore, improve the ability of UNWTO to be able to react well to international tourism trends and disruptions.</w:t>
      </w:r>
    </w:p>
    <w:p w14:paraId="76C1D4F2" w14:textId="77777777" w:rsidR="00A20601" w:rsidRPr="00A20601" w:rsidRDefault="00A20601" w:rsidP="00A20601">
      <w:pPr>
        <w:spacing w:line="360" w:lineRule="auto"/>
        <w:jc w:val="both"/>
        <w:rPr>
          <w:rFonts w:ascii="Times New Roman" w:hAnsi="Times New Roman" w:cs="Times New Roman"/>
          <w:lang w:val="en-US"/>
        </w:rPr>
      </w:pPr>
    </w:p>
    <w:p w14:paraId="6840A3FB" w14:textId="05135083" w:rsidR="00A20601" w:rsidRP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t>Overall, the entire role of subsidiary bodies to the UNWTO is to strengthen the governance by promoting better coordination, inclusiveness and technical competencies. They operate as channels of linkages between the national or regional execution of global policy goals. Subsidiary bodies are enhancements of the UNWTO through continuous consultation, critical analysis and partners in its pursuit to achieve its goals of sustainable tourism development, capacity building and international cooperation therefore making contributions decisive in establishing the articulation of responsive international tourism governance.</w:t>
      </w:r>
      <w:r w:rsidRPr="00A20601">
        <w:rPr>
          <w:rFonts w:ascii="Times New Roman" w:hAnsi="Times New Roman" w:cs="Times New Roman"/>
          <w:lang w:val="en-US"/>
        </w:rPr>
        <w:br w:type="page"/>
      </w:r>
    </w:p>
    <w:p w14:paraId="328A7171" w14:textId="6EF92D02" w:rsidR="00EA737F" w:rsidRPr="00A20601" w:rsidRDefault="00716E23" w:rsidP="00A20601">
      <w:pPr>
        <w:spacing w:line="360" w:lineRule="auto"/>
        <w:jc w:val="both"/>
        <w:rPr>
          <w:rFonts w:ascii="Times New Roman" w:hAnsi="Times New Roman" w:cs="Times New Roman"/>
          <w:lang w:val="en-US"/>
        </w:rPr>
      </w:pPr>
      <w:r w:rsidRPr="00A20601">
        <w:rPr>
          <w:rFonts w:ascii="Times New Roman" w:hAnsi="Times New Roman" w:cs="Times New Roman"/>
          <w:lang w:val="en-US"/>
        </w:rPr>
        <w:lastRenderedPageBreak/>
        <w:t>2- What is the Manila Declaration on World Tourism (1980)? Why is it considered a milestone in tourism policy?</w:t>
      </w:r>
    </w:p>
    <w:p w14:paraId="042EC449" w14:textId="618D4FA7" w:rsidR="00EA737F"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rPr>
        <w:t>The Manila Declaration on World Tourism, which was adopted in 1980, can be described as a purely pivotal policy tool in the path of global tourism. Having been adopted at the World Tourism Conference in Manila, Philippines, and convened under the auspices of the World Tourism Organisation (UNWTO), the Declaration marked a critical change of paradigm in the conceptualisation and governance of tourism, beyond the close to economic driven paradigm, into a wider, human-focused and development-based paradigm. In the Declaration, the tourism was described as the activity that is vital to the existence of nations in the three aspects: sociocultural, educational and economic</w:t>
      </w:r>
      <w:r>
        <w:rPr>
          <w:rFonts w:ascii="Times New Roman" w:hAnsi="Times New Roman" w:cs="Times New Roman"/>
          <w:lang w:val="en-US"/>
        </w:rPr>
        <w:t xml:space="preserve"> </w:t>
      </w:r>
      <w:r w:rsidRPr="00A20601">
        <w:rPr>
          <w:rFonts w:ascii="Times New Roman" w:hAnsi="Times New Roman" w:cs="Times New Roman"/>
        </w:rPr>
        <w:t>(Córdoba Azcárate, 2024). Tourism was recognised as the first key aspect of human life at the international policy level, as the one that is strictly related to the quality of life, intercultural understanding, and maintaining peace. As a result, tourism has been brought up to some level beyond it being a recreational or a trading event into a socially relevant international event. The right to tourism is also articulated by the Manila Declaration, which is a unique contribution of this document. It was stipulated in the text that access to tourism was a fundamental human right of everybody based on the universal right of rest, leisure and the right to move freely. This principle led governments to promote social tourism and break any form of barrier which may hinder the involvement of the vulnerable groups like low-income communities or those with disabilities. The Declaration also complicated the importance of tourism in economic development especially among the developing countries. It made a postulation of tourism as a good tool in lessening economic inequalities, creation of employment opportunities, foreign exchange accrual and regional development. However, it emphasised the fact that the development of tourism should be viable in planning and management to make sure that the economic gains are shared equally across the host communities</w:t>
      </w:r>
      <w:r>
        <w:rPr>
          <w:rFonts w:ascii="Times New Roman" w:hAnsi="Times New Roman" w:cs="Times New Roman"/>
          <w:lang w:val="en-US"/>
        </w:rPr>
        <w:t xml:space="preserve"> </w:t>
      </w:r>
      <w:r w:rsidRPr="00A20601">
        <w:rPr>
          <w:rFonts w:ascii="Times New Roman" w:hAnsi="Times New Roman" w:cs="Times New Roman"/>
        </w:rPr>
        <w:t xml:space="preserve">(Srisawat </w:t>
      </w:r>
      <w:r w:rsidRPr="00A20601">
        <w:rPr>
          <w:rFonts w:ascii="Times New Roman" w:hAnsi="Times New Roman" w:cs="Times New Roman"/>
          <w:i/>
          <w:iCs/>
        </w:rPr>
        <w:t>et al.</w:t>
      </w:r>
      <w:r w:rsidRPr="00A20601">
        <w:rPr>
          <w:rFonts w:ascii="Times New Roman" w:hAnsi="Times New Roman" w:cs="Times New Roman"/>
        </w:rPr>
        <w:t xml:space="preserve">, 2023). The other aspect of the Declaration that is salient is the strong focus it has on preservation of culture and protection of the environment. The text warns against unchecked development of tourism and it was aware of the possible negative effects of tourism on cultural heritage and the natural resources. It guided governments, tourism operators and tourists towards responsibilities and appreciating host cultures and environments thus establishing a foundation to other concepts later to be developed as sustainable and responsible tourist development. Thus, it is considered that the Manila Declaration is a breakthrough in the field of tourism policy that offers the global tourism policy with a multifaceted and ethically based approach to tourism governance. It has influenced other post instruments of international tourism such as Global Code of Ethics in Tourism (1999) in that it </w:t>
      </w:r>
      <w:r w:rsidRPr="00A20601">
        <w:rPr>
          <w:rFonts w:ascii="Times New Roman" w:hAnsi="Times New Roman" w:cs="Times New Roman"/>
        </w:rPr>
        <w:lastRenderedPageBreak/>
        <w:t>has instilled the behaviour tenets of sustainability, social responsibility and human rights as part of tourism planning. Going by the whole picture, the Declaration has redefined tourism as a powerful development support, and business of cultural exchange and global collaboration in the international tourism policy.</w:t>
      </w:r>
    </w:p>
    <w:p w14:paraId="7D2FFDF5" w14:textId="352E9FAF" w:rsidR="00A20601" w:rsidRDefault="00A20601">
      <w:pPr>
        <w:rPr>
          <w:rFonts w:ascii="Times New Roman" w:hAnsi="Times New Roman" w:cs="Times New Roman"/>
          <w:lang w:val="en-US"/>
        </w:rPr>
      </w:pPr>
      <w:r>
        <w:rPr>
          <w:rFonts w:ascii="Times New Roman" w:hAnsi="Times New Roman" w:cs="Times New Roman"/>
          <w:lang w:val="en-US"/>
        </w:rPr>
        <w:br w:type="page"/>
      </w:r>
    </w:p>
    <w:p w14:paraId="58B0C3D4" w14:textId="7E764967" w:rsidR="00A20601" w:rsidRPr="00254C2E" w:rsidRDefault="00A20601" w:rsidP="00A20601">
      <w:pPr>
        <w:spacing w:line="360" w:lineRule="auto"/>
        <w:jc w:val="both"/>
        <w:rPr>
          <w:rFonts w:ascii="Times New Roman" w:hAnsi="Times New Roman" w:cs="Times New Roman"/>
          <w:b/>
          <w:bCs/>
          <w:sz w:val="28"/>
          <w:szCs w:val="28"/>
          <w:lang w:val="en-US"/>
        </w:rPr>
      </w:pPr>
      <w:r w:rsidRPr="00254C2E">
        <w:rPr>
          <w:rFonts w:ascii="Times New Roman" w:hAnsi="Times New Roman" w:cs="Times New Roman"/>
          <w:b/>
          <w:bCs/>
          <w:sz w:val="28"/>
          <w:szCs w:val="28"/>
          <w:lang w:val="en-US"/>
        </w:rPr>
        <w:lastRenderedPageBreak/>
        <w:t xml:space="preserve">Reference List </w:t>
      </w:r>
    </w:p>
    <w:p w14:paraId="418C56F5" w14:textId="5F0262F6" w:rsid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rPr>
        <w:t xml:space="preserve">Córdoba Azcárate, M. (2024) ‘Tourism geopolitics: routes and worldings’, </w:t>
      </w:r>
      <w:r w:rsidRPr="00A20601">
        <w:rPr>
          <w:rFonts w:ascii="Times New Roman" w:hAnsi="Times New Roman" w:cs="Times New Roman"/>
          <w:i/>
          <w:iCs/>
        </w:rPr>
        <w:t>Tourism Geographies</w:t>
      </w:r>
      <w:r w:rsidRPr="00A20601">
        <w:rPr>
          <w:rFonts w:ascii="Times New Roman" w:hAnsi="Times New Roman" w:cs="Times New Roman"/>
        </w:rPr>
        <w:t xml:space="preserve">, 26(5), pp. 814–832. </w:t>
      </w:r>
      <w:hyperlink r:id="rId5" w:tgtFrame="_new" w:history="1">
        <w:r w:rsidRPr="00A20601">
          <w:rPr>
            <w:rStyle w:val="Hyperlink"/>
            <w:rFonts w:ascii="Times New Roman" w:hAnsi="Times New Roman" w:cs="Times New Roman"/>
          </w:rPr>
          <w:t>https://doi.org/10.1080/14616688.2024.2387211</w:t>
        </w:r>
      </w:hyperlink>
    </w:p>
    <w:p w14:paraId="7DE914F7" w14:textId="4CD8E70A" w:rsidR="00A20601" w:rsidRDefault="00A20601" w:rsidP="00A20601">
      <w:pPr>
        <w:spacing w:line="360" w:lineRule="auto"/>
        <w:jc w:val="both"/>
        <w:rPr>
          <w:rFonts w:ascii="Times New Roman" w:hAnsi="Times New Roman" w:cs="Times New Roman"/>
          <w:lang w:val="en-US"/>
        </w:rPr>
      </w:pPr>
      <w:r w:rsidRPr="00A20601">
        <w:rPr>
          <w:rFonts w:ascii="Times New Roman" w:hAnsi="Times New Roman" w:cs="Times New Roman"/>
        </w:rPr>
        <w:t xml:space="preserve">Srisawat, P., Zhang, W., Sukpatch, K. and Wichitphongsa, W. (2023) ‘Tourist behavior and sustainable tourism policy planning in the COVID-19 era: Insights from Thailand’, </w:t>
      </w:r>
      <w:r w:rsidRPr="00A20601">
        <w:rPr>
          <w:rFonts w:ascii="Times New Roman" w:hAnsi="Times New Roman" w:cs="Times New Roman"/>
          <w:i/>
          <w:iCs/>
        </w:rPr>
        <w:t>Sustainability</w:t>
      </w:r>
      <w:r w:rsidRPr="00A20601">
        <w:rPr>
          <w:rFonts w:ascii="Times New Roman" w:hAnsi="Times New Roman" w:cs="Times New Roman"/>
        </w:rPr>
        <w:t xml:space="preserve">, 15(7), p. 5724. </w:t>
      </w:r>
      <w:hyperlink r:id="rId6" w:tgtFrame="_new" w:history="1">
        <w:r w:rsidRPr="00A20601">
          <w:rPr>
            <w:rStyle w:val="Hyperlink"/>
            <w:rFonts w:ascii="Times New Roman" w:hAnsi="Times New Roman" w:cs="Times New Roman"/>
          </w:rPr>
          <w:t>https://doi.org/10.3390/su15075724</w:t>
        </w:r>
      </w:hyperlink>
    </w:p>
    <w:p w14:paraId="23636019" w14:textId="5F26FCC7" w:rsidR="00254C2E" w:rsidRDefault="00254C2E" w:rsidP="00A20601">
      <w:pPr>
        <w:spacing w:line="360" w:lineRule="auto"/>
        <w:jc w:val="both"/>
        <w:rPr>
          <w:rFonts w:ascii="Times New Roman" w:hAnsi="Times New Roman" w:cs="Times New Roman"/>
          <w:lang w:val="en-US"/>
        </w:rPr>
      </w:pPr>
      <w:r w:rsidRPr="00254C2E">
        <w:rPr>
          <w:rFonts w:ascii="Times New Roman" w:hAnsi="Times New Roman" w:cs="Times New Roman"/>
        </w:rPr>
        <w:t xml:space="preserve">OECD (2022) </w:t>
      </w:r>
      <w:r w:rsidRPr="00254C2E">
        <w:rPr>
          <w:rFonts w:ascii="Times New Roman" w:hAnsi="Times New Roman" w:cs="Times New Roman"/>
          <w:i/>
          <w:iCs/>
        </w:rPr>
        <w:t>OECD Tourism Trends and Policies 2022: Tourism trends and policies for recovery</w:t>
      </w:r>
      <w:r w:rsidRPr="00254C2E">
        <w:rPr>
          <w:rFonts w:ascii="Times New Roman" w:hAnsi="Times New Roman" w:cs="Times New Roman"/>
        </w:rPr>
        <w:t xml:space="preserve">. Paris: OECD Publishing. </w:t>
      </w:r>
      <w:hyperlink r:id="rId7" w:tgtFrame="_new" w:history="1">
        <w:r w:rsidRPr="00254C2E">
          <w:rPr>
            <w:rStyle w:val="Hyperlink"/>
            <w:rFonts w:ascii="Times New Roman" w:hAnsi="Times New Roman" w:cs="Times New Roman"/>
          </w:rPr>
          <w:t>https://doi.org/10.1787/a8dd3019-en</w:t>
        </w:r>
      </w:hyperlink>
    </w:p>
    <w:p w14:paraId="7F498B26" w14:textId="088585F2" w:rsidR="00254C2E" w:rsidRPr="00A20601" w:rsidRDefault="00254C2E" w:rsidP="00A20601">
      <w:pPr>
        <w:spacing w:line="360" w:lineRule="auto"/>
        <w:jc w:val="both"/>
        <w:rPr>
          <w:rFonts w:ascii="Times New Roman" w:hAnsi="Times New Roman" w:cs="Times New Roman"/>
          <w:lang w:val="en-US"/>
        </w:rPr>
      </w:pPr>
      <w:r w:rsidRPr="00254C2E">
        <w:rPr>
          <w:rFonts w:ascii="Times New Roman" w:hAnsi="Times New Roman" w:cs="Times New Roman"/>
        </w:rPr>
        <w:t xml:space="preserve">Prasada, D.K., Nurjaya, I.N., Sulistyarini, R. and Muktiono (2023) ‘Sacred mandala of Wenara Wana: implementation model of sustainable tourism governance by Monkey Forest tourist attraction in Bali’, </w:t>
      </w:r>
      <w:r w:rsidRPr="00254C2E">
        <w:rPr>
          <w:rFonts w:ascii="Times New Roman" w:hAnsi="Times New Roman" w:cs="Times New Roman"/>
          <w:i/>
          <w:iCs/>
        </w:rPr>
        <w:t>Journal of Tourism and Heritage Research</w:t>
      </w:r>
      <w:r w:rsidRPr="00254C2E">
        <w:rPr>
          <w:rFonts w:ascii="Times New Roman" w:hAnsi="Times New Roman" w:cs="Times New Roman"/>
        </w:rPr>
        <w:t>, 6(4), pp. 125–146.</w:t>
      </w:r>
    </w:p>
    <w:sectPr w:rsidR="00254C2E" w:rsidRPr="00A206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CF5F0CB-9551-4DD4-8ABE-D78FFDC356D6}"/>
    <w:embedBold r:id="rId2" w:fontKey="{E75FC8F8-D70E-4D60-B22C-10F68CFE2F63}"/>
    <w:embedItalic r:id="rId3" w:fontKey="{3B48D44E-74F1-4874-BD0F-117B223264C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757A2A5-8902-44B7-9AF9-902A3B6728B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EAA2D529-25D0-468B-B09D-AB367835CC3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4C2E"/>
    <w:rsid w:val="002F4AE0"/>
    <w:rsid w:val="00384E8A"/>
    <w:rsid w:val="003D1074"/>
    <w:rsid w:val="00426865"/>
    <w:rsid w:val="00477CAA"/>
    <w:rsid w:val="00481859"/>
    <w:rsid w:val="00502E29"/>
    <w:rsid w:val="005E458B"/>
    <w:rsid w:val="0065442B"/>
    <w:rsid w:val="00661030"/>
    <w:rsid w:val="00716E23"/>
    <w:rsid w:val="00844EC2"/>
    <w:rsid w:val="008516FE"/>
    <w:rsid w:val="00903466"/>
    <w:rsid w:val="009C1D0A"/>
    <w:rsid w:val="00A044F7"/>
    <w:rsid w:val="00A20601"/>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1734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A20601"/>
    <w:rPr>
      <w:color w:val="0563C1" w:themeColor="hyperlink"/>
      <w:u w:val="single"/>
    </w:rPr>
  </w:style>
  <w:style w:type="character" w:styleId="UnresolvedMention">
    <w:name w:val="Unresolved Mention"/>
    <w:basedOn w:val="DefaultParagraphFont"/>
    <w:uiPriority w:val="99"/>
    <w:semiHidden/>
    <w:unhideWhenUsed/>
    <w:rsid w:val="00A2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787/a8dd3019-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su15075724" TargetMode="External"/><Relationship Id="rId5" Type="http://schemas.openxmlformats.org/officeDocument/2006/relationships/hyperlink" Target="https://doi.org/10.1080/14616688.2024.2387211"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1212</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Aritra Dutta</cp:lastModifiedBy>
  <cp:revision>2</cp:revision>
  <dcterms:created xsi:type="dcterms:W3CDTF">2026-01-20T16:58:00Z</dcterms:created>
  <dcterms:modified xsi:type="dcterms:W3CDTF">2026-01-20T16:58:00Z</dcterms:modified>
</cp:coreProperties>
</file>