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EBC9D"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9E68CF4" w14:textId="77777777" w:rsidR="00672345" w:rsidRPr="0019504D" w:rsidRDefault="00672345" w:rsidP="00672345">
      <w:pPr>
        <w:rPr>
          <w:b/>
          <w:bCs/>
          <w:lang w:val="en-US"/>
        </w:rPr>
      </w:pPr>
      <w:r>
        <w:rPr>
          <w:b/>
          <w:bCs/>
          <w:lang w:val="en-US"/>
        </w:rPr>
        <w:t xml:space="preserve">Cultural Heritage Management </w:t>
      </w:r>
    </w:p>
    <w:p w14:paraId="7CBA5623"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A057BE">
        <w:rPr>
          <w:lang w:val="en-US"/>
        </w:rPr>
        <w:t>7</w:t>
      </w:r>
    </w:p>
    <w:p w14:paraId="13877354" w14:textId="77777777" w:rsidR="00672345" w:rsidRPr="0019504D" w:rsidRDefault="007C7917" w:rsidP="00672345">
      <w:pPr>
        <w:rPr>
          <w:lang w:val="en-US"/>
        </w:rPr>
      </w:pPr>
      <w:r>
        <w:rPr>
          <w:lang w:val="en-US"/>
        </w:rPr>
        <w:t>2</w:t>
      </w:r>
      <w:r w:rsidR="00A057BE">
        <w:rPr>
          <w:lang w:val="en-US"/>
        </w:rPr>
        <w:t>7</w:t>
      </w:r>
      <w:r w:rsidR="00672345">
        <w:rPr>
          <w:lang w:val="en-US"/>
        </w:rPr>
        <w:t>.0</w:t>
      </w:r>
      <w:r w:rsidR="00C80777">
        <w:rPr>
          <w:lang w:val="en-US"/>
        </w:rPr>
        <w:t>5</w:t>
      </w:r>
      <w:r w:rsidR="00672345">
        <w:rPr>
          <w:lang w:val="en-US"/>
        </w:rPr>
        <w:t>.2026</w:t>
      </w:r>
    </w:p>
    <w:p w14:paraId="4E6025AC" w14:textId="77777777" w:rsidR="00672345" w:rsidRDefault="00672345"/>
    <w:p w14:paraId="59920E40" w14:textId="77777777" w:rsidR="00672345" w:rsidRDefault="00672345"/>
    <w:p w14:paraId="53399420" w14:textId="77777777" w:rsidR="00672345" w:rsidRDefault="00672345"/>
    <w:p w14:paraId="62F47886" w14:textId="77777777" w:rsidR="00672345" w:rsidRDefault="00672345"/>
    <w:p w14:paraId="57C091E8" w14:textId="77777777" w:rsidR="00672345" w:rsidRDefault="00672345"/>
    <w:p w14:paraId="11AA5A55" w14:textId="77777777" w:rsidR="00672345" w:rsidRDefault="00672345"/>
    <w:p w14:paraId="4F583BAE" w14:textId="77777777" w:rsidR="00672345" w:rsidRDefault="00672345"/>
    <w:p w14:paraId="06F66306" w14:textId="77777777" w:rsidR="00672345" w:rsidRDefault="00672345"/>
    <w:p w14:paraId="3541845E" w14:textId="77777777" w:rsidR="00672345" w:rsidRDefault="00672345"/>
    <w:p w14:paraId="2D7FE3EA" w14:textId="77777777" w:rsidR="00672345" w:rsidRDefault="00672345"/>
    <w:p w14:paraId="1E5752B7" w14:textId="77777777" w:rsidR="00672345" w:rsidRDefault="00672345"/>
    <w:p w14:paraId="170CEDA1" w14:textId="77777777" w:rsidR="00672345" w:rsidRDefault="00672345"/>
    <w:p w14:paraId="66050756" w14:textId="77777777" w:rsidR="00672345" w:rsidRDefault="00672345"/>
    <w:p w14:paraId="69F763E1"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52BF8F52" w14:textId="77777777" w:rsidR="00016EE8" w:rsidRDefault="00016EE8" w:rsidP="00016EE8">
      <w:pPr>
        <w:rPr>
          <w:lang w:val="en-US"/>
        </w:rPr>
      </w:pPr>
    </w:p>
    <w:p w14:paraId="19EA1BCD" w14:textId="77777777" w:rsidR="00A057BE" w:rsidRPr="007C7917" w:rsidRDefault="007C7917" w:rsidP="00A057BE">
      <w:pPr>
        <w:spacing w:line="276" w:lineRule="auto"/>
        <w:rPr>
          <w:lang w:val="en-US"/>
        </w:rPr>
      </w:pPr>
      <w:r>
        <w:rPr>
          <w:lang w:val="en-US"/>
        </w:rPr>
        <w:t xml:space="preserve">1- </w:t>
      </w:r>
      <w:r w:rsidR="00A057BE" w:rsidRPr="00A057BE">
        <w:rPr>
          <w:lang w:val="en-US"/>
        </w:rPr>
        <w:t>Select a cultural site and discuss the impacts of a proposed measure on this site within the framework of conducting a cultural heritage impact assessment.</w:t>
      </w:r>
    </w:p>
    <w:p w14:paraId="4539473D" w14:textId="77777777" w:rsidR="00CF34F8" w:rsidRDefault="00CF34F8" w:rsidP="00A057BE">
      <w:pPr>
        <w:spacing w:line="276" w:lineRule="auto"/>
        <w:rPr>
          <w:lang w:val="en-US"/>
        </w:rPr>
      </w:pPr>
    </w:p>
    <w:p w14:paraId="484763F7" w14:textId="77777777" w:rsidR="00173E65" w:rsidRDefault="00173E65" w:rsidP="00A057BE">
      <w:pPr>
        <w:spacing w:line="276" w:lineRule="auto"/>
        <w:rPr>
          <w:lang w:val="en-US"/>
        </w:rPr>
      </w:pPr>
    </w:p>
    <w:p w14:paraId="36D53852" w14:textId="77777777" w:rsidR="00173E65" w:rsidRDefault="00173E65" w:rsidP="00A057BE">
      <w:pPr>
        <w:spacing w:line="276" w:lineRule="auto"/>
        <w:rPr>
          <w:lang w:val="en-US"/>
        </w:rPr>
      </w:pPr>
    </w:p>
    <w:p w14:paraId="6CC3F1F8" w14:textId="77777777" w:rsidR="00173E65" w:rsidRDefault="00173E65" w:rsidP="00A057BE">
      <w:pPr>
        <w:spacing w:line="276" w:lineRule="auto"/>
        <w:rPr>
          <w:lang w:val="en-US"/>
        </w:rPr>
      </w:pPr>
    </w:p>
    <w:p w14:paraId="4C0DB376" w14:textId="77777777" w:rsidR="00173E65" w:rsidRDefault="00173E65" w:rsidP="00A057BE">
      <w:pPr>
        <w:spacing w:line="276" w:lineRule="auto"/>
        <w:rPr>
          <w:lang w:val="en-US"/>
        </w:rPr>
      </w:pPr>
    </w:p>
    <w:p w14:paraId="5CE5151B" w14:textId="77777777" w:rsidR="00173E65" w:rsidRDefault="00173E65" w:rsidP="00A057BE">
      <w:pPr>
        <w:spacing w:line="276" w:lineRule="auto"/>
        <w:rPr>
          <w:lang w:val="en-US"/>
        </w:rPr>
      </w:pPr>
    </w:p>
    <w:p w14:paraId="328207FB" w14:textId="77777777" w:rsidR="00173E65" w:rsidRDefault="00173E65" w:rsidP="00A057BE">
      <w:pPr>
        <w:spacing w:line="276" w:lineRule="auto"/>
        <w:rPr>
          <w:lang w:val="en-US"/>
        </w:rPr>
      </w:pPr>
    </w:p>
    <w:p w14:paraId="574A34A4" w14:textId="77777777" w:rsidR="00173E65" w:rsidRDefault="00173E65" w:rsidP="00A057BE">
      <w:pPr>
        <w:spacing w:line="276" w:lineRule="auto"/>
        <w:rPr>
          <w:lang w:val="en-US"/>
        </w:rPr>
      </w:pPr>
    </w:p>
    <w:p w14:paraId="22E0AF2D" w14:textId="77777777" w:rsidR="00173E65" w:rsidRDefault="00173E65" w:rsidP="00A057BE">
      <w:pPr>
        <w:spacing w:line="276" w:lineRule="auto"/>
        <w:rPr>
          <w:lang w:val="en-US"/>
        </w:rPr>
      </w:pPr>
    </w:p>
    <w:p w14:paraId="2A7EEEBA" w14:textId="77777777" w:rsidR="00173E65" w:rsidRDefault="00173E65" w:rsidP="00A057BE">
      <w:pPr>
        <w:spacing w:line="276" w:lineRule="auto"/>
        <w:rPr>
          <w:lang w:val="en-US"/>
        </w:rPr>
      </w:pPr>
    </w:p>
    <w:p w14:paraId="2A047D96" w14:textId="77777777" w:rsidR="00173E65" w:rsidRDefault="00173E65" w:rsidP="00A057BE">
      <w:pPr>
        <w:spacing w:line="276" w:lineRule="auto"/>
        <w:rPr>
          <w:lang w:val="en-US"/>
        </w:rPr>
      </w:pPr>
    </w:p>
    <w:p w14:paraId="423405B8" w14:textId="77777777" w:rsidR="00173E65" w:rsidRDefault="00173E65" w:rsidP="00A057BE">
      <w:pPr>
        <w:spacing w:line="276" w:lineRule="auto"/>
        <w:rPr>
          <w:lang w:val="en-US"/>
        </w:rPr>
      </w:pPr>
    </w:p>
    <w:p w14:paraId="18587DE0" w14:textId="77777777" w:rsidR="00173E65" w:rsidRDefault="00173E65" w:rsidP="00A057BE">
      <w:pPr>
        <w:spacing w:line="276" w:lineRule="auto"/>
        <w:rPr>
          <w:lang w:val="en-US"/>
        </w:rPr>
      </w:pPr>
    </w:p>
    <w:p w14:paraId="102A5B1A" w14:textId="77777777" w:rsidR="00173E65" w:rsidRDefault="00173E65" w:rsidP="00A057BE">
      <w:pPr>
        <w:spacing w:line="276" w:lineRule="auto"/>
        <w:rPr>
          <w:lang w:val="en-US"/>
        </w:rPr>
      </w:pPr>
    </w:p>
    <w:p w14:paraId="40CACAD5" w14:textId="77777777" w:rsidR="00173E65" w:rsidRDefault="00173E65" w:rsidP="00A057BE">
      <w:pPr>
        <w:spacing w:line="276" w:lineRule="auto"/>
        <w:rPr>
          <w:lang w:val="en-US"/>
        </w:rPr>
      </w:pPr>
    </w:p>
    <w:p w14:paraId="69D21975" w14:textId="77777777" w:rsidR="00173E65" w:rsidRDefault="00173E65" w:rsidP="00A057BE">
      <w:pPr>
        <w:spacing w:line="276" w:lineRule="auto"/>
        <w:rPr>
          <w:lang w:val="en-US"/>
        </w:rPr>
      </w:pPr>
    </w:p>
    <w:p w14:paraId="52C6895F" w14:textId="77777777" w:rsidR="00173E65" w:rsidRDefault="00173E65" w:rsidP="00A057BE">
      <w:pPr>
        <w:spacing w:line="276" w:lineRule="auto"/>
        <w:rPr>
          <w:lang w:val="en-US"/>
        </w:rPr>
      </w:pPr>
    </w:p>
    <w:p w14:paraId="4121FE88" w14:textId="77777777" w:rsidR="00173E65" w:rsidRDefault="00173E65" w:rsidP="00A057BE">
      <w:pPr>
        <w:spacing w:line="276" w:lineRule="auto"/>
        <w:rPr>
          <w:lang w:val="en-US"/>
        </w:rPr>
      </w:pPr>
    </w:p>
    <w:p w14:paraId="22DF0289" w14:textId="77777777" w:rsidR="00173E65" w:rsidRDefault="00173E65" w:rsidP="00A057BE">
      <w:pPr>
        <w:spacing w:line="276" w:lineRule="auto"/>
        <w:rPr>
          <w:lang w:val="en-US"/>
        </w:rPr>
      </w:pPr>
    </w:p>
    <w:p w14:paraId="6B20C52A" w14:textId="77777777" w:rsidR="00173E65" w:rsidRDefault="00173E65" w:rsidP="00A057BE">
      <w:pPr>
        <w:spacing w:line="276" w:lineRule="auto"/>
        <w:rPr>
          <w:lang w:val="en-US"/>
        </w:rPr>
      </w:pPr>
    </w:p>
    <w:p w14:paraId="15F5DD7C" w14:textId="77777777" w:rsidR="00173E65" w:rsidRDefault="00173E65" w:rsidP="00A057BE">
      <w:pPr>
        <w:spacing w:line="276" w:lineRule="auto"/>
        <w:rPr>
          <w:lang w:val="en-US"/>
        </w:rPr>
      </w:pPr>
    </w:p>
    <w:p w14:paraId="3CC67981" w14:textId="77777777" w:rsidR="00173E65" w:rsidRDefault="00173E65" w:rsidP="00A057BE">
      <w:pPr>
        <w:spacing w:line="276" w:lineRule="auto"/>
        <w:rPr>
          <w:lang w:val="en-US"/>
        </w:rPr>
      </w:pPr>
    </w:p>
    <w:p w14:paraId="4AD7FD48" w14:textId="77777777" w:rsidR="00173E65" w:rsidRPr="00173E65" w:rsidRDefault="00173E65" w:rsidP="00173E65">
      <w:pPr>
        <w:spacing w:line="276" w:lineRule="auto"/>
        <w:rPr>
          <w:b/>
          <w:bCs/>
          <w:lang w:val="en-GB"/>
        </w:rPr>
      </w:pPr>
      <w:r w:rsidRPr="00173E65">
        <w:rPr>
          <w:b/>
          <w:bCs/>
          <w:lang w:val="en-GB"/>
        </w:rPr>
        <w:lastRenderedPageBreak/>
        <w:t>Cultural Heritage Impact Assessment of the Historic Centre of Florence, Italy</w:t>
      </w:r>
    </w:p>
    <w:p w14:paraId="5B1C814E" w14:textId="77777777" w:rsidR="00173E65" w:rsidRPr="00173E65" w:rsidRDefault="00173E65" w:rsidP="00173E65">
      <w:pPr>
        <w:spacing w:line="276" w:lineRule="auto"/>
        <w:rPr>
          <w:lang w:val="en-GB"/>
        </w:rPr>
      </w:pPr>
      <w:r w:rsidRPr="00173E65">
        <w:rPr>
          <w:lang w:val="en-GB"/>
        </w:rPr>
        <w:t>The Historic Centre of Florence, Italy, is a UNESCO World Heritage Site recognized for its outstanding artistic, architectural, and cultural significance. The city contains numerous Renaissance monuments, including the Florence Cathedral, Palazzo Vecchio, and the Uffizi Gallery. Due to increasing tourist demand, a proposed measure involves the construction of a large-scale tourism infrastructure project, including expanded transportation facilities and commercial developments near the historic centre. A Cultural Heritage Impact Assessment (CHIA) is essential to evaluate the potential effects of this proposal on the site's Outstanding Universal Value (OUV).</w:t>
      </w:r>
    </w:p>
    <w:p w14:paraId="6F99787B" w14:textId="77777777" w:rsidR="00173E65" w:rsidRPr="00173E65" w:rsidRDefault="00173E65" w:rsidP="00173E65">
      <w:pPr>
        <w:spacing w:line="276" w:lineRule="auto"/>
        <w:rPr>
          <w:lang w:val="en-GB"/>
        </w:rPr>
      </w:pPr>
      <w:r w:rsidRPr="00173E65">
        <w:rPr>
          <w:lang w:val="en-GB"/>
        </w:rPr>
        <w:t>A CHIA is a systematic process used to identify, predict, and evaluate the impacts of development projects on cultural heritage resources. It supports informed decision-making and helps ensure that heritage values are protected while accommodating sustainable development (ICOMOS, 2011). In the case of Florence, the proposed infrastructure project could generate both positive and negative impacts.</w:t>
      </w:r>
    </w:p>
    <w:p w14:paraId="6DAFFD25" w14:textId="77777777" w:rsidR="00173E65" w:rsidRPr="00173E65" w:rsidRDefault="00173E65" w:rsidP="00173E65">
      <w:pPr>
        <w:spacing w:line="276" w:lineRule="auto"/>
        <w:rPr>
          <w:lang w:val="en-GB"/>
        </w:rPr>
      </w:pPr>
      <w:r w:rsidRPr="00173E65">
        <w:rPr>
          <w:lang w:val="en-GB"/>
        </w:rPr>
        <w:t>One positive impact may be the improvement of visitor management and accessibility. Enhanced transportation systems could reduce congestion within the historic core and improve the overall visitor experience. Better infrastructure may also contribute to local economic development by increasing tourism revenue and supporting employment opportunities in heritage-related sectors (</w:t>
      </w:r>
      <w:proofErr w:type="spellStart"/>
      <w:r w:rsidRPr="00173E65">
        <w:rPr>
          <w:lang w:val="en-GB"/>
        </w:rPr>
        <w:t>Bandarin</w:t>
      </w:r>
      <w:proofErr w:type="spellEnd"/>
      <w:r w:rsidRPr="00173E65">
        <w:rPr>
          <w:lang w:val="en-GB"/>
        </w:rPr>
        <w:t xml:space="preserve"> &amp; van </w:t>
      </w:r>
      <w:proofErr w:type="spellStart"/>
      <w:r w:rsidRPr="00173E65">
        <w:rPr>
          <w:lang w:val="en-GB"/>
        </w:rPr>
        <w:t>Oers</w:t>
      </w:r>
      <w:proofErr w:type="spellEnd"/>
      <w:r w:rsidRPr="00173E65">
        <w:rPr>
          <w:lang w:val="en-GB"/>
        </w:rPr>
        <w:t>, 2012).</w:t>
      </w:r>
    </w:p>
    <w:p w14:paraId="138F5507" w14:textId="77777777" w:rsidR="00173E65" w:rsidRPr="00173E65" w:rsidRDefault="00173E65" w:rsidP="00173E65">
      <w:pPr>
        <w:spacing w:line="276" w:lineRule="auto"/>
        <w:rPr>
          <w:lang w:val="en-GB"/>
        </w:rPr>
      </w:pPr>
      <w:r w:rsidRPr="00173E65">
        <w:rPr>
          <w:lang w:val="en-GB"/>
        </w:rPr>
        <w:t>However, several adverse impacts are likely to emerge. New construction near the heritage site may alter the historic skyline and visual integrity of Florence, which are key components of its cultural significance. High-rise buildings or modern architectural structures could disrupt the traditional urban landscape that reflects Renaissance planning principles. Such visual intrusions may diminish the authenticity and integrity of the site, which are fundamental criteria for World Heritage conservation (UNESCO, 2023).</w:t>
      </w:r>
    </w:p>
    <w:p w14:paraId="7CBDA643" w14:textId="77777777" w:rsidR="00173E65" w:rsidRPr="00173E65" w:rsidRDefault="00173E65" w:rsidP="00173E65">
      <w:pPr>
        <w:spacing w:line="276" w:lineRule="auto"/>
        <w:rPr>
          <w:lang w:val="en-GB"/>
        </w:rPr>
      </w:pPr>
      <w:r w:rsidRPr="00173E65">
        <w:rPr>
          <w:lang w:val="en-GB"/>
        </w:rPr>
        <w:t>Additionally, increased tourism resulting from expanded infrastructure could intensify pressure on historic buildings and public spaces. Excessive visitor numbers may accelerate physical deterioration through wear and tear, vibration, and pollution. The growing commercialization of heritage areas may also weaken local cultural traditions and contribute to the displacement of residents, thereby reducing the living heritage character of the city (Pendlebury, 2013).</w:t>
      </w:r>
    </w:p>
    <w:p w14:paraId="12A04570" w14:textId="77777777" w:rsidR="00173E65" w:rsidRPr="00173E65" w:rsidRDefault="00173E65" w:rsidP="00173E65">
      <w:pPr>
        <w:spacing w:line="276" w:lineRule="auto"/>
        <w:rPr>
          <w:lang w:val="en-GB"/>
        </w:rPr>
      </w:pPr>
      <w:r w:rsidRPr="00173E65">
        <w:rPr>
          <w:lang w:val="en-GB"/>
        </w:rPr>
        <w:t>Within the CHIA framework, mitigation measures should be developed to minimize these risks. These measures may include height restrictions on new developments, the use of heritage-sensitive architectural designs, visitor capacity management strategies, and continuous monitoring of cultural and environmental impacts. Public consultation with local communities, conservation experts, and heritage authorities should also be integrated into the assessment process to ensure that multiple stakeholder perspectives are considered.</w:t>
      </w:r>
    </w:p>
    <w:p w14:paraId="29949F26" w14:textId="77777777" w:rsidR="00173E65" w:rsidRPr="00173E65" w:rsidRDefault="00173E65" w:rsidP="00173E65">
      <w:pPr>
        <w:spacing w:line="276" w:lineRule="auto"/>
        <w:rPr>
          <w:lang w:val="en-GB"/>
        </w:rPr>
      </w:pPr>
      <w:r w:rsidRPr="00173E65">
        <w:rPr>
          <w:lang w:val="en-GB"/>
        </w:rPr>
        <w:t xml:space="preserve">In conclusion, while tourism infrastructure improvements can enhance accessibility and economic growth, they may also threaten the authenticity, integrity, and visual character of the Historic Centre of Florence. Conducting a comprehensive Cultural Heritage Impact Assessment enables planners and decision-makers to balance development objectives with </w:t>
      </w:r>
      <w:r w:rsidRPr="00173E65">
        <w:rPr>
          <w:lang w:val="en-GB"/>
        </w:rPr>
        <w:lastRenderedPageBreak/>
        <w:t>heritage conservation requirements, thereby promoting sustainable management of this internationally significant cultural site.</w:t>
      </w:r>
    </w:p>
    <w:p w14:paraId="45AA36E4" w14:textId="77777777" w:rsidR="00173E65" w:rsidRPr="00173E65" w:rsidRDefault="00173E65" w:rsidP="00173E65">
      <w:pPr>
        <w:spacing w:line="276" w:lineRule="auto"/>
        <w:rPr>
          <w:b/>
          <w:bCs/>
          <w:lang w:val="en-GB"/>
        </w:rPr>
      </w:pPr>
      <w:r w:rsidRPr="00173E65">
        <w:rPr>
          <w:b/>
          <w:bCs/>
          <w:lang w:val="en-GB"/>
        </w:rPr>
        <w:t>References</w:t>
      </w:r>
    </w:p>
    <w:p w14:paraId="2E08AA9C" w14:textId="77777777" w:rsidR="00173E65" w:rsidRPr="00173E65" w:rsidRDefault="00173E65" w:rsidP="00173E65">
      <w:pPr>
        <w:spacing w:line="276" w:lineRule="auto"/>
        <w:rPr>
          <w:lang w:val="en-GB"/>
        </w:rPr>
      </w:pPr>
      <w:proofErr w:type="spellStart"/>
      <w:r w:rsidRPr="00173E65">
        <w:rPr>
          <w:lang w:val="en-GB"/>
        </w:rPr>
        <w:t>Bandarin</w:t>
      </w:r>
      <w:proofErr w:type="spellEnd"/>
      <w:r w:rsidRPr="00173E65">
        <w:rPr>
          <w:lang w:val="en-GB"/>
        </w:rPr>
        <w:t xml:space="preserve">, F., &amp; van </w:t>
      </w:r>
      <w:proofErr w:type="spellStart"/>
      <w:r w:rsidRPr="00173E65">
        <w:rPr>
          <w:lang w:val="en-GB"/>
        </w:rPr>
        <w:t>Oers</w:t>
      </w:r>
      <w:proofErr w:type="spellEnd"/>
      <w:r w:rsidRPr="00173E65">
        <w:rPr>
          <w:lang w:val="en-GB"/>
        </w:rPr>
        <w:t xml:space="preserve">, R. (2012). </w:t>
      </w:r>
      <w:r w:rsidRPr="00173E65">
        <w:rPr>
          <w:i/>
          <w:iCs/>
          <w:lang w:val="en-GB"/>
        </w:rPr>
        <w:t>The Historic Urban Landscape: Managing Heritage in an Urban Century</w:t>
      </w:r>
      <w:r w:rsidRPr="00173E65">
        <w:rPr>
          <w:lang w:val="en-GB"/>
        </w:rPr>
        <w:t>. Wiley-Blackwell.</w:t>
      </w:r>
    </w:p>
    <w:p w14:paraId="1D85FE16" w14:textId="77777777" w:rsidR="00173E65" w:rsidRPr="00173E65" w:rsidRDefault="00173E65" w:rsidP="00173E65">
      <w:pPr>
        <w:spacing w:line="276" w:lineRule="auto"/>
        <w:rPr>
          <w:lang w:val="en-GB"/>
        </w:rPr>
      </w:pPr>
      <w:r w:rsidRPr="00173E65">
        <w:rPr>
          <w:lang w:val="en-GB"/>
        </w:rPr>
        <w:t xml:space="preserve">ICOMOS. (2011). </w:t>
      </w:r>
      <w:r w:rsidRPr="00173E65">
        <w:rPr>
          <w:i/>
          <w:iCs/>
          <w:lang w:val="en-GB"/>
        </w:rPr>
        <w:t>Guidance on Heritage Impact Assessments for Cultural World Heritage Properties</w:t>
      </w:r>
      <w:r w:rsidRPr="00173E65">
        <w:rPr>
          <w:lang w:val="en-GB"/>
        </w:rPr>
        <w:t>. International Council on Monuments and Sites.</w:t>
      </w:r>
    </w:p>
    <w:p w14:paraId="38715C8C" w14:textId="77777777" w:rsidR="00173E65" w:rsidRPr="00173E65" w:rsidRDefault="00173E65" w:rsidP="00173E65">
      <w:pPr>
        <w:spacing w:line="276" w:lineRule="auto"/>
        <w:rPr>
          <w:lang w:val="en-GB"/>
        </w:rPr>
      </w:pPr>
      <w:r w:rsidRPr="00173E65">
        <w:rPr>
          <w:lang w:val="en-GB"/>
        </w:rPr>
        <w:t xml:space="preserve">Pendlebury, J. (2013). Conservation values, the authorised heritage discourse and the conservation-planning assemblage. </w:t>
      </w:r>
      <w:r w:rsidRPr="00173E65">
        <w:rPr>
          <w:i/>
          <w:iCs/>
          <w:lang w:val="en-GB"/>
        </w:rPr>
        <w:t>International Journal of Heritage Studies, 19</w:t>
      </w:r>
      <w:r w:rsidRPr="00173E65">
        <w:rPr>
          <w:lang w:val="en-GB"/>
        </w:rPr>
        <w:t xml:space="preserve">(7), 709–727. </w:t>
      </w:r>
      <w:hyperlink r:id="rId6" w:tgtFrame="_new" w:history="1">
        <w:r w:rsidRPr="00173E65">
          <w:rPr>
            <w:rStyle w:val="Hyperlink"/>
            <w:lang w:val="en-GB"/>
          </w:rPr>
          <w:t>https://doi.org/10.1080/13527258.2012.700282</w:t>
        </w:r>
      </w:hyperlink>
    </w:p>
    <w:p w14:paraId="6FF8366E" w14:textId="77777777" w:rsidR="00173E65" w:rsidRPr="00173E65" w:rsidRDefault="00173E65" w:rsidP="00173E65">
      <w:pPr>
        <w:spacing w:line="276" w:lineRule="auto"/>
        <w:rPr>
          <w:lang w:val="en-GB"/>
        </w:rPr>
      </w:pPr>
      <w:r w:rsidRPr="00173E65">
        <w:rPr>
          <w:lang w:val="en-GB"/>
        </w:rPr>
        <w:t xml:space="preserve">UNESCO. (2023). </w:t>
      </w:r>
      <w:r w:rsidRPr="00173E65">
        <w:rPr>
          <w:i/>
          <w:iCs/>
          <w:lang w:val="en-GB"/>
        </w:rPr>
        <w:t>World Heritage and Sustainable Development Policy Framework</w:t>
      </w:r>
      <w:r w:rsidRPr="00173E65">
        <w:rPr>
          <w:lang w:val="en-GB"/>
        </w:rPr>
        <w:t>. UNESCO World Heritage Centre. https://whc.unesco.org/en/guidance-toolkits/</w:t>
      </w:r>
    </w:p>
    <w:p w14:paraId="41A01008" w14:textId="77777777" w:rsidR="00173E65" w:rsidRPr="00A057BE" w:rsidRDefault="00173E65" w:rsidP="00A057BE">
      <w:pPr>
        <w:spacing w:line="276" w:lineRule="auto"/>
        <w:rPr>
          <w:lang w:val="en-US"/>
        </w:rPr>
      </w:pPr>
    </w:p>
    <w:sectPr w:rsidR="00173E65" w:rsidRPr="00A057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24859CDA-65D9-4B89-A978-96C89AEF5894}"/>
    <w:embedBold r:id="rId2" w:fontKey="{CF6370A7-EBA8-41F8-A5F0-FCE822D08257}"/>
    <w:embedItalic r:id="rId3" w:fontKey="{03C68E15-95AA-4104-9ADF-D80CBDF2DCE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8B0645F-150B-4D26-9AA3-224B32F9BA72}"/>
  </w:font>
  <w:font w:name="Calibri Light">
    <w:panose1 w:val="020F0302020204030204"/>
    <w:charset w:val="00"/>
    <w:family w:val="swiss"/>
    <w:pitch w:val="variable"/>
    <w:sig w:usb0="E4002EFF" w:usb1="C000247B" w:usb2="00000009" w:usb3="00000000" w:csb0="000001FF" w:csb1="00000000"/>
    <w:embedRegular r:id="rId5" w:fontKey="{4A6E7D89-7DAE-448C-A2E5-F5842968E90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5"/>
  </w:num>
  <w:num w:numId="3" w16cid:durableId="1544052912">
    <w:abstractNumId w:val="0"/>
  </w:num>
  <w:num w:numId="4" w16cid:durableId="746540664">
    <w:abstractNumId w:val="1"/>
  </w:num>
  <w:num w:numId="5" w16cid:durableId="1108088842">
    <w:abstractNumId w:val="3"/>
  </w:num>
  <w:num w:numId="6" w16cid:durableId="17135790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3E65"/>
    <w:rsid w:val="00174BB1"/>
    <w:rsid w:val="00224FD9"/>
    <w:rsid w:val="002F2571"/>
    <w:rsid w:val="002F4AE0"/>
    <w:rsid w:val="00384E8A"/>
    <w:rsid w:val="003D1074"/>
    <w:rsid w:val="00426865"/>
    <w:rsid w:val="00477CAA"/>
    <w:rsid w:val="00502E29"/>
    <w:rsid w:val="005E458B"/>
    <w:rsid w:val="00672345"/>
    <w:rsid w:val="007C7917"/>
    <w:rsid w:val="00844EC2"/>
    <w:rsid w:val="008516FE"/>
    <w:rsid w:val="00942251"/>
    <w:rsid w:val="009C1D0A"/>
    <w:rsid w:val="00A044F7"/>
    <w:rsid w:val="00A057BE"/>
    <w:rsid w:val="00A8150E"/>
    <w:rsid w:val="00B20343"/>
    <w:rsid w:val="00B85EA7"/>
    <w:rsid w:val="00BE65DD"/>
    <w:rsid w:val="00C612A4"/>
    <w:rsid w:val="00C80777"/>
    <w:rsid w:val="00CC6AD1"/>
    <w:rsid w:val="00CF34F8"/>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F2C9A"/>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173E65"/>
    <w:rPr>
      <w:color w:val="0563C1" w:themeColor="hyperlink"/>
      <w:u w:val="single"/>
    </w:rPr>
  </w:style>
  <w:style w:type="character" w:styleId="UnresolvedMention">
    <w:name w:val="Unresolved Mention"/>
    <w:basedOn w:val="DefaultParagraphFont"/>
    <w:uiPriority w:val="99"/>
    <w:semiHidden/>
    <w:unhideWhenUsed/>
    <w:rsid w:val="00173E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13527258.2012.700282"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684</Words>
  <Characters>3899</Characters>
  <Application>Microsoft Office Word</Application>
  <DocSecurity>0</DocSecurity>
  <Lines>32</Lines>
  <Paragraphs>9</Paragraphs>
  <ScaleCrop>false</ScaleCrop>
  <Company/>
  <LinksUpToDate>false</LinksUpToDate>
  <CharactersWithSpaces>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2026-06-17T14:53:00Z</dcterms:created>
  <dcterms:modified xsi:type="dcterms:W3CDTF">2026-06-17T14:53:00Z</dcterms:modified>
</cp:coreProperties>
</file>