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DE3AB" w14:textId="77777777" w:rsidR="005F3A1E" w:rsidRPr="002249FF" w:rsidRDefault="005F3A1E" w:rsidP="007E117F">
      <w:pPr>
        <w:spacing w:before="120" w:after="120" w:line="360" w:lineRule="auto"/>
        <w:jc w:val="center"/>
        <w:rPr>
          <w:b/>
          <w:bCs/>
          <w:sz w:val="32"/>
          <w:szCs w:val="32"/>
          <w:lang w:val="en-US"/>
        </w:rPr>
      </w:pPr>
      <w:r w:rsidRPr="002249FF">
        <w:rPr>
          <w:b/>
          <w:bCs/>
          <w:sz w:val="32"/>
          <w:szCs w:val="32"/>
          <w:lang w:val="en-US"/>
        </w:rPr>
        <w:t>Planning and Management of Sustainable Tourism Spaces</w:t>
      </w:r>
    </w:p>
    <w:p w14:paraId="511D2AC9" w14:textId="77777777" w:rsidR="00214DE5" w:rsidRDefault="005F3A1E" w:rsidP="00214DE5">
      <w:pPr>
        <w:spacing w:before="120" w:after="120" w:line="360" w:lineRule="auto"/>
        <w:jc w:val="center"/>
        <w:rPr>
          <w:b/>
          <w:bCs/>
          <w:sz w:val="32"/>
          <w:szCs w:val="32"/>
          <w:lang w:val="en-US"/>
        </w:rPr>
      </w:pPr>
      <w:r w:rsidRPr="002249FF">
        <w:rPr>
          <w:b/>
          <w:bCs/>
          <w:sz w:val="32"/>
          <w:szCs w:val="32"/>
          <w:lang w:val="en-US"/>
        </w:rPr>
        <w:t>Assignment 7</w:t>
      </w:r>
    </w:p>
    <w:p w14:paraId="5A594D16" w14:textId="3E5EACEF" w:rsidR="002249FF" w:rsidRPr="00214DE5" w:rsidRDefault="002249FF" w:rsidP="00214DE5">
      <w:pPr>
        <w:spacing w:before="120" w:after="120" w:line="360" w:lineRule="auto"/>
        <w:jc w:val="center"/>
        <w:rPr>
          <w:b/>
          <w:bCs/>
          <w:sz w:val="32"/>
          <w:szCs w:val="32"/>
          <w:lang w:val="en-US"/>
        </w:rPr>
      </w:pPr>
      <w:r>
        <w:rPr>
          <w:lang w:val="en-US"/>
        </w:rPr>
        <w:drawing>
          <wp:anchor distT="0" distB="0" distL="114300" distR="114300" simplePos="0" relativeHeight="251659264" behindDoc="1" locked="0" layoutInCell="1" allowOverlap="1" wp14:anchorId="289B0ABD" wp14:editId="4B42C1B3">
            <wp:simplePos x="0" y="0"/>
            <wp:positionH relativeFrom="margin">
              <wp:align>center</wp:align>
            </wp:positionH>
            <wp:positionV relativeFrom="paragraph">
              <wp:posOffset>321310</wp:posOffset>
            </wp:positionV>
            <wp:extent cx="1537335" cy="1410970"/>
            <wp:effectExtent l="0" t="0" r="5715" b="0"/>
            <wp:wrapTopAndBottom/>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7FC54670" w14:textId="77777777" w:rsidR="008C10FC" w:rsidRDefault="008C10FC" w:rsidP="007E117F">
      <w:pPr>
        <w:spacing w:before="120" w:after="120" w:line="360" w:lineRule="auto"/>
      </w:pPr>
    </w:p>
    <w:p w14:paraId="1093428B" w14:textId="77777777" w:rsidR="008C10FC" w:rsidRDefault="008C10FC" w:rsidP="007E117F">
      <w:pPr>
        <w:spacing w:before="120" w:after="120" w:line="360" w:lineRule="auto"/>
        <w:jc w:val="center"/>
      </w:pPr>
    </w:p>
    <w:p w14:paraId="69362577" w14:textId="4C00EE84" w:rsidR="008C10FC" w:rsidRDefault="002249FF" w:rsidP="007E117F">
      <w:pPr>
        <w:spacing w:before="120" w:after="120" w:line="360" w:lineRule="auto"/>
        <w:jc w:val="center"/>
        <w:rPr>
          <w:b/>
          <w:bCs/>
          <w:sz w:val="28"/>
          <w:szCs w:val="28"/>
        </w:rPr>
      </w:pPr>
      <w:r w:rsidRPr="002249FF">
        <w:rPr>
          <w:b/>
          <w:bCs/>
          <w:sz w:val="28"/>
          <w:szCs w:val="28"/>
        </w:rPr>
        <w:t>Title:</w:t>
      </w:r>
    </w:p>
    <w:p w14:paraId="6B2329F2" w14:textId="77777777" w:rsidR="002249FF" w:rsidRPr="002249FF" w:rsidRDefault="002249FF" w:rsidP="007E117F">
      <w:pPr>
        <w:spacing w:before="120" w:after="120" w:line="360" w:lineRule="auto"/>
        <w:jc w:val="center"/>
        <w:rPr>
          <w:lang w:val="en-US"/>
        </w:rPr>
      </w:pPr>
      <w:r w:rsidRPr="002249FF">
        <w:rPr>
          <w:lang w:val="en-US"/>
        </w:rPr>
        <w:t>Sustainable Conservation and Management of Museum Island, Berlin: A UNESCO World Heritage Analysis</w:t>
      </w:r>
    </w:p>
    <w:p w14:paraId="67A84A84" w14:textId="77777777" w:rsidR="002249FF" w:rsidRPr="002249FF" w:rsidRDefault="002249FF" w:rsidP="007E117F">
      <w:pPr>
        <w:spacing w:before="120" w:after="120" w:line="360" w:lineRule="auto"/>
        <w:rPr>
          <w:b/>
          <w:bCs/>
          <w:sz w:val="28"/>
          <w:szCs w:val="28"/>
        </w:rPr>
      </w:pPr>
    </w:p>
    <w:p w14:paraId="297888D6" w14:textId="51E4E150" w:rsidR="002249FF" w:rsidRDefault="002249FF" w:rsidP="007E117F">
      <w:pPr>
        <w:spacing w:before="120" w:after="120" w:line="360" w:lineRule="auto"/>
        <w:jc w:val="center"/>
        <w:rPr>
          <w:b/>
          <w:bCs/>
          <w:sz w:val="28"/>
          <w:szCs w:val="28"/>
        </w:rPr>
      </w:pPr>
      <w:r w:rsidRPr="002249FF">
        <w:rPr>
          <w:b/>
          <w:bCs/>
          <w:sz w:val="28"/>
          <w:szCs w:val="28"/>
        </w:rPr>
        <w:t>Student Name:</w:t>
      </w:r>
    </w:p>
    <w:p w14:paraId="16AC8210" w14:textId="7C1A788B" w:rsidR="002B3252" w:rsidRPr="002B3252" w:rsidRDefault="002B3252" w:rsidP="007E117F">
      <w:pPr>
        <w:spacing w:before="120" w:after="120" w:line="360" w:lineRule="auto"/>
        <w:jc w:val="center"/>
        <w:rPr>
          <w:sz w:val="28"/>
          <w:szCs w:val="28"/>
        </w:rPr>
      </w:pPr>
      <w:r w:rsidRPr="002B3252">
        <w:rPr>
          <w:sz w:val="28"/>
          <w:szCs w:val="28"/>
        </w:rPr>
        <w:t>Harpreet singh</w:t>
      </w:r>
    </w:p>
    <w:p w14:paraId="31D79B43" w14:textId="77777777" w:rsidR="002249FF" w:rsidRPr="002249FF" w:rsidRDefault="002249FF" w:rsidP="007E117F">
      <w:pPr>
        <w:spacing w:before="120" w:after="120" w:line="360" w:lineRule="auto"/>
        <w:jc w:val="center"/>
        <w:rPr>
          <w:b/>
          <w:bCs/>
          <w:sz w:val="28"/>
          <w:szCs w:val="28"/>
          <w:lang w:val="en-US"/>
        </w:rPr>
      </w:pPr>
    </w:p>
    <w:p w14:paraId="7D4138F8" w14:textId="77777777" w:rsidR="002249FF" w:rsidRPr="002249FF" w:rsidRDefault="002249FF" w:rsidP="007E117F">
      <w:pPr>
        <w:spacing w:before="120" w:after="120" w:line="360" w:lineRule="auto"/>
        <w:rPr>
          <w:b/>
          <w:bCs/>
          <w:sz w:val="28"/>
          <w:szCs w:val="28"/>
        </w:rPr>
      </w:pPr>
    </w:p>
    <w:p w14:paraId="3611A43C" w14:textId="7383FE79" w:rsidR="002249FF" w:rsidRDefault="002249FF" w:rsidP="007E117F">
      <w:pPr>
        <w:spacing w:before="120" w:after="120" w:line="360" w:lineRule="auto"/>
        <w:jc w:val="center"/>
        <w:rPr>
          <w:b/>
          <w:bCs/>
          <w:sz w:val="28"/>
          <w:szCs w:val="28"/>
        </w:rPr>
      </w:pPr>
      <w:r w:rsidRPr="002249FF">
        <w:rPr>
          <w:b/>
          <w:bCs/>
          <w:sz w:val="28"/>
          <w:szCs w:val="28"/>
        </w:rPr>
        <w:t>Student ID:</w:t>
      </w:r>
    </w:p>
    <w:p w14:paraId="4DF5CD52" w14:textId="715118B1" w:rsidR="002B3252" w:rsidRPr="002B3252" w:rsidRDefault="002B3252" w:rsidP="007E117F">
      <w:pPr>
        <w:spacing w:before="120" w:after="120" w:line="360" w:lineRule="auto"/>
        <w:jc w:val="center"/>
        <w:rPr>
          <w:sz w:val="28"/>
          <w:szCs w:val="28"/>
        </w:rPr>
      </w:pPr>
      <w:r w:rsidRPr="002B3252">
        <w:rPr>
          <w:sz w:val="28"/>
          <w:szCs w:val="28"/>
        </w:rPr>
        <w:t>DE240148</w:t>
      </w:r>
    </w:p>
    <w:p w14:paraId="3478D366" w14:textId="77777777" w:rsidR="008C10FC" w:rsidRPr="002249FF" w:rsidRDefault="008C10FC" w:rsidP="007E117F">
      <w:pPr>
        <w:spacing w:before="120" w:after="120" w:line="360" w:lineRule="auto"/>
        <w:jc w:val="center"/>
        <w:rPr>
          <w:b/>
          <w:bCs/>
          <w:sz w:val="28"/>
          <w:szCs w:val="28"/>
        </w:rPr>
      </w:pPr>
    </w:p>
    <w:p w14:paraId="753AA64F" w14:textId="77777777" w:rsidR="008C10FC" w:rsidRDefault="008C10FC" w:rsidP="007E117F">
      <w:pPr>
        <w:spacing w:before="120" w:after="120" w:line="360" w:lineRule="auto"/>
        <w:jc w:val="center"/>
      </w:pPr>
    </w:p>
    <w:p w14:paraId="52D8D795" w14:textId="77777777" w:rsidR="008C10FC" w:rsidRDefault="008C10FC" w:rsidP="007E117F">
      <w:pPr>
        <w:spacing w:before="120" w:after="120" w:line="360" w:lineRule="auto"/>
        <w:jc w:val="center"/>
      </w:pPr>
    </w:p>
    <w:p w14:paraId="50827FE1" w14:textId="77777777" w:rsidR="008C10FC" w:rsidRDefault="008C10FC" w:rsidP="007E117F">
      <w:pPr>
        <w:spacing w:before="120" w:after="120" w:line="360" w:lineRule="auto"/>
        <w:jc w:val="center"/>
      </w:pPr>
    </w:p>
    <w:sdt>
      <w:sdtPr>
        <w:rPr>
          <w:rFonts w:ascii="Times New Roman" w:eastAsiaTheme="minorEastAsia" w:hAnsi="Times New Roman" w:cstheme="minorBidi"/>
          <w:noProof/>
          <w:color w:val="auto"/>
          <w:sz w:val="24"/>
          <w:szCs w:val="24"/>
          <w:lang w:val="en-GB"/>
        </w:rPr>
        <w:id w:val="1407421281"/>
        <w:docPartObj>
          <w:docPartGallery w:val="Table of Contents"/>
          <w:docPartUnique/>
        </w:docPartObj>
      </w:sdtPr>
      <w:sdtEndPr>
        <w:rPr>
          <w:b/>
          <w:bCs/>
        </w:rPr>
      </w:sdtEndPr>
      <w:sdtContent>
        <w:p w14:paraId="76087927" w14:textId="5EB6E813" w:rsidR="002249FF" w:rsidRDefault="002249FF" w:rsidP="002249FF">
          <w:pPr>
            <w:pStyle w:val="TOCHeading"/>
            <w:spacing w:before="120" w:after="120" w:line="360" w:lineRule="auto"/>
            <w:jc w:val="both"/>
          </w:pPr>
          <w:r>
            <w:t>Table of Contents</w:t>
          </w:r>
        </w:p>
        <w:p w14:paraId="35A147FA" w14:textId="00DC4A86" w:rsidR="002249FF" w:rsidRDefault="002249FF" w:rsidP="002249FF">
          <w:pPr>
            <w:pStyle w:val="TOC1"/>
            <w:tabs>
              <w:tab w:val="right" w:leader="dot" w:pos="9350"/>
            </w:tabs>
            <w:spacing w:before="120" w:after="120" w:line="360" w:lineRule="auto"/>
            <w:jc w:val="both"/>
          </w:pPr>
          <w:r>
            <w:fldChar w:fldCharType="begin"/>
          </w:r>
          <w:r>
            <w:instrText xml:space="preserve"> TOC \o "1-3" \h \z \u </w:instrText>
          </w:r>
          <w:r>
            <w:fldChar w:fldCharType="separate"/>
          </w:r>
          <w:hyperlink w:anchor="_Toc213774475" w:history="1">
            <w:r w:rsidRPr="005B1675">
              <w:rPr>
                <w:rStyle w:val="Hyperlink"/>
                <w:lang w:val="en-US"/>
              </w:rPr>
              <w:t>1. Introduction</w:t>
            </w:r>
            <w:r>
              <w:rPr>
                <w:webHidden/>
              </w:rPr>
              <w:tab/>
            </w:r>
            <w:r>
              <w:rPr>
                <w:webHidden/>
              </w:rPr>
              <w:fldChar w:fldCharType="begin"/>
            </w:r>
            <w:r>
              <w:rPr>
                <w:webHidden/>
              </w:rPr>
              <w:instrText xml:space="preserve"> PAGEREF _Toc213774475 \h </w:instrText>
            </w:r>
            <w:r>
              <w:rPr>
                <w:webHidden/>
              </w:rPr>
            </w:r>
            <w:r>
              <w:rPr>
                <w:webHidden/>
              </w:rPr>
              <w:fldChar w:fldCharType="separate"/>
            </w:r>
            <w:r>
              <w:rPr>
                <w:webHidden/>
              </w:rPr>
              <w:t>3</w:t>
            </w:r>
            <w:r>
              <w:rPr>
                <w:webHidden/>
              </w:rPr>
              <w:fldChar w:fldCharType="end"/>
            </w:r>
          </w:hyperlink>
        </w:p>
        <w:p w14:paraId="07530A94" w14:textId="59719022" w:rsidR="002249FF" w:rsidRDefault="002249FF" w:rsidP="002249FF">
          <w:pPr>
            <w:pStyle w:val="TOC1"/>
            <w:tabs>
              <w:tab w:val="right" w:leader="dot" w:pos="9350"/>
            </w:tabs>
            <w:spacing w:before="120" w:after="120" w:line="360" w:lineRule="auto"/>
            <w:jc w:val="both"/>
          </w:pPr>
          <w:hyperlink w:anchor="_Toc213774476" w:history="1">
            <w:r w:rsidRPr="005B1675">
              <w:rPr>
                <w:rStyle w:val="Hyperlink"/>
                <w:lang w:val="en-US"/>
              </w:rPr>
              <w:t>2. Outstanding Universal Value (OUV)</w:t>
            </w:r>
            <w:r>
              <w:rPr>
                <w:webHidden/>
              </w:rPr>
              <w:tab/>
            </w:r>
            <w:r>
              <w:rPr>
                <w:webHidden/>
              </w:rPr>
              <w:fldChar w:fldCharType="begin"/>
            </w:r>
            <w:r>
              <w:rPr>
                <w:webHidden/>
              </w:rPr>
              <w:instrText xml:space="preserve"> PAGEREF _Toc213774476 \h </w:instrText>
            </w:r>
            <w:r>
              <w:rPr>
                <w:webHidden/>
              </w:rPr>
            </w:r>
            <w:r>
              <w:rPr>
                <w:webHidden/>
              </w:rPr>
              <w:fldChar w:fldCharType="separate"/>
            </w:r>
            <w:r>
              <w:rPr>
                <w:webHidden/>
              </w:rPr>
              <w:t>3</w:t>
            </w:r>
            <w:r>
              <w:rPr>
                <w:webHidden/>
              </w:rPr>
              <w:fldChar w:fldCharType="end"/>
            </w:r>
          </w:hyperlink>
        </w:p>
        <w:p w14:paraId="17C9918E" w14:textId="1F450DD0" w:rsidR="002249FF" w:rsidRDefault="002249FF" w:rsidP="002249FF">
          <w:pPr>
            <w:pStyle w:val="TOC1"/>
            <w:tabs>
              <w:tab w:val="right" w:leader="dot" w:pos="9350"/>
            </w:tabs>
            <w:spacing w:before="120" w:after="120" w:line="360" w:lineRule="auto"/>
            <w:jc w:val="both"/>
          </w:pPr>
          <w:hyperlink w:anchor="_Toc213774477" w:history="1">
            <w:r w:rsidRPr="005B1675">
              <w:rPr>
                <w:rStyle w:val="Hyperlink"/>
                <w:lang w:val="en-US"/>
              </w:rPr>
              <w:t>3. Criteria for Inscription</w:t>
            </w:r>
            <w:r>
              <w:rPr>
                <w:webHidden/>
              </w:rPr>
              <w:tab/>
            </w:r>
            <w:r>
              <w:rPr>
                <w:webHidden/>
              </w:rPr>
              <w:fldChar w:fldCharType="begin"/>
            </w:r>
            <w:r>
              <w:rPr>
                <w:webHidden/>
              </w:rPr>
              <w:instrText xml:space="preserve"> PAGEREF _Toc213774477 \h </w:instrText>
            </w:r>
            <w:r>
              <w:rPr>
                <w:webHidden/>
              </w:rPr>
            </w:r>
            <w:r>
              <w:rPr>
                <w:webHidden/>
              </w:rPr>
              <w:fldChar w:fldCharType="separate"/>
            </w:r>
            <w:r>
              <w:rPr>
                <w:webHidden/>
              </w:rPr>
              <w:t>4</w:t>
            </w:r>
            <w:r>
              <w:rPr>
                <w:webHidden/>
              </w:rPr>
              <w:fldChar w:fldCharType="end"/>
            </w:r>
          </w:hyperlink>
        </w:p>
        <w:p w14:paraId="2AE1BA7F" w14:textId="3C4F569C" w:rsidR="002249FF" w:rsidRDefault="002249FF" w:rsidP="002249FF">
          <w:pPr>
            <w:pStyle w:val="TOC1"/>
            <w:tabs>
              <w:tab w:val="right" w:leader="dot" w:pos="9350"/>
            </w:tabs>
            <w:spacing w:before="120" w:after="120" w:line="360" w:lineRule="auto"/>
            <w:jc w:val="both"/>
          </w:pPr>
          <w:hyperlink w:anchor="_Toc213774478" w:history="1">
            <w:r w:rsidRPr="005B1675">
              <w:rPr>
                <w:rStyle w:val="Hyperlink"/>
                <w:lang w:val="en-US"/>
              </w:rPr>
              <w:t>4.  Authenticity and Integrity</w:t>
            </w:r>
            <w:r>
              <w:rPr>
                <w:webHidden/>
              </w:rPr>
              <w:tab/>
            </w:r>
            <w:r>
              <w:rPr>
                <w:webHidden/>
              </w:rPr>
              <w:fldChar w:fldCharType="begin"/>
            </w:r>
            <w:r>
              <w:rPr>
                <w:webHidden/>
              </w:rPr>
              <w:instrText xml:space="preserve"> PAGEREF _Toc213774478 \h </w:instrText>
            </w:r>
            <w:r>
              <w:rPr>
                <w:webHidden/>
              </w:rPr>
            </w:r>
            <w:r>
              <w:rPr>
                <w:webHidden/>
              </w:rPr>
              <w:fldChar w:fldCharType="separate"/>
            </w:r>
            <w:r>
              <w:rPr>
                <w:webHidden/>
              </w:rPr>
              <w:t>5</w:t>
            </w:r>
            <w:r>
              <w:rPr>
                <w:webHidden/>
              </w:rPr>
              <w:fldChar w:fldCharType="end"/>
            </w:r>
          </w:hyperlink>
        </w:p>
        <w:p w14:paraId="30BC5FAC" w14:textId="6DFBD347" w:rsidR="002249FF" w:rsidRDefault="002249FF" w:rsidP="002249FF">
          <w:pPr>
            <w:pStyle w:val="TOC1"/>
            <w:tabs>
              <w:tab w:val="right" w:leader="dot" w:pos="9350"/>
            </w:tabs>
            <w:spacing w:before="120" w:after="120" w:line="360" w:lineRule="auto"/>
            <w:jc w:val="both"/>
          </w:pPr>
          <w:hyperlink w:anchor="_Toc213774479" w:history="1">
            <w:r w:rsidRPr="005B1675">
              <w:rPr>
                <w:rStyle w:val="Hyperlink"/>
                <w:lang w:val="en-US"/>
              </w:rPr>
              <w:t>5. Conservation Strategy</w:t>
            </w:r>
            <w:r>
              <w:rPr>
                <w:webHidden/>
              </w:rPr>
              <w:tab/>
            </w:r>
            <w:r>
              <w:rPr>
                <w:webHidden/>
              </w:rPr>
              <w:fldChar w:fldCharType="begin"/>
            </w:r>
            <w:r>
              <w:rPr>
                <w:webHidden/>
              </w:rPr>
              <w:instrText xml:space="preserve"> PAGEREF _Toc213774479 \h </w:instrText>
            </w:r>
            <w:r>
              <w:rPr>
                <w:webHidden/>
              </w:rPr>
            </w:r>
            <w:r>
              <w:rPr>
                <w:webHidden/>
              </w:rPr>
              <w:fldChar w:fldCharType="separate"/>
            </w:r>
            <w:r>
              <w:rPr>
                <w:webHidden/>
              </w:rPr>
              <w:t>6</w:t>
            </w:r>
            <w:r>
              <w:rPr>
                <w:webHidden/>
              </w:rPr>
              <w:fldChar w:fldCharType="end"/>
            </w:r>
          </w:hyperlink>
        </w:p>
        <w:p w14:paraId="45AF128A" w14:textId="257581AA" w:rsidR="002249FF" w:rsidRDefault="002249FF" w:rsidP="002249FF">
          <w:pPr>
            <w:pStyle w:val="TOC2"/>
            <w:tabs>
              <w:tab w:val="right" w:leader="dot" w:pos="9350"/>
            </w:tabs>
            <w:spacing w:before="120" w:after="120" w:line="360" w:lineRule="auto"/>
            <w:jc w:val="both"/>
          </w:pPr>
          <w:hyperlink w:anchor="_Toc213774480" w:history="1">
            <w:r w:rsidRPr="005B1675">
              <w:rPr>
                <w:rStyle w:val="Hyperlink"/>
                <w:lang w:val="en-US"/>
              </w:rPr>
              <w:t>5.1 Main Threats / Risks</w:t>
            </w:r>
            <w:r>
              <w:rPr>
                <w:webHidden/>
              </w:rPr>
              <w:tab/>
            </w:r>
            <w:r>
              <w:rPr>
                <w:webHidden/>
              </w:rPr>
              <w:fldChar w:fldCharType="begin"/>
            </w:r>
            <w:r>
              <w:rPr>
                <w:webHidden/>
              </w:rPr>
              <w:instrText xml:space="preserve"> PAGEREF _Toc213774480 \h </w:instrText>
            </w:r>
            <w:r>
              <w:rPr>
                <w:webHidden/>
              </w:rPr>
            </w:r>
            <w:r>
              <w:rPr>
                <w:webHidden/>
              </w:rPr>
              <w:fldChar w:fldCharType="separate"/>
            </w:r>
            <w:r>
              <w:rPr>
                <w:webHidden/>
              </w:rPr>
              <w:t>6</w:t>
            </w:r>
            <w:r>
              <w:rPr>
                <w:webHidden/>
              </w:rPr>
              <w:fldChar w:fldCharType="end"/>
            </w:r>
          </w:hyperlink>
        </w:p>
        <w:p w14:paraId="686715CB" w14:textId="0E0CCFD9" w:rsidR="002249FF" w:rsidRDefault="002249FF" w:rsidP="002249FF">
          <w:pPr>
            <w:pStyle w:val="TOC2"/>
            <w:tabs>
              <w:tab w:val="right" w:leader="dot" w:pos="9350"/>
            </w:tabs>
            <w:spacing w:before="120" w:after="120" w:line="360" w:lineRule="auto"/>
            <w:jc w:val="both"/>
          </w:pPr>
          <w:hyperlink w:anchor="_Toc213774481" w:history="1">
            <w:r w:rsidRPr="005B1675">
              <w:rPr>
                <w:rStyle w:val="Hyperlink"/>
                <w:lang w:val="en-US"/>
              </w:rPr>
              <w:t>5.2 Risk Factor Matrix</w:t>
            </w:r>
            <w:r>
              <w:rPr>
                <w:webHidden/>
              </w:rPr>
              <w:tab/>
            </w:r>
            <w:r>
              <w:rPr>
                <w:webHidden/>
              </w:rPr>
              <w:fldChar w:fldCharType="begin"/>
            </w:r>
            <w:r>
              <w:rPr>
                <w:webHidden/>
              </w:rPr>
              <w:instrText xml:space="preserve"> PAGEREF _Toc213774481 \h </w:instrText>
            </w:r>
            <w:r>
              <w:rPr>
                <w:webHidden/>
              </w:rPr>
            </w:r>
            <w:r>
              <w:rPr>
                <w:webHidden/>
              </w:rPr>
              <w:fldChar w:fldCharType="separate"/>
            </w:r>
            <w:r>
              <w:rPr>
                <w:webHidden/>
              </w:rPr>
              <w:t>6</w:t>
            </w:r>
            <w:r>
              <w:rPr>
                <w:webHidden/>
              </w:rPr>
              <w:fldChar w:fldCharType="end"/>
            </w:r>
          </w:hyperlink>
        </w:p>
        <w:p w14:paraId="55BBE888" w14:textId="1F0DC37E" w:rsidR="002249FF" w:rsidRDefault="002249FF" w:rsidP="002249FF">
          <w:pPr>
            <w:pStyle w:val="TOC2"/>
            <w:tabs>
              <w:tab w:val="right" w:leader="dot" w:pos="9350"/>
            </w:tabs>
            <w:spacing w:before="120" w:after="120" w:line="360" w:lineRule="auto"/>
            <w:jc w:val="both"/>
          </w:pPr>
          <w:hyperlink w:anchor="_Toc213774482" w:history="1">
            <w:r w:rsidRPr="005B1675">
              <w:rPr>
                <w:rStyle w:val="Hyperlink"/>
                <w:lang w:val="en-US"/>
              </w:rPr>
              <w:t>5.3 Mitigation Actions</w:t>
            </w:r>
            <w:r>
              <w:rPr>
                <w:webHidden/>
              </w:rPr>
              <w:tab/>
            </w:r>
            <w:r>
              <w:rPr>
                <w:webHidden/>
              </w:rPr>
              <w:fldChar w:fldCharType="begin"/>
            </w:r>
            <w:r>
              <w:rPr>
                <w:webHidden/>
              </w:rPr>
              <w:instrText xml:space="preserve"> PAGEREF _Toc213774482 \h </w:instrText>
            </w:r>
            <w:r>
              <w:rPr>
                <w:webHidden/>
              </w:rPr>
            </w:r>
            <w:r>
              <w:rPr>
                <w:webHidden/>
              </w:rPr>
              <w:fldChar w:fldCharType="separate"/>
            </w:r>
            <w:r>
              <w:rPr>
                <w:webHidden/>
              </w:rPr>
              <w:t>6</w:t>
            </w:r>
            <w:r>
              <w:rPr>
                <w:webHidden/>
              </w:rPr>
              <w:fldChar w:fldCharType="end"/>
            </w:r>
          </w:hyperlink>
        </w:p>
        <w:p w14:paraId="24D496CE" w14:textId="31D9723A" w:rsidR="002249FF" w:rsidRDefault="002249FF" w:rsidP="002249FF">
          <w:pPr>
            <w:pStyle w:val="TOC1"/>
            <w:tabs>
              <w:tab w:val="right" w:leader="dot" w:pos="9350"/>
            </w:tabs>
            <w:spacing w:before="120" w:after="120" w:line="360" w:lineRule="auto"/>
            <w:jc w:val="both"/>
          </w:pPr>
          <w:hyperlink w:anchor="_Toc213774483" w:history="1">
            <w:r w:rsidRPr="005B1675">
              <w:rPr>
                <w:rStyle w:val="Hyperlink"/>
                <w:lang w:val="en-US"/>
              </w:rPr>
              <w:t>6. Conclusion</w:t>
            </w:r>
            <w:r>
              <w:rPr>
                <w:webHidden/>
              </w:rPr>
              <w:tab/>
            </w:r>
            <w:r>
              <w:rPr>
                <w:webHidden/>
              </w:rPr>
              <w:fldChar w:fldCharType="begin"/>
            </w:r>
            <w:r>
              <w:rPr>
                <w:webHidden/>
              </w:rPr>
              <w:instrText xml:space="preserve"> PAGEREF _Toc213774483 \h </w:instrText>
            </w:r>
            <w:r>
              <w:rPr>
                <w:webHidden/>
              </w:rPr>
            </w:r>
            <w:r>
              <w:rPr>
                <w:webHidden/>
              </w:rPr>
              <w:fldChar w:fldCharType="separate"/>
            </w:r>
            <w:r>
              <w:rPr>
                <w:webHidden/>
              </w:rPr>
              <w:t>7</w:t>
            </w:r>
            <w:r>
              <w:rPr>
                <w:webHidden/>
              </w:rPr>
              <w:fldChar w:fldCharType="end"/>
            </w:r>
          </w:hyperlink>
        </w:p>
        <w:p w14:paraId="3E1CC235" w14:textId="7DFFF069" w:rsidR="002249FF" w:rsidRDefault="002249FF" w:rsidP="002249FF">
          <w:pPr>
            <w:spacing w:before="120" w:after="120" w:line="360" w:lineRule="auto"/>
            <w:jc w:val="both"/>
          </w:pPr>
          <w:r>
            <w:rPr>
              <w:b/>
              <w:bCs/>
            </w:rPr>
            <w:fldChar w:fldCharType="end"/>
          </w:r>
        </w:p>
      </w:sdtContent>
    </w:sdt>
    <w:p w14:paraId="36FF9E95" w14:textId="77777777" w:rsidR="008C10FC" w:rsidRDefault="008C10FC" w:rsidP="002249FF">
      <w:pPr>
        <w:spacing w:before="120" w:after="120" w:line="360" w:lineRule="auto"/>
        <w:jc w:val="both"/>
      </w:pPr>
    </w:p>
    <w:p w14:paraId="7465AC47" w14:textId="77777777" w:rsidR="008C10FC" w:rsidRDefault="008C10FC" w:rsidP="002249FF">
      <w:pPr>
        <w:spacing w:before="120" w:after="120" w:line="360" w:lineRule="auto"/>
        <w:jc w:val="both"/>
      </w:pPr>
    </w:p>
    <w:p w14:paraId="39C04E5B" w14:textId="77777777" w:rsidR="008C10FC" w:rsidRDefault="008C10FC" w:rsidP="002249FF">
      <w:pPr>
        <w:spacing w:before="120" w:after="120" w:line="360" w:lineRule="auto"/>
        <w:jc w:val="both"/>
      </w:pPr>
    </w:p>
    <w:p w14:paraId="665F0C80" w14:textId="77777777" w:rsidR="008C10FC" w:rsidRDefault="008C10FC" w:rsidP="002249FF">
      <w:pPr>
        <w:spacing w:before="120" w:after="120" w:line="360" w:lineRule="auto"/>
        <w:jc w:val="both"/>
      </w:pPr>
    </w:p>
    <w:p w14:paraId="39B954A3" w14:textId="77777777" w:rsidR="008C10FC" w:rsidRDefault="008C10FC" w:rsidP="002249FF">
      <w:pPr>
        <w:spacing w:before="120" w:after="120" w:line="360" w:lineRule="auto"/>
        <w:jc w:val="both"/>
      </w:pPr>
    </w:p>
    <w:p w14:paraId="50DBB312" w14:textId="77777777" w:rsidR="008C10FC" w:rsidRDefault="008C10FC" w:rsidP="002249FF">
      <w:pPr>
        <w:spacing w:before="120" w:after="120" w:line="360" w:lineRule="auto"/>
        <w:jc w:val="both"/>
      </w:pPr>
    </w:p>
    <w:p w14:paraId="79979445" w14:textId="77777777" w:rsidR="008C10FC" w:rsidRDefault="008C10FC" w:rsidP="002249FF">
      <w:pPr>
        <w:spacing w:before="120" w:after="120" w:line="360" w:lineRule="auto"/>
        <w:jc w:val="both"/>
      </w:pPr>
    </w:p>
    <w:p w14:paraId="372767C7" w14:textId="77777777" w:rsidR="008C10FC" w:rsidRDefault="008C10FC" w:rsidP="002249FF">
      <w:pPr>
        <w:spacing w:before="120" w:after="120" w:line="360" w:lineRule="auto"/>
        <w:jc w:val="both"/>
      </w:pPr>
    </w:p>
    <w:p w14:paraId="0C37EEFC" w14:textId="77777777" w:rsidR="008C10FC" w:rsidRDefault="008C10FC" w:rsidP="002249FF">
      <w:pPr>
        <w:spacing w:before="120" w:after="120" w:line="360" w:lineRule="auto"/>
        <w:jc w:val="both"/>
      </w:pPr>
    </w:p>
    <w:p w14:paraId="702DFF85" w14:textId="77777777" w:rsidR="008C10FC" w:rsidRDefault="008C10FC" w:rsidP="002249FF">
      <w:pPr>
        <w:spacing w:before="120" w:after="120" w:line="360" w:lineRule="auto"/>
        <w:jc w:val="both"/>
      </w:pPr>
    </w:p>
    <w:p w14:paraId="78ADC5BF" w14:textId="77777777" w:rsidR="002249FF" w:rsidRDefault="002249FF" w:rsidP="002249FF">
      <w:pPr>
        <w:spacing w:before="120" w:after="120" w:line="360" w:lineRule="auto"/>
        <w:jc w:val="both"/>
      </w:pPr>
    </w:p>
    <w:p w14:paraId="5D674ED0" w14:textId="77777777" w:rsidR="008C10FC" w:rsidRDefault="008C10FC" w:rsidP="002249FF">
      <w:pPr>
        <w:spacing w:before="120" w:after="120" w:line="360" w:lineRule="auto"/>
        <w:jc w:val="both"/>
      </w:pPr>
    </w:p>
    <w:p w14:paraId="056BB347" w14:textId="1D66E98B" w:rsidR="005F3A1E" w:rsidRPr="005F3A1E" w:rsidRDefault="002249FF" w:rsidP="002249FF">
      <w:pPr>
        <w:pStyle w:val="Heading1"/>
        <w:spacing w:before="120" w:after="120" w:line="360" w:lineRule="auto"/>
        <w:jc w:val="both"/>
        <w:rPr>
          <w:lang w:val="en-US"/>
        </w:rPr>
      </w:pPr>
      <w:bookmarkStart w:id="0" w:name="_Toc213774475"/>
      <w:r>
        <w:rPr>
          <w:lang w:val="en-US"/>
        </w:rPr>
        <w:lastRenderedPageBreak/>
        <w:t xml:space="preserve">1. </w:t>
      </w:r>
      <w:r w:rsidR="005F3A1E" w:rsidRPr="005F3A1E">
        <w:rPr>
          <w:lang w:val="en-US"/>
        </w:rPr>
        <w:t>Introduction</w:t>
      </w:r>
      <w:bookmarkEnd w:id="0"/>
    </w:p>
    <w:p w14:paraId="064C49D0" w14:textId="3675CF42" w:rsidR="00302662" w:rsidRPr="00302662" w:rsidRDefault="005F3A1E" w:rsidP="00371BDD">
      <w:pPr>
        <w:spacing w:before="120" w:after="120" w:line="360" w:lineRule="auto"/>
        <w:jc w:val="both"/>
        <w:rPr>
          <w:lang w:val="en-US"/>
        </w:rPr>
      </w:pPr>
      <w:r w:rsidRPr="005F3A1E">
        <w:rPr>
          <w:lang w:val="en-US"/>
        </w:rPr>
        <w:t xml:space="preserve">Museum Island (Museumsinsel) is located in the heart of </w:t>
      </w:r>
      <w:r w:rsidRPr="005F3A1E">
        <w:rPr>
          <w:b/>
          <w:bCs/>
          <w:lang w:val="en-US"/>
        </w:rPr>
        <w:t>Berlin</w:t>
      </w:r>
      <w:r w:rsidRPr="005F3A1E">
        <w:rPr>
          <w:lang w:val="en-US"/>
        </w:rPr>
        <w:t>, Germany, on the northern part of the Spree Island.</w:t>
      </w:r>
      <w:r w:rsidR="00302662">
        <w:rPr>
          <w:lang w:val="en-US"/>
        </w:rPr>
        <w:t xml:space="preserve"> </w:t>
      </w:r>
      <w:r w:rsidR="00371BDD">
        <w:rPr>
          <w:lang w:val="en-US"/>
        </w:rPr>
        <w:t xml:space="preserve">It is home of </w:t>
      </w:r>
      <w:r w:rsidR="00302662" w:rsidRPr="00302662">
        <w:rPr>
          <w:lang w:val="en-US"/>
        </w:rPr>
        <w:t xml:space="preserve"> Altes Museum, Neues Museum, Alte Nationalgalerie, Bode-Museum and Pergamonmuseum </w:t>
      </w:r>
      <w:r w:rsidR="00371BDD">
        <w:rPr>
          <w:lang w:val="en-US"/>
        </w:rPr>
        <w:t xml:space="preserve">which </w:t>
      </w:r>
      <w:r w:rsidR="00302662" w:rsidRPr="00302662">
        <w:rPr>
          <w:lang w:val="en-US"/>
        </w:rPr>
        <w:t>are ranked among the world’s most famous museums. They were constructed between 1824 and 1930. The architectural complex is a 19th-century conception which sought to embody the Enlightenment ideal of making art, history and science accessible to all. The promotion of education and culture in a unique urban setting is given by the museums illustrating the evolution of human civilization and artistic achievement. Museum Island is included on the United Nations Educational, Scientific and Cultural Organization (UNESCO) World Heritage List since 1999 as it was important to the development of modern museum architecture and artistic modernism. At Present, it attests to Europe’s intellectual heritage and creative vision, leading towards its recognized OUV</w:t>
      </w:r>
      <w:r w:rsidR="00371BDD" w:rsidRPr="00371BDD">
        <w:t xml:space="preserve"> (Wolfschmidt, 2021)</w:t>
      </w:r>
      <w:r w:rsidR="00302662" w:rsidRPr="00302662">
        <w:rPr>
          <w:lang w:val="en-US"/>
        </w:rPr>
        <w:t xml:space="preserve">. </w:t>
      </w:r>
    </w:p>
    <w:p w14:paraId="4346F4FE" w14:textId="557437FA" w:rsidR="008C10FC" w:rsidRPr="008C10FC" w:rsidRDefault="002249FF" w:rsidP="002249FF">
      <w:pPr>
        <w:pStyle w:val="Heading1"/>
        <w:spacing w:before="120" w:after="120" w:line="360" w:lineRule="auto"/>
        <w:jc w:val="both"/>
        <w:rPr>
          <w:lang w:val="en-US"/>
        </w:rPr>
      </w:pPr>
      <w:bookmarkStart w:id="1" w:name="_Toc213774476"/>
      <w:r>
        <w:rPr>
          <w:lang w:val="en-US"/>
        </w:rPr>
        <w:t xml:space="preserve">2. </w:t>
      </w:r>
      <w:r w:rsidR="008C10FC" w:rsidRPr="008C10FC">
        <w:rPr>
          <w:lang w:val="en-US"/>
        </w:rPr>
        <w:t>Outstanding Universal Value (OUV)</w:t>
      </w:r>
      <w:bookmarkEnd w:id="1"/>
    </w:p>
    <w:p w14:paraId="0678EC8C" w14:textId="77777777" w:rsidR="00302662" w:rsidRPr="00302662" w:rsidRDefault="00302662" w:rsidP="002249FF">
      <w:pPr>
        <w:spacing w:before="120" w:after="120" w:line="360" w:lineRule="auto"/>
        <w:jc w:val="both"/>
        <w:rPr>
          <w:lang w:val="en-US"/>
        </w:rPr>
      </w:pPr>
      <w:r w:rsidRPr="00302662">
        <w:rPr>
          <w:lang w:val="en-US"/>
        </w:rPr>
        <w:t>Museum island in Berlin is an outstanding universal value which is a masterpiece of cultural and architectural achievement that reflects the enlightenment dream of knowledge as a public good. Five monumental buildings make up the museum complex: the Altes Museum, Neues Museum, Alte Nationalgalerie, Bode-Museum, and Pergamonmuseum, all built from 1824 to 1930. They mark the progressive development of the museum as a piece of architecture where architecture brings together art, history and science to educate society and honour humanity’s creativity (Wolfschmidt, 2021).</w:t>
      </w:r>
    </w:p>
    <w:p w14:paraId="7ED38ADE" w14:textId="7B2DE28D" w:rsidR="007E117F" w:rsidRDefault="002249FF" w:rsidP="007E117F">
      <w:pPr>
        <w:spacing w:before="120" w:after="120" w:line="360" w:lineRule="auto"/>
        <w:jc w:val="both"/>
        <w:rPr>
          <w:lang w:val="en-US"/>
        </w:rPr>
      </w:pPr>
      <w:r w:rsidRPr="002249FF">
        <w:rPr>
          <w:lang w:val="en-US"/>
        </w:rPr>
        <w:t xml:space="preserve">The site design exhibits the evolution of museum architecture from the 19th century neoclassical idea to the early 20th century granite- and concrete- functionalist and modern approach. The Altes Museum, designed by Karl Friedrich Schinkel, was the first expression of a public museum which would inspire civic enlightenment and engagement, a building reflecting Enlightenment ideas. The task relating to the information was advanced with the construction of each building, incorporating developments in space design, display mechanism and architecture. Museums construct an uninterrupted urban and intellectual landscape that resonates with the history of knowledge evolution and its democratization (Hassan, Zerva, &amp; Aulet, 2021). The museum structures and their contents have a relationship described as the organic relationship that is the other key descriptor of the Outstanding Universal Value. The design of every museum took a particular </w:t>
      </w:r>
      <w:r w:rsidRPr="002249FF">
        <w:rPr>
          <w:lang w:val="en-US"/>
        </w:rPr>
        <w:lastRenderedPageBreak/>
        <w:t xml:space="preserve">culture's collection into account in order for the displays to fit. The way of integrating function and design shows a deeper understanding of how space can influence the learning experience of the visitor. </w:t>
      </w:r>
      <w:r w:rsidR="007E117F" w:rsidRPr="00302662">
        <w:rPr>
          <w:lang w:val="en-US"/>
        </w:rPr>
        <w:t>Museum Island is a testament to cultural identity. It depicts how architecture and the arts may display human creativity and a sense of belonging in our communities. The Los Angeles Central Library is a world-class library. It and its architectural design enhances the city’s thermal economy.</w:t>
      </w:r>
    </w:p>
    <w:p w14:paraId="6D632AE4" w14:textId="77777777" w:rsidR="002249FF" w:rsidRDefault="002249FF" w:rsidP="007E117F">
      <w:pPr>
        <w:keepNext/>
        <w:spacing w:before="120" w:after="120" w:line="360" w:lineRule="auto"/>
        <w:jc w:val="center"/>
      </w:pPr>
      <w:r>
        <w:drawing>
          <wp:inline distT="0" distB="0" distL="0" distR="0" wp14:anchorId="13A6D555" wp14:editId="046145EC">
            <wp:extent cx="5537200" cy="5537200"/>
            <wp:effectExtent l="0" t="0" r="6350" b="6350"/>
            <wp:docPr id="116167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67888" name=""/>
                    <pic:cNvPicPr/>
                  </pic:nvPicPr>
                  <pic:blipFill>
                    <a:blip r:embed="rId9"/>
                    <a:stretch>
                      <a:fillRect/>
                    </a:stretch>
                  </pic:blipFill>
                  <pic:spPr>
                    <a:xfrm>
                      <a:off x="0" y="0"/>
                      <a:ext cx="5537200" cy="5537200"/>
                    </a:xfrm>
                    <a:prstGeom prst="rect">
                      <a:avLst/>
                    </a:prstGeom>
                  </pic:spPr>
                </pic:pic>
              </a:graphicData>
            </a:graphic>
          </wp:inline>
        </w:drawing>
      </w:r>
    </w:p>
    <w:p w14:paraId="24FC5014" w14:textId="387E9574" w:rsidR="008C10FC" w:rsidRPr="002249FF" w:rsidRDefault="002249FF" w:rsidP="007E117F">
      <w:pPr>
        <w:pStyle w:val="Caption"/>
        <w:jc w:val="center"/>
        <w:rPr>
          <w:lang w:val="en-US"/>
        </w:rPr>
      </w:pPr>
      <w:r w:rsidRPr="000557D9">
        <w:rPr>
          <w:lang w:val="en-US"/>
        </w:rPr>
        <w:t>Figure 1: Panoramic view of Museum Island, Berli</w:t>
      </w:r>
    </w:p>
    <w:p w14:paraId="3D960D2E" w14:textId="387E9574" w:rsidR="00D10A58" w:rsidRPr="00D10A58" w:rsidRDefault="002249FF" w:rsidP="002249FF">
      <w:pPr>
        <w:pStyle w:val="Heading1"/>
        <w:spacing w:before="120" w:after="120" w:line="360" w:lineRule="auto"/>
        <w:jc w:val="both"/>
        <w:rPr>
          <w:lang w:val="en-US"/>
        </w:rPr>
      </w:pPr>
      <w:bookmarkStart w:id="2" w:name="_Toc213774477"/>
      <w:r>
        <w:rPr>
          <w:lang w:val="en-US"/>
        </w:rPr>
        <w:lastRenderedPageBreak/>
        <w:t xml:space="preserve">3. </w:t>
      </w:r>
      <w:r w:rsidR="00D10A58" w:rsidRPr="00D10A58">
        <w:rPr>
          <w:lang w:val="en-US"/>
        </w:rPr>
        <w:t>Criteria for Inscription</w:t>
      </w:r>
      <w:bookmarkEnd w:id="2"/>
    </w:p>
    <w:p w14:paraId="22EC4141" w14:textId="77777777" w:rsidR="00302662" w:rsidRPr="00302662" w:rsidRDefault="00302662" w:rsidP="002249FF">
      <w:pPr>
        <w:spacing w:before="120" w:after="120" w:line="360" w:lineRule="auto"/>
        <w:jc w:val="both"/>
        <w:rPr>
          <w:lang w:val="en-US"/>
        </w:rPr>
      </w:pPr>
      <w:r w:rsidRPr="00302662">
        <w:rPr>
          <w:lang w:val="en-US"/>
        </w:rPr>
        <w:t>In 1999, the Museum Island in Berlin was added to UNESCO’s World Heritage List for exhibiting significant progress in architecture or technology, which is capable of reflecting an important stage in human history, in addition to many other important factors. The site is an example of human creativity, value exchange, worldwide museum design, and urban design (Ubertazzi, 2020).</w:t>
      </w:r>
    </w:p>
    <w:p w14:paraId="0E2E80EB" w14:textId="02232B83" w:rsidR="00302662" w:rsidRPr="00302662" w:rsidRDefault="00D10A58" w:rsidP="002249FF">
      <w:pPr>
        <w:spacing w:before="120" w:after="120" w:line="360" w:lineRule="auto"/>
        <w:jc w:val="both"/>
        <w:rPr>
          <w:lang w:val="en-US"/>
        </w:rPr>
      </w:pPr>
      <w:r w:rsidRPr="00D10A58">
        <w:rPr>
          <w:b/>
          <w:bCs/>
          <w:lang w:val="en-US"/>
        </w:rPr>
        <w:t>Criterion (ii)</w:t>
      </w:r>
      <w:r w:rsidRPr="00D10A58">
        <w:rPr>
          <w:lang w:val="en-US"/>
        </w:rPr>
        <w:t xml:space="preserve"> </w:t>
      </w:r>
      <w:r w:rsidR="00302662" w:rsidRPr="00302662">
        <w:rPr>
          <w:lang w:val="en-US"/>
        </w:rPr>
        <w:t>states that man-made structures, such as buildings, etc. exhibit changes to a certain extent. In this decor the social functions of museums, as institutions for public education are now relevant. The changing European intellectual and aesthetic ideas are reflected in the classical, Renaissance and modern architectural forms that are on display on Museum Island. Karl Friedrich Schinkel, One of the most prominent artists of early nineteenth century, was responsible for designing this museum. According to Von Schorlemer, Maus, and Schmermer (2020), it established a model for the contemporary museum as a public service and motivated like developments in Europe and beyond.</w:t>
      </w:r>
    </w:p>
    <w:p w14:paraId="16197659" w14:textId="77777777" w:rsidR="00302662" w:rsidRPr="00302662" w:rsidRDefault="00302662" w:rsidP="002249FF">
      <w:pPr>
        <w:spacing w:before="120" w:after="120" w:line="360" w:lineRule="auto"/>
        <w:jc w:val="both"/>
        <w:rPr>
          <w:lang w:val="en-US"/>
        </w:rPr>
      </w:pPr>
      <w:r w:rsidRPr="00302662">
        <w:rPr>
          <w:b/>
          <w:bCs/>
          <w:lang w:val="en-US"/>
        </w:rPr>
        <w:t>Criterion (iv)</w:t>
      </w:r>
      <w:r w:rsidRPr="00302662">
        <w:rPr>
          <w:lang w:val="en-US"/>
        </w:rPr>
        <w:t xml:space="preserve"> identifies Museum Island as an outstanding example of a museum complex and civic planning. The ensemble's unity from the Altes Museum to the Pergamonmuseum exemplifies how architecture and urban planning can bring a project together over the course of one century. The enormous effort has succeeded in sensitively incorporating a common cultural site in a beautiful city. The Neues Museum’s recent restoration, which balances original materials with contemporary intervention, strengthens cultural memory continuity whereas the Pergamonmuseum’s monumental exhibits emphasise the architectural scale and ambition of early 20th century museology. The combination of preservation, innovation and public participation is in line with the sustainability goals of UNESCO in terms of heritage management.</w:t>
      </w:r>
    </w:p>
    <w:p w14:paraId="4545A9F6" w14:textId="77777777" w:rsidR="00D10A58" w:rsidRPr="00D10A58" w:rsidRDefault="00D10A58" w:rsidP="002249FF">
      <w:pPr>
        <w:spacing w:before="120" w:after="120" w:line="360" w:lineRule="auto"/>
        <w:jc w:val="both"/>
        <w:rPr>
          <w:lang w:val="en-US"/>
        </w:rPr>
      </w:pPr>
      <w:r w:rsidRPr="00D10A58">
        <w:rPr>
          <w:lang w:val="en-US"/>
        </w:rPr>
        <w:t>Thus, Museum Island fulfills both criteria through its role as a living example of the humanistic values of education, artistic excellence, and sustainable cultural development.</w:t>
      </w:r>
    </w:p>
    <w:p w14:paraId="4A636FE9" w14:textId="46D8D520" w:rsidR="00D10A58" w:rsidRPr="00D10A58" w:rsidRDefault="002249FF" w:rsidP="002249FF">
      <w:pPr>
        <w:pStyle w:val="Heading1"/>
        <w:spacing w:before="120" w:after="120" w:line="360" w:lineRule="auto"/>
        <w:jc w:val="both"/>
        <w:rPr>
          <w:lang w:val="en-US"/>
        </w:rPr>
      </w:pPr>
      <w:bookmarkStart w:id="3" w:name="_Toc213774478"/>
      <w:r>
        <w:rPr>
          <w:lang w:val="en-US"/>
        </w:rPr>
        <w:t xml:space="preserve">4.  </w:t>
      </w:r>
      <w:r w:rsidR="00D10A58" w:rsidRPr="00D10A58">
        <w:rPr>
          <w:lang w:val="en-US"/>
        </w:rPr>
        <w:t>Authenticity and Integrity</w:t>
      </w:r>
      <w:bookmarkEnd w:id="3"/>
    </w:p>
    <w:p w14:paraId="781D1E1C" w14:textId="2D8F6F36" w:rsidR="00302662" w:rsidRPr="00302662" w:rsidRDefault="00302662" w:rsidP="002249FF">
      <w:pPr>
        <w:numPr>
          <w:ilvl w:val="0"/>
          <w:numId w:val="1"/>
        </w:numPr>
        <w:spacing w:before="120" w:after="120" w:line="360" w:lineRule="auto"/>
        <w:jc w:val="both"/>
        <w:rPr>
          <w:lang w:val="en-US"/>
        </w:rPr>
      </w:pPr>
      <w:r w:rsidRPr="00302662">
        <w:t xml:space="preserve">According to a UNESCO, authenticity describes the truthfulness in the origin of a particular site’s cultural expressions (materials, design, traditions and spirit), whereas integrity describes the wholeness and completeness of the heritage property (Gullino &amp; </w:t>
      </w:r>
      <w:r w:rsidRPr="00302662">
        <w:lastRenderedPageBreak/>
        <w:t xml:space="preserve">Larcher, 2013). The OUV of a site remains genuine and undisturbed through time as a result of these concepts, which are helpful. </w:t>
      </w:r>
    </w:p>
    <w:p w14:paraId="1A107AF8" w14:textId="77777777" w:rsidR="00302662" w:rsidRPr="00302662" w:rsidRDefault="00D10A58" w:rsidP="002249FF">
      <w:pPr>
        <w:numPr>
          <w:ilvl w:val="0"/>
          <w:numId w:val="1"/>
        </w:numPr>
        <w:spacing w:before="120" w:after="120" w:line="360" w:lineRule="auto"/>
        <w:jc w:val="both"/>
        <w:rPr>
          <w:lang w:val="en-US"/>
        </w:rPr>
      </w:pPr>
      <w:r w:rsidRPr="00D10A58">
        <w:rPr>
          <w:b/>
          <w:bCs/>
          <w:lang w:val="en-US"/>
        </w:rPr>
        <w:t>Authenticity in Museum Island:</w:t>
      </w:r>
      <w:r w:rsidR="00302662">
        <w:rPr>
          <w:lang w:val="en-US"/>
        </w:rPr>
        <w:t xml:space="preserve"> </w:t>
      </w:r>
      <w:r w:rsidR="00302662" w:rsidRPr="00302662">
        <w:t>The materials, design and original function of Museum Island give it a high level of authenticity with respect to the original state and intention of the site. The Neues Museum restoration, finishing in 2009 by David Chipperfield, aligned most historic remains with modern interventions. The continuity is thus visible between past and present, though without a copy of the original. Khalaf (2020) argues that the continuity of cultural value is a better indicator of authenticity than reconstruction – an approach in lived heritage that resonates with UNESCO’s Nara Document on Authenticity (1994).</w:t>
      </w:r>
    </w:p>
    <w:p w14:paraId="30EBC703" w14:textId="193A040C" w:rsidR="00302662" w:rsidRPr="00302662" w:rsidRDefault="00302662" w:rsidP="002249FF">
      <w:pPr>
        <w:numPr>
          <w:ilvl w:val="0"/>
          <w:numId w:val="1"/>
        </w:numPr>
        <w:spacing w:before="120" w:after="120" w:line="360" w:lineRule="auto"/>
        <w:jc w:val="both"/>
        <w:rPr>
          <w:lang w:val="en-US"/>
        </w:rPr>
      </w:pPr>
      <w:r w:rsidRPr="00302662">
        <w:t xml:space="preserve"> </w:t>
      </w:r>
      <w:r w:rsidR="00D10A58" w:rsidRPr="00D10A58">
        <w:rPr>
          <w:b/>
          <w:bCs/>
          <w:lang w:val="en-US"/>
        </w:rPr>
        <w:t>Integrity and Protection:</w:t>
      </w:r>
      <w:r>
        <w:rPr>
          <w:lang w:val="en-US"/>
        </w:rPr>
        <w:t xml:space="preserve"> </w:t>
      </w:r>
      <w:r w:rsidRPr="00302662">
        <w:rPr>
          <w:lang w:val="en-US"/>
        </w:rPr>
        <w:t>The site’s integrity is best demonstrated by the inclusion of all five museums, along with their setting in the property. Berlin’s heritage preservation law and the buffer zone which allows for visual and spatial coherence with the city protect the site. The physical and functional unity of the composition still convey the 19th-century idea of a “cultural city core”, that is able to safeguard its integrity of building and meaning  (Gullino &amp; Larcher, 2013)</w:t>
      </w:r>
    </w:p>
    <w:p w14:paraId="0E4A9BEE" w14:textId="32452564" w:rsidR="005F3A1E" w:rsidRPr="005F3A1E" w:rsidRDefault="002249FF" w:rsidP="002249FF">
      <w:pPr>
        <w:pStyle w:val="Heading1"/>
        <w:spacing w:before="120" w:after="120" w:line="360" w:lineRule="auto"/>
        <w:jc w:val="both"/>
        <w:rPr>
          <w:lang w:val="en-US"/>
        </w:rPr>
      </w:pPr>
      <w:bookmarkStart w:id="4" w:name="_Toc213774479"/>
      <w:r>
        <w:rPr>
          <w:lang w:val="en-US"/>
        </w:rPr>
        <w:t xml:space="preserve">5. </w:t>
      </w:r>
      <w:r w:rsidR="005F3A1E" w:rsidRPr="005F3A1E">
        <w:rPr>
          <w:lang w:val="en-US"/>
        </w:rPr>
        <w:t>Conservation Strategy</w:t>
      </w:r>
      <w:bookmarkEnd w:id="4"/>
    </w:p>
    <w:p w14:paraId="5F4CADE9" w14:textId="412C87EB" w:rsidR="005F3A1E" w:rsidRPr="005F3A1E" w:rsidRDefault="002249FF" w:rsidP="002249FF">
      <w:pPr>
        <w:pStyle w:val="Heading2"/>
        <w:spacing w:before="120" w:after="120" w:line="360" w:lineRule="auto"/>
        <w:jc w:val="both"/>
        <w:rPr>
          <w:lang w:val="en-US"/>
        </w:rPr>
      </w:pPr>
      <w:bookmarkStart w:id="5" w:name="_Toc213774480"/>
      <w:r>
        <w:rPr>
          <w:lang w:val="en-US"/>
        </w:rPr>
        <w:t xml:space="preserve">5.1 </w:t>
      </w:r>
      <w:r w:rsidR="005F3A1E" w:rsidRPr="005F3A1E">
        <w:rPr>
          <w:lang w:val="en-US"/>
        </w:rPr>
        <w:t>Main Threats / Risks</w:t>
      </w:r>
      <w:bookmarkEnd w:id="5"/>
    </w:p>
    <w:p w14:paraId="3BD0040E" w14:textId="77777777" w:rsidR="00302662" w:rsidRPr="00302662" w:rsidRDefault="005F3A1E" w:rsidP="002249FF">
      <w:pPr>
        <w:numPr>
          <w:ilvl w:val="0"/>
          <w:numId w:val="2"/>
        </w:numPr>
        <w:spacing w:before="120" w:after="120" w:line="360" w:lineRule="auto"/>
        <w:jc w:val="both"/>
        <w:rPr>
          <w:lang w:val="en-US"/>
        </w:rPr>
      </w:pPr>
      <w:r w:rsidRPr="005F3A1E">
        <w:rPr>
          <w:b/>
          <w:bCs/>
          <w:lang w:val="en-US"/>
        </w:rPr>
        <w:t>Climate Change (Heat and Flooding):</w:t>
      </w:r>
      <w:r w:rsidR="00302662">
        <w:rPr>
          <w:lang w:val="en-US"/>
        </w:rPr>
        <w:t xml:space="preserve"> </w:t>
      </w:r>
      <w:r w:rsidR="00302662" w:rsidRPr="00302662">
        <w:t>Significant dangers are posed to Museum Island by climate change, notably temperature extremes, irregular precipitation and flood hazards from River Spree. Berlin’s urban water systems are highly vulnerable to heavy rainfall and heatwaves, which can damage historical structures and destabilize foundations” (Arndt and Heiland, 2024). Rising humidity levels also put indoor collections and wall paintings at risk.</w:t>
      </w:r>
    </w:p>
    <w:p w14:paraId="20E87CCF" w14:textId="4000A0C9" w:rsidR="00302662" w:rsidRPr="00302662" w:rsidRDefault="00302662" w:rsidP="002249FF">
      <w:pPr>
        <w:numPr>
          <w:ilvl w:val="0"/>
          <w:numId w:val="2"/>
        </w:numPr>
        <w:spacing w:before="120" w:after="120" w:line="360" w:lineRule="auto"/>
        <w:jc w:val="both"/>
        <w:rPr>
          <w:lang w:val="en-US"/>
        </w:rPr>
      </w:pPr>
      <w:r w:rsidRPr="00302662">
        <w:t xml:space="preserve"> </w:t>
      </w:r>
      <w:r w:rsidR="005F3A1E" w:rsidRPr="005F3A1E">
        <w:rPr>
          <w:b/>
          <w:bCs/>
          <w:lang w:val="en-US"/>
        </w:rPr>
        <w:t>Visitor Pressure (Over-tourism):</w:t>
      </w:r>
      <w:r>
        <w:rPr>
          <w:lang w:val="en-US"/>
        </w:rPr>
        <w:t xml:space="preserve"> </w:t>
      </w:r>
      <w:r w:rsidRPr="00302662">
        <w:rPr>
          <w:lang w:val="en-US"/>
        </w:rPr>
        <w:t>Millions of visitors each year are causing wear on the surfaces, overcrowding and reducing the delicate interiors. According to L</w:t>
      </w:r>
      <w:r w:rsidR="007E117F">
        <w:rPr>
          <w:lang w:val="en-US"/>
        </w:rPr>
        <w:t>a</w:t>
      </w:r>
      <w:r w:rsidRPr="00302662">
        <w:rPr>
          <w:lang w:val="en-US"/>
        </w:rPr>
        <w:t xml:space="preserve">zaro Ortiz and Jiménez de Madariaga (2021), cultural heritage tourism is valuable. However, it could endanger the intangible meaning and physical endurance of heritage if not sustainable. </w:t>
      </w:r>
    </w:p>
    <w:p w14:paraId="202A47BD" w14:textId="3FE08801" w:rsidR="00302662" w:rsidRPr="00302662" w:rsidRDefault="005F3A1E" w:rsidP="002249FF">
      <w:pPr>
        <w:numPr>
          <w:ilvl w:val="0"/>
          <w:numId w:val="2"/>
        </w:numPr>
        <w:spacing w:before="120" w:after="120" w:line="360" w:lineRule="auto"/>
        <w:jc w:val="both"/>
        <w:rPr>
          <w:lang w:val="en-US"/>
        </w:rPr>
      </w:pPr>
      <w:r w:rsidRPr="005F3A1E">
        <w:rPr>
          <w:b/>
          <w:bCs/>
          <w:lang w:val="en-US"/>
        </w:rPr>
        <w:lastRenderedPageBreak/>
        <w:t>Construction and Refurbishment Disruptions:</w:t>
      </w:r>
      <w:r w:rsidR="00302662">
        <w:rPr>
          <w:lang w:val="en-US"/>
        </w:rPr>
        <w:t xml:space="preserve"> </w:t>
      </w:r>
      <w:r w:rsidR="00302662" w:rsidRPr="00302662">
        <w:rPr>
          <w:lang w:val="en-US"/>
        </w:rPr>
        <w:t>Continuous work like the renovation of Pergamonmuseum can result in vibrations, dust and damage.  Sustainability of heritage can be integrated with other development activities having it for managing heritage.</w:t>
      </w:r>
    </w:p>
    <w:p w14:paraId="347B16A1" w14:textId="329EFE43" w:rsidR="00302662" w:rsidRPr="00302662" w:rsidRDefault="005F3A1E" w:rsidP="002249FF">
      <w:pPr>
        <w:numPr>
          <w:ilvl w:val="0"/>
          <w:numId w:val="2"/>
        </w:numPr>
        <w:spacing w:before="120" w:after="120" w:line="360" w:lineRule="auto"/>
        <w:jc w:val="both"/>
        <w:rPr>
          <w:lang w:val="en-US"/>
        </w:rPr>
      </w:pPr>
      <w:r w:rsidRPr="005F3A1E">
        <w:rPr>
          <w:b/>
          <w:bCs/>
          <w:lang w:val="en-US"/>
        </w:rPr>
        <w:t>Urban Development Pressures:</w:t>
      </w:r>
      <w:r w:rsidR="00302662">
        <w:rPr>
          <w:lang w:val="en-US"/>
        </w:rPr>
        <w:t xml:space="preserve"> </w:t>
      </w:r>
      <w:r w:rsidR="00302662" w:rsidRPr="00302662">
        <w:rPr>
          <w:lang w:val="en-US"/>
        </w:rPr>
        <w:t xml:space="preserve">Expansion projects in the Spree and surrounding urban areas can influence the visual setting of the island. Coordinated heritage impact assessments are required at both the site of the ensemble and the surrounding buffer zone. </w:t>
      </w:r>
    </w:p>
    <w:p w14:paraId="1F90ADB1" w14:textId="218D1E96" w:rsidR="005F3A1E" w:rsidRPr="005F3A1E" w:rsidRDefault="002249FF" w:rsidP="002249FF">
      <w:pPr>
        <w:pStyle w:val="Heading2"/>
        <w:spacing w:before="120" w:after="120" w:line="360" w:lineRule="auto"/>
        <w:jc w:val="both"/>
        <w:rPr>
          <w:lang w:val="en-US"/>
        </w:rPr>
      </w:pPr>
      <w:bookmarkStart w:id="6" w:name="_Toc213774481"/>
      <w:r>
        <w:rPr>
          <w:lang w:val="en-US"/>
        </w:rPr>
        <w:t xml:space="preserve">5.2 </w:t>
      </w:r>
      <w:r w:rsidR="005F3A1E" w:rsidRPr="005F3A1E">
        <w:rPr>
          <w:lang w:val="en-US"/>
        </w:rPr>
        <w:t>Risk Factor Matrix</w:t>
      </w:r>
      <w:bookmarkEnd w:id="6"/>
    </w:p>
    <w:tbl>
      <w:tblPr>
        <w:tblStyle w:val="TableGrid"/>
        <w:tblW w:w="0" w:type="auto"/>
        <w:jc w:val="center"/>
        <w:tblLook w:val="04A0" w:firstRow="1" w:lastRow="0" w:firstColumn="1" w:lastColumn="0" w:noHBand="0" w:noVBand="1"/>
      </w:tblPr>
      <w:tblGrid>
        <w:gridCol w:w="2965"/>
        <w:gridCol w:w="1890"/>
        <w:gridCol w:w="1620"/>
        <w:gridCol w:w="2525"/>
      </w:tblGrid>
      <w:tr w:rsidR="005F3A1E" w:rsidRPr="005F3A1E" w14:paraId="41B9E309" w14:textId="77777777" w:rsidTr="00214DE5">
        <w:trPr>
          <w:jc w:val="center"/>
        </w:trPr>
        <w:tc>
          <w:tcPr>
            <w:tcW w:w="2965" w:type="dxa"/>
            <w:hideMark/>
          </w:tcPr>
          <w:p w14:paraId="0C643519" w14:textId="77777777" w:rsidR="005F3A1E" w:rsidRPr="005F3A1E" w:rsidRDefault="005F3A1E" w:rsidP="002249FF">
            <w:pPr>
              <w:spacing w:before="120" w:after="120" w:line="360" w:lineRule="auto"/>
              <w:jc w:val="both"/>
              <w:rPr>
                <w:b/>
                <w:bCs/>
                <w:lang w:val="en-US"/>
              </w:rPr>
            </w:pPr>
            <w:r w:rsidRPr="005F3A1E">
              <w:rPr>
                <w:b/>
                <w:bCs/>
                <w:lang w:val="en-US"/>
              </w:rPr>
              <w:t>Threat</w:t>
            </w:r>
          </w:p>
        </w:tc>
        <w:tc>
          <w:tcPr>
            <w:tcW w:w="1890" w:type="dxa"/>
            <w:hideMark/>
          </w:tcPr>
          <w:p w14:paraId="7B55B2BB" w14:textId="77777777" w:rsidR="005F3A1E" w:rsidRPr="005F3A1E" w:rsidRDefault="005F3A1E" w:rsidP="002249FF">
            <w:pPr>
              <w:spacing w:before="120" w:after="120" w:line="360" w:lineRule="auto"/>
              <w:jc w:val="both"/>
              <w:rPr>
                <w:b/>
                <w:bCs/>
                <w:lang w:val="en-US"/>
              </w:rPr>
            </w:pPr>
            <w:r w:rsidRPr="005F3A1E">
              <w:rPr>
                <w:b/>
                <w:bCs/>
                <w:lang w:val="en-US"/>
              </w:rPr>
              <w:t>Likelihood</w:t>
            </w:r>
          </w:p>
        </w:tc>
        <w:tc>
          <w:tcPr>
            <w:tcW w:w="1620" w:type="dxa"/>
            <w:hideMark/>
          </w:tcPr>
          <w:p w14:paraId="21B6A80C" w14:textId="77777777" w:rsidR="005F3A1E" w:rsidRPr="005F3A1E" w:rsidRDefault="005F3A1E" w:rsidP="002249FF">
            <w:pPr>
              <w:spacing w:before="120" w:after="120" w:line="360" w:lineRule="auto"/>
              <w:jc w:val="both"/>
              <w:rPr>
                <w:b/>
                <w:bCs/>
                <w:lang w:val="en-US"/>
              </w:rPr>
            </w:pPr>
            <w:r w:rsidRPr="005F3A1E">
              <w:rPr>
                <w:b/>
                <w:bCs/>
                <w:lang w:val="en-US"/>
              </w:rPr>
              <w:t>Impact</w:t>
            </w:r>
          </w:p>
        </w:tc>
        <w:tc>
          <w:tcPr>
            <w:tcW w:w="2525" w:type="dxa"/>
            <w:hideMark/>
          </w:tcPr>
          <w:p w14:paraId="77598E6D" w14:textId="77777777" w:rsidR="005F3A1E" w:rsidRPr="005F3A1E" w:rsidRDefault="005F3A1E" w:rsidP="002249FF">
            <w:pPr>
              <w:spacing w:before="120" w:after="120" w:line="360" w:lineRule="auto"/>
              <w:jc w:val="both"/>
              <w:rPr>
                <w:b/>
                <w:bCs/>
                <w:lang w:val="en-US"/>
              </w:rPr>
            </w:pPr>
            <w:r w:rsidRPr="005F3A1E">
              <w:rPr>
                <w:b/>
                <w:bCs/>
                <w:lang w:val="en-US"/>
              </w:rPr>
              <w:t>Overall Risk</w:t>
            </w:r>
          </w:p>
        </w:tc>
      </w:tr>
      <w:tr w:rsidR="005F3A1E" w:rsidRPr="005F3A1E" w14:paraId="0880E87A" w14:textId="77777777" w:rsidTr="00214DE5">
        <w:trPr>
          <w:jc w:val="center"/>
        </w:trPr>
        <w:tc>
          <w:tcPr>
            <w:tcW w:w="2965" w:type="dxa"/>
            <w:hideMark/>
          </w:tcPr>
          <w:p w14:paraId="1347986E" w14:textId="77777777" w:rsidR="005F3A1E" w:rsidRPr="005F3A1E" w:rsidRDefault="005F3A1E" w:rsidP="007E117F">
            <w:pPr>
              <w:spacing w:before="120" w:after="120" w:line="360" w:lineRule="auto"/>
              <w:jc w:val="center"/>
              <w:rPr>
                <w:lang w:val="en-US"/>
              </w:rPr>
            </w:pPr>
            <w:r w:rsidRPr="005F3A1E">
              <w:rPr>
                <w:lang w:val="en-US"/>
              </w:rPr>
              <w:t>Climate change (heat/flood)</w:t>
            </w:r>
          </w:p>
        </w:tc>
        <w:tc>
          <w:tcPr>
            <w:tcW w:w="1890" w:type="dxa"/>
            <w:hideMark/>
          </w:tcPr>
          <w:p w14:paraId="3CAF645D" w14:textId="77777777" w:rsidR="005F3A1E" w:rsidRPr="005F3A1E" w:rsidRDefault="005F3A1E" w:rsidP="002249FF">
            <w:pPr>
              <w:spacing w:before="120" w:after="120" w:line="360" w:lineRule="auto"/>
              <w:jc w:val="both"/>
              <w:rPr>
                <w:lang w:val="en-US"/>
              </w:rPr>
            </w:pPr>
            <w:r w:rsidRPr="005F3A1E">
              <w:rPr>
                <w:lang w:val="en-US"/>
              </w:rPr>
              <w:t>High</w:t>
            </w:r>
          </w:p>
        </w:tc>
        <w:tc>
          <w:tcPr>
            <w:tcW w:w="1620" w:type="dxa"/>
            <w:hideMark/>
          </w:tcPr>
          <w:p w14:paraId="2FAA2AAA" w14:textId="77777777" w:rsidR="005F3A1E" w:rsidRPr="005F3A1E" w:rsidRDefault="005F3A1E" w:rsidP="002249FF">
            <w:pPr>
              <w:spacing w:before="120" w:after="120" w:line="360" w:lineRule="auto"/>
              <w:jc w:val="both"/>
              <w:rPr>
                <w:lang w:val="en-US"/>
              </w:rPr>
            </w:pPr>
            <w:r w:rsidRPr="005F3A1E">
              <w:rPr>
                <w:lang w:val="en-US"/>
              </w:rPr>
              <w:t>High</w:t>
            </w:r>
          </w:p>
        </w:tc>
        <w:tc>
          <w:tcPr>
            <w:tcW w:w="2525" w:type="dxa"/>
            <w:hideMark/>
          </w:tcPr>
          <w:p w14:paraId="2E337E4C" w14:textId="77777777" w:rsidR="005F3A1E" w:rsidRPr="005F3A1E" w:rsidRDefault="005F3A1E" w:rsidP="002249FF">
            <w:pPr>
              <w:spacing w:before="120" w:after="120" w:line="360" w:lineRule="auto"/>
              <w:jc w:val="both"/>
              <w:rPr>
                <w:lang w:val="en-US"/>
              </w:rPr>
            </w:pPr>
            <w:r w:rsidRPr="005F3A1E">
              <w:rPr>
                <w:lang w:val="en-US"/>
              </w:rPr>
              <w:t>Very High</w:t>
            </w:r>
          </w:p>
        </w:tc>
      </w:tr>
      <w:tr w:rsidR="005F3A1E" w:rsidRPr="005F3A1E" w14:paraId="36B08F9E" w14:textId="77777777" w:rsidTr="00214DE5">
        <w:trPr>
          <w:jc w:val="center"/>
        </w:trPr>
        <w:tc>
          <w:tcPr>
            <w:tcW w:w="2965" w:type="dxa"/>
            <w:hideMark/>
          </w:tcPr>
          <w:p w14:paraId="54635301" w14:textId="77777777" w:rsidR="005F3A1E" w:rsidRPr="005F3A1E" w:rsidRDefault="005F3A1E" w:rsidP="002249FF">
            <w:pPr>
              <w:spacing w:before="120" w:after="120" w:line="360" w:lineRule="auto"/>
              <w:jc w:val="both"/>
              <w:rPr>
                <w:lang w:val="en-US"/>
              </w:rPr>
            </w:pPr>
            <w:r w:rsidRPr="005F3A1E">
              <w:rPr>
                <w:lang w:val="en-US"/>
              </w:rPr>
              <w:t>Over-tourism</w:t>
            </w:r>
          </w:p>
        </w:tc>
        <w:tc>
          <w:tcPr>
            <w:tcW w:w="1890" w:type="dxa"/>
            <w:hideMark/>
          </w:tcPr>
          <w:p w14:paraId="01744088" w14:textId="77777777" w:rsidR="005F3A1E" w:rsidRPr="005F3A1E" w:rsidRDefault="005F3A1E" w:rsidP="002249FF">
            <w:pPr>
              <w:spacing w:before="120" w:after="120" w:line="360" w:lineRule="auto"/>
              <w:jc w:val="both"/>
              <w:rPr>
                <w:lang w:val="en-US"/>
              </w:rPr>
            </w:pPr>
            <w:r w:rsidRPr="005F3A1E">
              <w:rPr>
                <w:lang w:val="en-US"/>
              </w:rPr>
              <w:t>High</w:t>
            </w:r>
          </w:p>
        </w:tc>
        <w:tc>
          <w:tcPr>
            <w:tcW w:w="1620" w:type="dxa"/>
            <w:hideMark/>
          </w:tcPr>
          <w:p w14:paraId="63DC5BD9" w14:textId="77777777" w:rsidR="005F3A1E" w:rsidRPr="005F3A1E" w:rsidRDefault="005F3A1E" w:rsidP="002249FF">
            <w:pPr>
              <w:spacing w:before="120" w:after="120" w:line="360" w:lineRule="auto"/>
              <w:jc w:val="both"/>
              <w:rPr>
                <w:lang w:val="en-US"/>
              </w:rPr>
            </w:pPr>
            <w:r w:rsidRPr="005F3A1E">
              <w:rPr>
                <w:lang w:val="en-US"/>
              </w:rPr>
              <w:t>Medium</w:t>
            </w:r>
          </w:p>
        </w:tc>
        <w:tc>
          <w:tcPr>
            <w:tcW w:w="2525" w:type="dxa"/>
            <w:hideMark/>
          </w:tcPr>
          <w:p w14:paraId="17BC87C0" w14:textId="77777777" w:rsidR="005F3A1E" w:rsidRPr="005F3A1E" w:rsidRDefault="005F3A1E" w:rsidP="002249FF">
            <w:pPr>
              <w:spacing w:before="120" w:after="120" w:line="360" w:lineRule="auto"/>
              <w:jc w:val="both"/>
              <w:rPr>
                <w:lang w:val="en-US"/>
              </w:rPr>
            </w:pPr>
            <w:r w:rsidRPr="005F3A1E">
              <w:rPr>
                <w:lang w:val="en-US"/>
              </w:rPr>
              <w:t>High</w:t>
            </w:r>
          </w:p>
        </w:tc>
      </w:tr>
      <w:tr w:rsidR="005F3A1E" w:rsidRPr="005F3A1E" w14:paraId="3604B08E" w14:textId="77777777" w:rsidTr="00214DE5">
        <w:trPr>
          <w:jc w:val="center"/>
        </w:trPr>
        <w:tc>
          <w:tcPr>
            <w:tcW w:w="2965" w:type="dxa"/>
            <w:hideMark/>
          </w:tcPr>
          <w:p w14:paraId="2E826316" w14:textId="77777777" w:rsidR="005F3A1E" w:rsidRPr="005F3A1E" w:rsidRDefault="005F3A1E" w:rsidP="002249FF">
            <w:pPr>
              <w:spacing w:before="120" w:after="120" w:line="360" w:lineRule="auto"/>
              <w:jc w:val="both"/>
              <w:rPr>
                <w:lang w:val="en-US"/>
              </w:rPr>
            </w:pPr>
            <w:r w:rsidRPr="005F3A1E">
              <w:rPr>
                <w:lang w:val="en-US"/>
              </w:rPr>
              <w:t>Construction risks</w:t>
            </w:r>
          </w:p>
        </w:tc>
        <w:tc>
          <w:tcPr>
            <w:tcW w:w="1890" w:type="dxa"/>
            <w:hideMark/>
          </w:tcPr>
          <w:p w14:paraId="5B200FCB" w14:textId="77777777" w:rsidR="005F3A1E" w:rsidRPr="005F3A1E" w:rsidRDefault="005F3A1E" w:rsidP="002249FF">
            <w:pPr>
              <w:spacing w:before="120" w:after="120" w:line="360" w:lineRule="auto"/>
              <w:jc w:val="both"/>
              <w:rPr>
                <w:lang w:val="en-US"/>
              </w:rPr>
            </w:pPr>
            <w:r w:rsidRPr="005F3A1E">
              <w:rPr>
                <w:lang w:val="en-US"/>
              </w:rPr>
              <w:t>Medium</w:t>
            </w:r>
          </w:p>
        </w:tc>
        <w:tc>
          <w:tcPr>
            <w:tcW w:w="1620" w:type="dxa"/>
            <w:hideMark/>
          </w:tcPr>
          <w:p w14:paraId="780ABF8D" w14:textId="77777777" w:rsidR="005F3A1E" w:rsidRPr="005F3A1E" w:rsidRDefault="005F3A1E" w:rsidP="002249FF">
            <w:pPr>
              <w:spacing w:before="120" w:after="120" w:line="360" w:lineRule="auto"/>
              <w:jc w:val="both"/>
              <w:rPr>
                <w:lang w:val="en-US"/>
              </w:rPr>
            </w:pPr>
            <w:r w:rsidRPr="005F3A1E">
              <w:rPr>
                <w:lang w:val="en-US"/>
              </w:rPr>
              <w:t>Medium</w:t>
            </w:r>
          </w:p>
        </w:tc>
        <w:tc>
          <w:tcPr>
            <w:tcW w:w="2525" w:type="dxa"/>
            <w:hideMark/>
          </w:tcPr>
          <w:p w14:paraId="4F637823" w14:textId="77777777" w:rsidR="005F3A1E" w:rsidRPr="005F3A1E" w:rsidRDefault="005F3A1E" w:rsidP="002249FF">
            <w:pPr>
              <w:spacing w:before="120" w:after="120" w:line="360" w:lineRule="auto"/>
              <w:jc w:val="both"/>
              <w:rPr>
                <w:lang w:val="en-US"/>
              </w:rPr>
            </w:pPr>
            <w:r w:rsidRPr="005F3A1E">
              <w:rPr>
                <w:lang w:val="en-US"/>
              </w:rPr>
              <w:t>Medium</w:t>
            </w:r>
          </w:p>
        </w:tc>
      </w:tr>
      <w:tr w:rsidR="005F3A1E" w:rsidRPr="005F3A1E" w14:paraId="4E261A5B" w14:textId="77777777" w:rsidTr="00214DE5">
        <w:trPr>
          <w:jc w:val="center"/>
        </w:trPr>
        <w:tc>
          <w:tcPr>
            <w:tcW w:w="2965" w:type="dxa"/>
            <w:hideMark/>
          </w:tcPr>
          <w:p w14:paraId="6CF60941" w14:textId="77777777" w:rsidR="005F3A1E" w:rsidRPr="005F3A1E" w:rsidRDefault="005F3A1E" w:rsidP="002249FF">
            <w:pPr>
              <w:spacing w:before="120" w:after="120" w:line="360" w:lineRule="auto"/>
              <w:jc w:val="both"/>
              <w:rPr>
                <w:lang w:val="en-US"/>
              </w:rPr>
            </w:pPr>
            <w:r w:rsidRPr="005F3A1E">
              <w:rPr>
                <w:lang w:val="en-US"/>
              </w:rPr>
              <w:t>Urban development</w:t>
            </w:r>
          </w:p>
        </w:tc>
        <w:tc>
          <w:tcPr>
            <w:tcW w:w="1890" w:type="dxa"/>
            <w:hideMark/>
          </w:tcPr>
          <w:p w14:paraId="35CE025E" w14:textId="77777777" w:rsidR="005F3A1E" w:rsidRPr="005F3A1E" w:rsidRDefault="005F3A1E" w:rsidP="002249FF">
            <w:pPr>
              <w:spacing w:before="120" w:after="120" w:line="360" w:lineRule="auto"/>
              <w:jc w:val="both"/>
              <w:rPr>
                <w:lang w:val="en-US"/>
              </w:rPr>
            </w:pPr>
            <w:r w:rsidRPr="005F3A1E">
              <w:rPr>
                <w:lang w:val="en-US"/>
              </w:rPr>
              <w:t>Medium</w:t>
            </w:r>
          </w:p>
        </w:tc>
        <w:tc>
          <w:tcPr>
            <w:tcW w:w="1620" w:type="dxa"/>
            <w:hideMark/>
          </w:tcPr>
          <w:p w14:paraId="3B3D9E73" w14:textId="77777777" w:rsidR="005F3A1E" w:rsidRPr="005F3A1E" w:rsidRDefault="005F3A1E" w:rsidP="002249FF">
            <w:pPr>
              <w:spacing w:before="120" w:after="120" w:line="360" w:lineRule="auto"/>
              <w:jc w:val="both"/>
              <w:rPr>
                <w:lang w:val="en-US"/>
              </w:rPr>
            </w:pPr>
            <w:r w:rsidRPr="005F3A1E">
              <w:rPr>
                <w:lang w:val="en-US"/>
              </w:rPr>
              <w:t>Medium</w:t>
            </w:r>
          </w:p>
        </w:tc>
        <w:tc>
          <w:tcPr>
            <w:tcW w:w="2525" w:type="dxa"/>
            <w:hideMark/>
          </w:tcPr>
          <w:p w14:paraId="45F47480" w14:textId="77777777" w:rsidR="005F3A1E" w:rsidRPr="005F3A1E" w:rsidRDefault="005F3A1E" w:rsidP="002249FF">
            <w:pPr>
              <w:spacing w:before="120" w:after="120" w:line="360" w:lineRule="auto"/>
              <w:jc w:val="both"/>
              <w:rPr>
                <w:lang w:val="en-US"/>
              </w:rPr>
            </w:pPr>
            <w:r w:rsidRPr="005F3A1E">
              <w:rPr>
                <w:lang w:val="en-US"/>
              </w:rPr>
              <w:t>Medium</w:t>
            </w:r>
          </w:p>
        </w:tc>
      </w:tr>
    </w:tbl>
    <w:p w14:paraId="07BEDDE5" w14:textId="77777777" w:rsidR="00302662" w:rsidRPr="00302662" w:rsidRDefault="00302662" w:rsidP="002249FF">
      <w:pPr>
        <w:spacing w:before="120" w:after="120" w:line="360" w:lineRule="auto"/>
        <w:jc w:val="both"/>
        <w:rPr>
          <w:lang w:val="en-US"/>
        </w:rPr>
      </w:pPr>
      <w:r w:rsidRPr="00302662">
        <w:rPr>
          <w:lang w:val="en-US"/>
        </w:rPr>
        <w:t xml:space="preserve">Museum Island’s outstanding universal value is addressed through the risks matrix. The major threat of climate change is the long-term impact it has on building materials and on the environment. Construction and urban development exert medium risk, which require continuous supervision like over-tourism. The combination of these factors reflects the need for adaptive management that brings together climate resilience, visitor management, and heritage-sensitive urban planning (Arndt &amp; Heiland, 2024; Wagner &amp; Lorente, 2025). </w:t>
      </w:r>
    </w:p>
    <w:p w14:paraId="37B9E0A3" w14:textId="0F581B43" w:rsidR="005F3A1E" w:rsidRPr="005F3A1E" w:rsidRDefault="002249FF" w:rsidP="002249FF">
      <w:pPr>
        <w:pStyle w:val="Heading2"/>
        <w:spacing w:before="120" w:after="120" w:line="360" w:lineRule="auto"/>
        <w:jc w:val="both"/>
        <w:rPr>
          <w:lang w:val="en-US"/>
        </w:rPr>
      </w:pPr>
      <w:bookmarkStart w:id="7" w:name="_Toc213774482"/>
      <w:r>
        <w:rPr>
          <w:lang w:val="en-US"/>
        </w:rPr>
        <w:t xml:space="preserve">5.3 </w:t>
      </w:r>
      <w:r w:rsidR="005F3A1E" w:rsidRPr="005F3A1E">
        <w:rPr>
          <w:lang w:val="en-US"/>
        </w:rPr>
        <w:t>Mitigation Actions</w:t>
      </w:r>
      <w:bookmarkEnd w:id="7"/>
    </w:p>
    <w:p w14:paraId="70EB9A2A" w14:textId="0593C5D5" w:rsidR="005F3A1E" w:rsidRPr="005F3A1E" w:rsidRDefault="005F3A1E" w:rsidP="002249FF">
      <w:pPr>
        <w:numPr>
          <w:ilvl w:val="0"/>
          <w:numId w:val="3"/>
        </w:numPr>
        <w:spacing w:before="120" w:after="120" w:line="360" w:lineRule="auto"/>
        <w:jc w:val="both"/>
        <w:rPr>
          <w:lang w:val="en-US"/>
        </w:rPr>
      </w:pPr>
      <w:r w:rsidRPr="005F3A1E">
        <w:rPr>
          <w:b/>
          <w:bCs/>
          <w:lang w:val="en-US"/>
        </w:rPr>
        <w:t>Climate Adaptation Measures:</w:t>
      </w:r>
      <w:r w:rsidR="002249FF">
        <w:rPr>
          <w:lang w:val="en-US"/>
        </w:rPr>
        <w:t xml:space="preserve"> </w:t>
      </w:r>
      <w:r w:rsidR="002249FF" w:rsidRPr="002249FF">
        <w:t xml:space="preserve">Improve storm water management with blue green infrastructure rain garden permeable pavement once a drain. Arndt and Heiland </w:t>
      </w:r>
      <w:r w:rsidR="002249FF">
        <w:t>(</w:t>
      </w:r>
      <w:r w:rsidR="002249FF" w:rsidRPr="002249FF">
        <w:t>2024</w:t>
      </w:r>
      <w:r w:rsidR="002249FF">
        <w:t>)</w:t>
      </w:r>
      <w:r w:rsidR="002249FF" w:rsidRPr="002249FF">
        <w:t xml:space="preserve"> states that adaptive hydrological planning in the Spree basin prevents flood damage and stagnating water near the foundations of heritage buildings</w:t>
      </w:r>
      <w:r w:rsidRPr="005F3A1E">
        <w:rPr>
          <w:lang w:val="en-US"/>
        </w:rPr>
        <w:t>.</w:t>
      </w:r>
    </w:p>
    <w:p w14:paraId="19862C01" w14:textId="6FB932CB" w:rsidR="005F3A1E" w:rsidRPr="005F3A1E" w:rsidRDefault="005F3A1E" w:rsidP="002249FF">
      <w:pPr>
        <w:numPr>
          <w:ilvl w:val="0"/>
          <w:numId w:val="3"/>
        </w:numPr>
        <w:spacing w:before="120" w:after="120" w:line="360" w:lineRule="auto"/>
        <w:jc w:val="both"/>
        <w:rPr>
          <w:lang w:val="en-US"/>
        </w:rPr>
      </w:pPr>
      <w:r w:rsidRPr="005F3A1E">
        <w:rPr>
          <w:b/>
          <w:bCs/>
          <w:lang w:val="en-US"/>
        </w:rPr>
        <w:t>Visitor Management:</w:t>
      </w:r>
      <w:r w:rsidR="002249FF">
        <w:rPr>
          <w:lang w:val="en-US"/>
        </w:rPr>
        <w:t xml:space="preserve"> </w:t>
      </w:r>
      <w:r w:rsidR="002249FF" w:rsidRPr="002249FF">
        <w:t>Timed entry systems and guided routes will enable visitors to access the James-Simon-Galerie orderly. According to L</w:t>
      </w:r>
      <w:r w:rsidR="007E117F">
        <w:t>a</w:t>
      </w:r>
      <w:r w:rsidR="002249FF" w:rsidRPr="002249FF">
        <w:t xml:space="preserve">zaro Ortiz and Jiménez de </w:t>
      </w:r>
      <w:r w:rsidR="002249FF" w:rsidRPr="002249FF">
        <w:lastRenderedPageBreak/>
        <w:t>Madariaga (2021), the principles of UNESCO for sustainable cultural tourism are compliant and at the same time facilitate the preservation of intangible heritage values.</w:t>
      </w:r>
    </w:p>
    <w:p w14:paraId="4B52E7D2" w14:textId="6E01EFCE" w:rsidR="005F3A1E" w:rsidRPr="005F3A1E" w:rsidRDefault="005F3A1E" w:rsidP="002249FF">
      <w:pPr>
        <w:numPr>
          <w:ilvl w:val="0"/>
          <w:numId w:val="3"/>
        </w:numPr>
        <w:spacing w:before="120" w:after="120" w:line="360" w:lineRule="auto"/>
        <w:jc w:val="both"/>
        <w:rPr>
          <w:lang w:val="en-US"/>
        </w:rPr>
      </w:pPr>
      <w:r w:rsidRPr="005F3A1E">
        <w:rPr>
          <w:b/>
          <w:bCs/>
          <w:lang w:val="en-US"/>
        </w:rPr>
        <w:t>Construction Governance:</w:t>
      </w:r>
      <w:r w:rsidR="002249FF">
        <w:rPr>
          <w:lang w:val="en-US"/>
        </w:rPr>
        <w:t xml:space="preserve"> </w:t>
      </w:r>
      <w:r w:rsidR="007E117F">
        <w:rPr>
          <w:lang w:val="en-US"/>
        </w:rPr>
        <w:t>E</w:t>
      </w:r>
      <w:r w:rsidR="002249FF" w:rsidRPr="002249FF">
        <w:t>nable the restoration procedures to take place without any delays through strict scheduling. Environmental assessments for the long-run viability of sites</w:t>
      </w:r>
      <w:r w:rsidR="007E117F">
        <w:t xml:space="preserve"> (</w:t>
      </w:r>
      <w:r w:rsidR="007E117F" w:rsidRPr="00D10A58">
        <w:t>Jang</w:t>
      </w:r>
      <w:r w:rsidR="007E117F">
        <w:t>, 2021)</w:t>
      </w:r>
      <w:r w:rsidR="002249FF" w:rsidRPr="002249FF">
        <w:t>.</w:t>
      </w:r>
    </w:p>
    <w:p w14:paraId="1539C594" w14:textId="0CC96CE4" w:rsidR="002249FF" w:rsidRPr="002249FF" w:rsidRDefault="005F3A1E" w:rsidP="002249FF">
      <w:pPr>
        <w:numPr>
          <w:ilvl w:val="0"/>
          <w:numId w:val="3"/>
        </w:numPr>
        <w:spacing w:before="120" w:after="120" w:line="360" w:lineRule="auto"/>
        <w:jc w:val="both"/>
        <w:rPr>
          <w:lang w:val="en-US"/>
        </w:rPr>
      </w:pPr>
      <w:r w:rsidRPr="005F3A1E">
        <w:rPr>
          <w:b/>
          <w:bCs/>
          <w:lang w:val="en-US"/>
        </w:rPr>
        <w:t>Flood Prevention and Monitoring:</w:t>
      </w:r>
      <w:r w:rsidR="002249FF">
        <w:rPr>
          <w:lang w:val="en-US"/>
        </w:rPr>
        <w:t xml:space="preserve"> </w:t>
      </w:r>
      <w:r w:rsidR="002249FF" w:rsidRPr="002249FF">
        <w:rPr>
          <w:lang w:val="en-US"/>
        </w:rPr>
        <w:t>According to Wagner and Lorente (2025), introducing real-time monitoring systems for the Spree river and flood barriers as well as early warning systems and coordinated water quality monitoring will reduce the risk of destruction.</w:t>
      </w:r>
    </w:p>
    <w:p w14:paraId="39AB22B5" w14:textId="4AA0C887" w:rsidR="005F3A1E" w:rsidRPr="005F3A1E" w:rsidRDefault="002249FF" w:rsidP="002249FF">
      <w:pPr>
        <w:pStyle w:val="Heading1"/>
        <w:spacing w:before="120" w:after="120" w:line="360" w:lineRule="auto"/>
        <w:jc w:val="both"/>
        <w:rPr>
          <w:lang w:val="en-US"/>
        </w:rPr>
      </w:pPr>
      <w:bookmarkStart w:id="8" w:name="_Toc213774483"/>
      <w:r>
        <w:rPr>
          <w:lang w:val="en-US"/>
        </w:rPr>
        <w:t xml:space="preserve">6. </w:t>
      </w:r>
      <w:r w:rsidR="005F3A1E" w:rsidRPr="005F3A1E">
        <w:rPr>
          <w:lang w:val="en-US"/>
        </w:rPr>
        <w:t>Conclusion</w:t>
      </w:r>
      <w:bookmarkEnd w:id="8"/>
    </w:p>
    <w:p w14:paraId="708FCDAE" w14:textId="77777777" w:rsidR="002249FF" w:rsidRPr="002249FF" w:rsidRDefault="002249FF" w:rsidP="002249FF">
      <w:pPr>
        <w:spacing w:before="120" w:after="120" w:line="360" w:lineRule="auto"/>
        <w:jc w:val="both"/>
        <w:rPr>
          <w:lang w:val="en-US"/>
        </w:rPr>
      </w:pPr>
      <w:r w:rsidRPr="002249FF">
        <w:rPr>
          <w:lang w:val="en-US"/>
        </w:rPr>
        <w:t>Museum Island is a cultural monument which brings together art, architecture, and education in a unitary urban context. The site's Outstanding Universal Value is to embody the ideas of the Enlightenment with innovative architecture as well as human creativity’s safeguard. The site is maintained by delicate restoration and sustainable management to ensure authenticity and integrity. Climate change, tourism pressure, and urban development do require constant monitoring. We should take steps that would improve the beach historical significance, as well as help that culture and education to continue for many future generations.</w:t>
      </w:r>
    </w:p>
    <w:p w14:paraId="5B9EA79E" w14:textId="77777777" w:rsidR="008C10FC" w:rsidRPr="005F3A1E" w:rsidRDefault="008C10FC" w:rsidP="002249FF">
      <w:pPr>
        <w:spacing w:before="120" w:after="120" w:line="360" w:lineRule="auto"/>
        <w:jc w:val="both"/>
        <w:rPr>
          <w:lang w:val="en-US"/>
        </w:rPr>
      </w:pPr>
    </w:p>
    <w:p w14:paraId="0CCB4523" w14:textId="77777777" w:rsidR="008C10FC" w:rsidRDefault="008C10FC" w:rsidP="002249FF">
      <w:pPr>
        <w:spacing w:before="120" w:after="120" w:line="360" w:lineRule="auto"/>
        <w:jc w:val="both"/>
      </w:pPr>
    </w:p>
    <w:p w14:paraId="3553E65A" w14:textId="77777777" w:rsidR="008C10FC" w:rsidRDefault="008C10FC" w:rsidP="002249FF">
      <w:pPr>
        <w:spacing w:before="120" w:after="120" w:line="360" w:lineRule="auto"/>
        <w:jc w:val="both"/>
      </w:pPr>
    </w:p>
    <w:p w14:paraId="420DDC84" w14:textId="77777777" w:rsidR="008C10FC" w:rsidRDefault="008C10FC" w:rsidP="002249FF">
      <w:pPr>
        <w:spacing w:before="120" w:after="120" w:line="360" w:lineRule="auto"/>
        <w:jc w:val="both"/>
      </w:pPr>
    </w:p>
    <w:p w14:paraId="0AC37037" w14:textId="77777777" w:rsidR="008C10FC" w:rsidRDefault="008C10FC" w:rsidP="002249FF">
      <w:pPr>
        <w:spacing w:before="120" w:after="120" w:line="360" w:lineRule="auto"/>
        <w:jc w:val="both"/>
      </w:pPr>
    </w:p>
    <w:p w14:paraId="59ABA24C" w14:textId="77777777" w:rsidR="008C10FC" w:rsidRDefault="008C10FC" w:rsidP="002249FF">
      <w:pPr>
        <w:spacing w:before="120" w:after="120" w:line="360" w:lineRule="auto"/>
        <w:jc w:val="both"/>
      </w:pPr>
    </w:p>
    <w:p w14:paraId="09A3D973" w14:textId="77777777" w:rsidR="008C10FC" w:rsidRDefault="008C10FC" w:rsidP="002249FF">
      <w:pPr>
        <w:spacing w:before="120" w:after="120" w:line="360" w:lineRule="auto"/>
        <w:jc w:val="both"/>
      </w:pPr>
    </w:p>
    <w:p w14:paraId="5952E05E" w14:textId="77777777" w:rsidR="008C10FC" w:rsidRDefault="008C10FC" w:rsidP="002249FF">
      <w:pPr>
        <w:spacing w:before="120" w:after="120" w:line="360" w:lineRule="auto"/>
        <w:jc w:val="both"/>
      </w:pPr>
    </w:p>
    <w:p w14:paraId="64D06F9D" w14:textId="77777777" w:rsidR="008C10FC" w:rsidRDefault="008C10FC" w:rsidP="002249FF">
      <w:pPr>
        <w:spacing w:before="120" w:after="120" w:line="360" w:lineRule="auto"/>
        <w:jc w:val="both"/>
      </w:pPr>
    </w:p>
    <w:p w14:paraId="7341B1BC" w14:textId="77777777" w:rsidR="008C10FC" w:rsidRDefault="008C10FC" w:rsidP="002249FF">
      <w:pPr>
        <w:spacing w:before="120" w:after="120" w:line="360" w:lineRule="auto"/>
        <w:jc w:val="both"/>
      </w:pPr>
    </w:p>
    <w:p w14:paraId="173D4A47" w14:textId="35BD2438" w:rsidR="007E117F" w:rsidRPr="007E117F" w:rsidRDefault="007E117F" w:rsidP="007E117F">
      <w:pPr>
        <w:pStyle w:val="Heading1"/>
      </w:pPr>
      <w:r>
        <w:lastRenderedPageBreak/>
        <w:t>References</w:t>
      </w:r>
    </w:p>
    <w:p w14:paraId="255752AC" w14:textId="77777777" w:rsidR="007E117F" w:rsidRDefault="007E117F" w:rsidP="007E117F">
      <w:pPr>
        <w:spacing w:before="120" w:after="120" w:line="360" w:lineRule="auto"/>
        <w:ind w:left="1080" w:hanging="1080"/>
        <w:jc w:val="both"/>
      </w:pPr>
      <w:r w:rsidRPr="00C0228C">
        <w:t>Arndt, S., &amp; Heiland, S. (2024). Current status of water-related planning for climate change adaptation in the Spree river basin, Germany. </w:t>
      </w:r>
      <w:r w:rsidRPr="00C0228C">
        <w:rPr>
          <w:i/>
          <w:iCs/>
        </w:rPr>
        <w:t>Natural Hazards and Earth System Sciences</w:t>
      </w:r>
      <w:r w:rsidRPr="00C0228C">
        <w:t>, </w:t>
      </w:r>
      <w:r w:rsidRPr="00C0228C">
        <w:rPr>
          <w:i/>
          <w:iCs/>
        </w:rPr>
        <w:t>24</w:t>
      </w:r>
      <w:r w:rsidRPr="00C0228C">
        <w:t xml:space="preserve">(12), 4369-4383. </w:t>
      </w:r>
      <w:hyperlink r:id="rId10" w:history="1">
        <w:r w:rsidRPr="00D655EE">
          <w:rPr>
            <w:rStyle w:val="Hyperlink"/>
          </w:rPr>
          <w:t>https://nhess.copernicus.org/articles/24/4369/2024/nhess-24-4369-2024.html</w:t>
        </w:r>
      </w:hyperlink>
    </w:p>
    <w:p w14:paraId="220B51E6" w14:textId="77777777" w:rsidR="007E117F" w:rsidRPr="002B3252" w:rsidRDefault="007E117F" w:rsidP="007E117F">
      <w:pPr>
        <w:spacing w:before="120" w:after="120" w:line="360" w:lineRule="auto"/>
        <w:ind w:left="1170" w:hanging="1170"/>
        <w:jc w:val="both"/>
        <w:rPr>
          <w:lang w:val="de-DE"/>
        </w:rPr>
      </w:pPr>
      <w:r w:rsidRPr="00D10A58">
        <w:rPr>
          <w:lang w:val="en-US"/>
        </w:rPr>
        <w:t>Gullino, P., &amp; Larcher, F. (2013). Integrity in UNESCO World Heritage Sites. A comparative study for rural landscapes. </w:t>
      </w:r>
      <w:r w:rsidRPr="00D10A58">
        <w:rPr>
          <w:i/>
          <w:iCs/>
          <w:lang w:val="en-US"/>
        </w:rPr>
        <w:t>Journal of Cultural Heritage</w:t>
      </w:r>
      <w:r w:rsidRPr="00D10A58">
        <w:rPr>
          <w:lang w:val="en-US"/>
        </w:rPr>
        <w:t>, </w:t>
      </w:r>
      <w:r w:rsidRPr="00D10A58">
        <w:rPr>
          <w:i/>
          <w:iCs/>
          <w:lang w:val="en-US"/>
        </w:rPr>
        <w:t>14</w:t>
      </w:r>
      <w:r w:rsidRPr="00D10A58">
        <w:rPr>
          <w:lang w:val="en-US"/>
        </w:rPr>
        <w:t xml:space="preserve">(5), 389–395. </w:t>
      </w:r>
      <w:hyperlink r:id="rId11" w:history="1">
        <w:r w:rsidRPr="002B3252">
          <w:rPr>
            <w:rStyle w:val="Hyperlink"/>
            <w:lang w:val="de-DE"/>
          </w:rPr>
          <w:t>https://doi.org/10.1016/j.culher.2012.10.005</w:t>
        </w:r>
      </w:hyperlink>
    </w:p>
    <w:p w14:paraId="2751ADFC" w14:textId="77777777" w:rsidR="007E117F" w:rsidRDefault="007E117F" w:rsidP="007E117F">
      <w:pPr>
        <w:spacing w:before="120" w:after="120" w:line="360" w:lineRule="auto"/>
        <w:ind w:left="1170" w:hanging="1170"/>
        <w:jc w:val="both"/>
      </w:pPr>
      <w:r w:rsidRPr="008272D3">
        <w:rPr>
          <w:lang w:val="de-DE"/>
        </w:rPr>
        <w:t xml:space="preserve">Hassan, M. A. E., Zerva, K., &amp; Aulet, S. (2021). </w:t>
      </w:r>
      <w:r w:rsidRPr="008272D3">
        <w:t>Brand Personality Traits of World Heritage Sites: Text Mining Approach. </w:t>
      </w:r>
      <w:r w:rsidRPr="008272D3">
        <w:rPr>
          <w:i/>
          <w:iCs/>
        </w:rPr>
        <w:t>Sustainability</w:t>
      </w:r>
      <w:r w:rsidRPr="008272D3">
        <w:t>, </w:t>
      </w:r>
      <w:r w:rsidRPr="008272D3">
        <w:rPr>
          <w:i/>
          <w:iCs/>
        </w:rPr>
        <w:t>13</w:t>
      </w:r>
      <w:r w:rsidRPr="008272D3">
        <w:t xml:space="preserve">(11), 6142. </w:t>
      </w:r>
      <w:hyperlink r:id="rId12" w:history="1">
        <w:r w:rsidRPr="00D655EE">
          <w:rPr>
            <w:rStyle w:val="Hyperlink"/>
          </w:rPr>
          <w:t>https://doi.org/10.3390/su13116142</w:t>
        </w:r>
      </w:hyperlink>
    </w:p>
    <w:p w14:paraId="038C76B1" w14:textId="77777777" w:rsidR="007E117F" w:rsidRDefault="007E117F" w:rsidP="007E117F">
      <w:pPr>
        <w:spacing w:before="120" w:after="120" w:line="360" w:lineRule="auto"/>
        <w:ind w:left="1170" w:hanging="1170"/>
        <w:jc w:val="both"/>
      </w:pPr>
      <w:r w:rsidRPr="00D10A58">
        <w:t>Jang, H., &amp; Mennis, J. (2021). The Role of Local Communities and Well-Being in UNESCO World Heritage Site Conservation: An Analysis of the Operational Guidelines, 1994–2019. </w:t>
      </w:r>
      <w:r w:rsidRPr="00D10A58">
        <w:rPr>
          <w:i/>
          <w:iCs/>
        </w:rPr>
        <w:t>Sustainability</w:t>
      </w:r>
      <w:r w:rsidRPr="00D10A58">
        <w:t>, </w:t>
      </w:r>
      <w:r w:rsidRPr="00D10A58">
        <w:rPr>
          <w:i/>
          <w:iCs/>
        </w:rPr>
        <w:t>13</w:t>
      </w:r>
      <w:r w:rsidRPr="00D10A58">
        <w:t xml:space="preserve">(13), 7144. </w:t>
      </w:r>
      <w:hyperlink r:id="rId13" w:history="1">
        <w:r w:rsidRPr="00D655EE">
          <w:rPr>
            <w:rStyle w:val="Hyperlink"/>
          </w:rPr>
          <w:t>https://doi.org/10.3390/su13137144</w:t>
        </w:r>
      </w:hyperlink>
    </w:p>
    <w:p w14:paraId="3EB2051F" w14:textId="77777777" w:rsidR="007E117F" w:rsidRPr="00D10A58" w:rsidRDefault="007E117F" w:rsidP="007E117F">
      <w:pPr>
        <w:spacing w:before="120" w:after="120" w:line="360" w:lineRule="auto"/>
        <w:ind w:left="1260" w:hanging="1260"/>
        <w:jc w:val="both"/>
        <w:rPr>
          <w:lang w:val="en-US"/>
        </w:rPr>
      </w:pPr>
      <w:r w:rsidRPr="00D10A58">
        <w:rPr>
          <w:lang w:val="en-US"/>
        </w:rPr>
        <w:t>Khalaf, R. W. (2020). Authenticity or continuity in the implementation of the UNESCO World Heritage Convention? Scrutinizing statements of outstanding universal value, 1978–2019. Heritage, 3(2), 243-274.</w:t>
      </w:r>
      <w:r w:rsidRPr="00D10A58">
        <w:t xml:space="preserve"> </w:t>
      </w:r>
      <w:hyperlink r:id="rId14" w:history="1">
        <w:r w:rsidRPr="00D655EE">
          <w:rPr>
            <w:rStyle w:val="Hyperlink"/>
            <w:lang w:val="en-US"/>
          </w:rPr>
          <w:t>https://www.mdpi.com/2571-9408/3/2/15</w:t>
        </w:r>
      </w:hyperlink>
    </w:p>
    <w:p w14:paraId="4E7B3F2B" w14:textId="2803CCE0" w:rsidR="007E117F" w:rsidRDefault="007E117F" w:rsidP="007E117F">
      <w:pPr>
        <w:spacing w:before="120" w:after="120" w:line="360" w:lineRule="auto"/>
        <w:ind w:left="1260" w:hanging="1260"/>
        <w:jc w:val="both"/>
      </w:pPr>
      <w:r w:rsidRPr="00C0228C">
        <w:t>L</w:t>
      </w:r>
      <w:r>
        <w:t>a</w:t>
      </w:r>
      <w:r w:rsidRPr="00C0228C">
        <w:t>zaro Ortiz, S., &amp; Jiménez de Madariaga, C. (2021). The UNESCO convention for the safeguarding of the intangible cultural heritage: a critical analysis. </w:t>
      </w:r>
      <w:r w:rsidRPr="00C0228C">
        <w:rPr>
          <w:i/>
          <w:iCs/>
        </w:rPr>
        <w:t>International Journal of Cultural Policy</w:t>
      </w:r>
      <w:r w:rsidRPr="00C0228C">
        <w:t>, </w:t>
      </w:r>
      <w:r w:rsidRPr="00C0228C">
        <w:rPr>
          <w:i/>
          <w:iCs/>
        </w:rPr>
        <w:t>28</w:t>
      </w:r>
      <w:r w:rsidRPr="00C0228C">
        <w:t xml:space="preserve">(3), 1–15. </w:t>
      </w:r>
      <w:hyperlink r:id="rId15" w:history="1">
        <w:r w:rsidRPr="00D655EE">
          <w:rPr>
            <w:rStyle w:val="Hyperlink"/>
          </w:rPr>
          <w:t>https://doi.org/10.1080/10286632.2021.1941914</w:t>
        </w:r>
      </w:hyperlink>
    </w:p>
    <w:p w14:paraId="69332458" w14:textId="77777777" w:rsidR="007E117F" w:rsidRDefault="007E117F" w:rsidP="007E117F">
      <w:pPr>
        <w:spacing w:before="120" w:after="120" w:line="360" w:lineRule="auto"/>
        <w:ind w:left="1260" w:hanging="1260"/>
        <w:jc w:val="both"/>
      </w:pPr>
      <w:r w:rsidRPr="008C10FC">
        <w:t>Ubertazzi, B. (2020). Culture, sustainable development and UNESCO. </w:t>
      </w:r>
      <w:r w:rsidRPr="008C10FC">
        <w:rPr>
          <w:i/>
          <w:iCs/>
        </w:rPr>
        <w:t>Pravovedenie</w:t>
      </w:r>
      <w:r w:rsidRPr="008C10FC">
        <w:t xml:space="preserve">, 4. </w:t>
      </w:r>
      <w:hyperlink r:id="rId16" w:history="1">
        <w:r w:rsidRPr="00D655EE">
          <w:rPr>
            <w:rStyle w:val="Hyperlink"/>
          </w:rPr>
          <w:t>https://heinonline.org/hol-cgi-bin/get_pdf.cgi?handle=hein.journals/pravd2020&amp;section=5</w:t>
        </w:r>
      </w:hyperlink>
    </w:p>
    <w:p w14:paraId="6A0627FF" w14:textId="77777777" w:rsidR="007E117F" w:rsidRPr="002B3252" w:rsidRDefault="007E117F" w:rsidP="007E117F">
      <w:pPr>
        <w:spacing w:before="120" w:after="120" w:line="360" w:lineRule="auto"/>
        <w:ind w:left="1170" w:hanging="1170"/>
        <w:jc w:val="both"/>
        <w:rPr>
          <w:lang w:val="de-DE"/>
        </w:rPr>
      </w:pPr>
      <w:r>
        <w:rPr>
          <w:lang w:val="de-DE"/>
        </w:rPr>
        <w:t>V</w:t>
      </w:r>
      <w:r w:rsidRPr="008C10FC">
        <w:rPr>
          <w:lang w:val="de-DE"/>
        </w:rPr>
        <w:t xml:space="preserve">on Schorlemer, S., Maus, S., &amp; Schmermer, F. (Eds.). </w:t>
      </w:r>
      <w:r w:rsidRPr="008C10FC">
        <w:t>(2020). </w:t>
      </w:r>
      <w:r w:rsidRPr="008C10FC">
        <w:rPr>
          <w:i/>
          <w:iCs/>
        </w:rPr>
        <w:t>UNESCO World Heritage and the SDGs-Interdisciplinary Perspectives</w:t>
      </w:r>
      <w:r w:rsidRPr="008C10FC">
        <w:t xml:space="preserve">. </w:t>
      </w:r>
      <w:r w:rsidRPr="002B3252">
        <w:rPr>
          <w:lang w:val="de-DE"/>
        </w:rPr>
        <w:t xml:space="preserve">Technische Universität Dresden. </w:t>
      </w:r>
      <w:hyperlink r:id="rId17" w:history="1">
        <w:r w:rsidRPr="002B3252">
          <w:rPr>
            <w:rStyle w:val="Hyperlink"/>
            <w:lang w:val="de-DE"/>
          </w:rPr>
          <w:t>https://www.academia.edu/download/94767244/353950786.pdf</w:t>
        </w:r>
      </w:hyperlink>
    </w:p>
    <w:p w14:paraId="09394E49" w14:textId="77777777" w:rsidR="007E117F" w:rsidRPr="007E117F" w:rsidRDefault="007E117F" w:rsidP="007E117F">
      <w:pPr>
        <w:spacing w:before="120" w:after="120" w:line="360" w:lineRule="auto"/>
        <w:ind w:left="1170" w:hanging="1170"/>
        <w:jc w:val="both"/>
      </w:pPr>
      <w:r w:rsidRPr="002B3252">
        <w:rPr>
          <w:lang w:val="de-DE"/>
        </w:rPr>
        <w:lastRenderedPageBreak/>
        <w:t xml:space="preserve">Wagner, O., &amp; Lorente, A. (2025). </w:t>
      </w:r>
      <w:r w:rsidRPr="00C0228C">
        <w:t>Assessment of and Response to Climatic Impacts on Water Quality in Berlin. </w:t>
      </w:r>
      <w:r w:rsidRPr="00C0228C">
        <w:rPr>
          <w:i/>
          <w:iCs/>
        </w:rPr>
        <w:t>EGUsphere</w:t>
      </w:r>
      <w:r w:rsidRPr="00C0228C">
        <w:t>, </w:t>
      </w:r>
      <w:r w:rsidRPr="00C0228C">
        <w:rPr>
          <w:i/>
          <w:iCs/>
        </w:rPr>
        <w:t>2025</w:t>
      </w:r>
      <w:r w:rsidRPr="00C0228C">
        <w:t xml:space="preserve">, 1-12. </w:t>
      </w:r>
      <w:hyperlink r:id="rId18" w:history="1">
        <w:r w:rsidRPr="00D655EE">
          <w:rPr>
            <w:rStyle w:val="Hyperlink"/>
          </w:rPr>
          <w:t>https://egusphere.copernicus.org/preprints/2025/egusphere-2025-488/</w:t>
        </w:r>
      </w:hyperlink>
    </w:p>
    <w:p w14:paraId="767D0887" w14:textId="77777777" w:rsidR="007E117F" w:rsidRDefault="007E117F" w:rsidP="007E117F">
      <w:pPr>
        <w:spacing w:before="120" w:after="120" w:line="360" w:lineRule="auto"/>
        <w:ind w:left="990" w:hanging="990"/>
        <w:jc w:val="both"/>
      </w:pPr>
      <w:r w:rsidRPr="008272D3">
        <w:t>Wolfschmidt, G. (2021). Cultural heritage of observatories in context with the IAU–UNESCO initiative: Highlights in the development of architecture. In </w:t>
      </w:r>
      <w:r w:rsidRPr="008272D3">
        <w:rPr>
          <w:i/>
          <w:iCs/>
        </w:rPr>
        <w:t>Advancing cultural astronomy: Studies in Honour of Clive Ruggles</w:t>
      </w:r>
      <w:r w:rsidRPr="008272D3">
        <w:t xml:space="preserve"> (pp. 291-314). Cham: Springer International Publishing. </w:t>
      </w:r>
      <w:hyperlink r:id="rId19" w:history="1">
        <w:r w:rsidRPr="00D655EE">
          <w:rPr>
            <w:rStyle w:val="Hyperlink"/>
          </w:rPr>
          <w:t>https://link.springer.com/chapter/10.1007/978-3-030-64606-6_15</w:t>
        </w:r>
      </w:hyperlink>
    </w:p>
    <w:sectPr w:rsidR="007E117F">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CBC13" w14:textId="77777777" w:rsidR="003F33FF" w:rsidRDefault="003F33FF" w:rsidP="00302662">
      <w:r>
        <w:separator/>
      </w:r>
    </w:p>
  </w:endnote>
  <w:endnote w:type="continuationSeparator" w:id="0">
    <w:p w14:paraId="6FD2A554" w14:textId="77777777" w:rsidR="003F33FF" w:rsidRDefault="003F33FF" w:rsidP="003026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401345275"/>
      <w:docPartObj>
        <w:docPartGallery w:val="Page Numbers (Bottom of Page)"/>
        <w:docPartUnique/>
      </w:docPartObj>
    </w:sdtPr>
    <w:sdtEndPr>
      <w:rPr>
        <w:noProof/>
      </w:rPr>
    </w:sdtEndPr>
    <w:sdtContent>
      <w:p w14:paraId="77F4E682" w14:textId="4B580CF8" w:rsidR="002249FF" w:rsidRDefault="002249FF">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7CEFE1CD" w14:textId="77777777" w:rsidR="002249FF" w:rsidRDefault="00224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3FD4D" w14:textId="77777777" w:rsidR="003F33FF" w:rsidRDefault="003F33FF" w:rsidP="00302662">
      <w:r>
        <w:separator/>
      </w:r>
    </w:p>
  </w:footnote>
  <w:footnote w:type="continuationSeparator" w:id="0">
    <w:p w14:paraId="189012B8" w14:textId="77777777" w:rsidR="003F33FF" w:rsidRDefault="003F33FF" w:rsidP="003026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03DFC"/>
    <w:multiLevelType w:val="multilevel"/>
    <w:tmpl w:val="39DAB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B5EBF"/>
    <w:multiLevelType w:val="multilevel"/>
    <w:tmpl w:val="016A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DC35D3"/>
    <w:multiLevelType w:val="multilevel"/>
    <w:tmpl w:val="1F86D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0439961">
    <w:abstractNumId w:val="1"/>
  </w:num>
  <w:num w:numId="2" w16cid:durableId="809056615">
    <w:abstractNumId w:val="2"/>
  </w:num>
  <w:num w:numId="3" w16cid:durableId="8232815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72D3"/>
    <w:rsid w:val="000050B8"/>
    <w:rsid w:val="00024099"/>
    <w:rsid w:val="00050F78"/>
    <w:rsid w:val="00071C08"/>
    <w:rsid w:val="00093A1E"/>
    <w:rsid w:val="000B3E30"/>
    <w:rsid w:val="000C12FE"/>
    <w:rsid w:val="000C5BAB"/>
    <w:rsid w:val="000E3A18"/>
    <w:rsid w:val="000E4379"/>
    <w:rsid w:val="001339D5"/>
    <w:rsid w:val="00136872"/>
    <w:rsid w:val="00154EA0"/>
    <w:rsid w:val="00166E88"/>
    <w:rsid w:val="00185057"/>
    <w:rsid w:val="001A5C4C"/>
    <w:rsid w:val="001D2D93"/>
    <w:rsid w:val="001F09B0"/>
    <w:rsid w:val="002005B6"/>
    <w:rsid w:val="00204BBF"/>
    <w:rsid w:val="00207BB0"/>
    <w:rsid w:val="00214DE5"/>
    <w:rsid w:val="002249FF"/>
    <w:rsid w:val="00230024"/>
    <w:rsid w:val="00232DB8"/>
    <w:rsid w:val="00241481"/>
    <w:rsid w:val="002504D0"/>
    <w:rsid w:val="002718FB"/>
    <w:rsid w:val="0027269A"/>
    <w:rsid w:val="0027437A"/>
    <w:rsid w:val="00277BA2"/>
    <w:rsid w:val="002A31E8"/>
    <w:rsid w:val="002A548A"/>
    <w:rsid w:val="002B3252"/>
    <w:rsid w:val="002C216A"/>
    <w:rsid w:val="002D2D76"/>
    <w:rsid w:val="002E33B8"/>
    <w:rsid w:val="002F1D73"/>
    <w:rsid w:val="00302662"/>
    <w:rsid w:val="00306173"/>
    <w:rsid w:val="003143B3"/>
    <w:rsid w:val="0032446A"/>
    <w:rsid w:val="00335AD6"/>
    <w:rsid w:val="0034301A"/>
    <w:rsid w:val="00352D06"/>
    <w:rsid w:val="00360C98"/>
    <w:rsid w:val="00371BDD"/>
    <w:rsid w:val="00371DA8"/>
    <w:rsid w:val="003977B7"/>
    <w:rsid w:val="003A60A8"/>
    <w:rsid w:val="003B026D"/>
    <w:rsid w:val="003E3A19"/>
    <w:rsid w:val="003E5C36"/>
    <w:rsid w:val="003F33FF"/>
    <w:rsid w:val="0040385D"/>
    <w:rsid w:val="00404AB1"/>
    <w:rsid w:val="00411614"/>
    <w:rsid w:val="004222D0"/>
    <w:rsid w:val="004401AB"/>
    <w:rsid w:val="004918D2"/>
    <w:rsid w:val="0049260E"/>
    <w:rsid w:val="004C0BD3"/>
    <w:rsid w:val="004F2334"/>
    <w:rsid w:val="004F5B87"/>
    <w:rsid w:val="005116B1"/>
    <w:rsid w:val="00511B37"/>
    <w:rsid w:val="00543DDF"/>
    <w:rsid w:val="00551649"/>
    <w:rsid w:val="00563C00"/>
    <w:rsid w:val="00575694"/>
    <w:rsid w:val="0059206F"/>
    <w:rsid w:val="005B6BB8"/>
    <w:rsid w:val="005C5A8E"/>
    <w:rsid w:val="005D3311"/>
    <w:rsid w:val="005F3A1E"/>
    <w:rsid w:val="00631197"/>
    <w:rsid w:val="006358E8"/>
    <w:rsid w:val="006411BC"/>
    <w:rsid w:val="00650CBD"/>
    <w:rsid w:val="00657C15"/>
    <w:rsid w:val="00667A0E"/>
    <w:rsid w:val="0068494E"/>
    <w:rsid w:val="006B00A9"/>
    <w:rsid w:val="00703E0D"/>
    <w:rsid w:val="0072533D"/>
    <w:rsid w:val="007314B6"/>
    <w:rsid w:val="00735113"/>
    <w:rsid w:val="0074438C"/>
    <w:rsid w:val="00761D98"/>
    <w:rsid w:val="00787162"/>
    <w:rsid w:val="00796670"/>
    <w:rsid w:val="00797E42"/>
    <w:rsid w:val="007A1B0B"/>
    <w:rsid w:val="007B68F3"/>
    <w:rsid w:val="007C2F9B"/>
    <w:rsid w:val="007D2A68"/>
    <w:rsid w:val="007E117F"/>
    <w:rsid w:val="007E1271"/>
    <w:rsid w:val="007F589A"/>
    <w:rsid w:val="007F639B"/>
    <w:rsid w:val="00812AFB"/>
    <w:rsid w:val="008272D3"/>
    <w:rsid w:val="00851B5D"/>
    <w:rsid w:val="00870CB7"/>
    <w:rsid w:val="00870F98"/>
    <w:rsid w:val="00874981"/>
    <w:rsid w:val="008A4A16"/>
    <w:rsid w:val="008C10FC"/>
    <w:rsid w:val="009040E1"/>
    <w:rsid w:val="00906A78"/>
    <w:rsid w:val="00936197"/>
    <w:rsid w:val="00942143"/>
    <w:rsid w:val="009448C4"/>
    <w:rsid w:val="009525BF"/>
    <w:rsid w:val="00956A60"/>
    <w:rsid w:val="009918B8"/>
    <w:rsid w:val="009955A0"/>
    <w:rsid w:val="009B4DE2"/>
    <w:rsid w:val="009C0588"/>
    <w:rsid w:val="009C467D"/>
    <w:rsid w:val="009E140A"/>
    <w:rsid w:val="00A13C1A"/>
    <w:rsid w:val="00A34B55"/>
    <w:rsid w:val="00A5251D"/>
    <w:rsid w:val="00A819DD"/>
    <w:rsid w:val="00AB39CC"/>
    <w:rsid w:val="00B00ED0"/>
    <w:rsid w:val="00B04D09"/>
    <w:rsid w:val="00B159CD"/>
    <w:rsid w:val="00B1750D"/>
    <w:rsid w:val="00B44D80"/>
    <w:rsid w:val="00B91ACC"/>
    <w:rsid w:val="00B92E86"/>
    <w:rsid w:val="00B95CF5"/>
    <w:rsid w:val="00BC3CF9"/>
    <w:rsid w:val="00BC7856"/>
    <w:rsid w:val="00BE546E"/>
    <w:rsid w:val="00BE7B60"/>
    <w:rsid w:val="00C0228C"/>
    <w:rsid w:val="00C145EC"/>
    <w:rsid w:val="00C201C0"/>
    <w:rsid w:val="00C3776E"/>
    <w:rsid w:val="00C558D3"/>
    <w:rsid w:val="00C9475D"/>
    <w:rsid w:val="00CB48F8"/>
    <w:rsid w:val="00CB56C4"/>
    <w:rsid w:val="00CC0258"/>
    <w:rsid w:val="00CE5CBF"/>
    <w:rsid w:val="00CE68F1"/>
    <w:rsid w:val="00CE6A28"/>
    <w:rsid w:val="00CF54CB"/>
    <w:rsid w:val="00CF6859"/>
    <w:rsid w:val="00D10A58"/>
    <w:rsid w:val="00D1262A"/>
    <w:rsid w:val="00D33AD0"/>
    <w:rsid w:val="00D373AD"/>
    <w:rsid w:val="00D37561"/>
    <w:rsid w:val="00D43CFA"/>
    <w:rsid w:val="00D47A96"/>
    <w:rsid w:val="00D60C6C"/>
    <w:rsid w:val="00D73F1C"/>
    <w:rsid w:val="00D8269C"/>
    <w:rsid w:val="00DB71FB"/>
    <w:rsid w:val="00DD6ACE"/>
    <w:rsid w:val="00E02C2F"/>
    <w:rsid w:val="00E14DAD"/>
    <w:rsid w:val="00E4242B"/>
    <w:rsid w:val="00E744A7"/>
    <w:rsid w:val="00F053E5"/>
    <w:rsid w:val="00F15567"/>
    <w:rsid w:val="00F15F29"/>
    <w:rsid w:val="00F164EE"/>
    <w:rsid w:val="00F33358"/>
    <w:rsid w:val="00F76381"/>
    <w:rsid w:val="00FD1F3D"/>
    <w:rsid w:val="00FD6D28"/>
    <w:rsid w:val="00FE0394"/>
    <w:rsid w:val="00FF0C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4F9F9"/>
  <w15:chartTrackingRefBased/>
  <w15:docId w15:val="{BB5EF29E-0635-4BEA-95D7-EFE4A130E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72D3"/>
    <w:pPr>
      <w:spacing w:after="0" w:line="240" w:lineRule="auto"/>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B95CF5"/>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95CF5"/>
    <w:pPr>
      <w:keepNext/>
      <w:keepLines/>
      <w:spacing w:before="4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27269A"/>
    <w:pPr>
      <w:keepNext/>
      <w:keepLines/>
      <w:spacing w:before="40"/>
      <w:outlineLvl w:val="2"/>
    </w:pPr>
    <w:rPr>
      <w:rFonts w:eastAsiaTheme="majorEastAsia" w:cstheme="majorBidi"/>
    </w:rPr>
  </w:style>
  <w:style w:type="paragraph" w:styleId="Heading4">
    <w:name w:val="heading 4"/>
    <w:basedOn w:val="Normal"/>
    <w:next w:val="Normal"/>
    <w:link w:val="Heading4Char"/>
    <w:uiPriority w:val="9"/>
    <w:semiHidden/>
    <w:unhideWhenUsed/>
    <w:qFormat/>
    <w:rsid w:val="008272D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272D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272D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272D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272D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272D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CF5"/>
    <w:rPr>
      <w:rFonts w:ascii="Times New Roman" w:eastAsiaTheme="majorEastAsia" w:hAnsi="Times New Roman" w:cstheme="majorBidi"/>
      <w:b/>
      <w:noProof/>
      <w:sz w:val="28"/>
      <w:szCs w:val="32"/>
      <w:lang w:val="en-GB"/>
    </w:rPr>
  </w:style>
  <w:style w:type="character" w:customStyle="1" w:styleId="Heading2Char">
    <w:name w:val="Heading 2 Char"/>
    <w:basedOn w:val="DefaultParagraphFont"/>
    <w:link w:val="Heading2"/>
    <w:uiPriority w:val="9"/>
    <w:rsid w:val="00B95CF5"/>
    <w:rPr>
      <w:rFonts w:ascii="Times New Roman" w:eastAsiaTheme="majorEastAsia" w:hAnsi="Times New Roman" w:cstheme="majorBidi"/>
      <w:b/>
      <w:noProof/>
      <w:color w:val="000000" w:themeColor="text1"/>
      <w:sz w:val="24"/>
      <w:szCs w:val="26"/>
      <w:lang w:val="en-GB"/>
    </w:rPr>
  </w:style>
  <w:style w:type="character" w:customStyle="1" w:styleId="Heading3Char">
    <w:name w:val="Heading 3 Char"/>
    <w:basedOn w:val="DefaultParagraphFont"/>
    <w:link w:val="Heading3"/>
    <w:uiPriority w:val="9"/>
    <w:rsid w:val="0027269A"/>
    <w:rPr>
      <w:rFonts w:ascii="Times New Roman" w:eastAsiaTheme="majorEastAsia" w:hAnsi="Times New Roman" w:cstheme="majorBidi"/>
      <w:b/>
      <w:noProof/>
      <w:sz w:val="24"/>
      <w:szCs w:val="24"/>
      <w:lang w:val="en-GB"/>
    </w:rPr>
  </w:style>
  <w:style w:type="character" w:customStyle="1" w:styleId="Heading4Char">
    <w:name w:val="Heading 4 Char"/>
    <w:basedOn w:val="DefaultParagraphFont"/>
    <w:link w:val="Heading4"/>
    <w:uiPriority w:val="9"/>
    <w:semiHidden/>
    <w:rsid w:val="008272D3"/>
    <w:rPr>
      <w:rFonts w:eastAsiaTheme="majorEastAsia" w:cstheme="majorBidi"/>
      <w:b/>
      <w:i/>
      <w:iCs/>
      <w:noProof/>
      <w:color w:val="2F5496" w:themeColor="accent1" w:themeShade="BF"/>
      <w:sz w:val="24"/>
      <w:szCs w:val="24"/>
      <w:lang w:val="en-GB"/>
    </w:rPr>
  </w:style>
  <w:style w:type="character" w:customStyle="1" w:styleId="Heading5Char">
    <w:name w:val="Heading 5 Char"/>
    <w:basedOn w:val="DefaultParagraphFont"/>
    <w:link w:val="Heading5"/>
    <w:uiPriority w:val="9"/>
    <w:semiHidden/>
    <w:rsid w:val="008272D3"/>
    <w:rPr>
      <w:rFonts w:eastAsiaTheme="majorEastAsia" w:cstheme="majorBidi"/>
      <w:b/>
      <w:noProof/>
      <w:color w:val="2F5496" w:themeColor="accent1" w:themeShade="BF"/>
      <w:sz w:val="24"/>
      <w:szCs w:val="24"/>
      <w:lang w:val="en-GB"/>
    </w:rPr>
  </w:style>
  <w:style w:type="character" w:customStyle="1" w:styleId="Heading6Char">
    <w:name w:val="Heading 6 Char"/>
    <w:basedOn w:val="DefaultParagraphFont"/>
    <w:link w:val="Heading6"/>
    <w:uiPriority w:val="9"/>
    <w:semiHidden/>
    <w:rsid w:val="008272D3"/>
    <w:rPr>
      <w:rFonts w:eastAsiaTheme="majorEastAsia" w:cstheme="majorBidi"/>
      <w:b/>
      <w:i/>
      <w:iCs/>
      <w:noProof/>
      <w:color w:val="595959" w:themeColor="text1" w:themeTint="A6"/>
      <w:sz w:val="24"/>
      <w:szCs w:val="24"/>
      <w:lang w:val="en-GB"/>
    </w:rPr>
  </w:style>
  <w:style w:type="character" w:customStyle="1" w:styleId="Heading7Char">
    <w:name w:val="Heading 7 Char"/>
    <w:basedOn w:val="DefaultParagraphFont"/>
    <w:link w:val="Heading7"/>
    <w:uiPriority w:val="9"/>
    <w:semiHidden/>
    <w:rsid w:val="008272D3"/>
    <w:rPr>
      <w:rFonts w:eastAsiaTheme="majorEastAsia" w:cstheme="majorBidi"/>
      <w:b/>
      <w:noProof/>
      <w:color w:val="595959" w:themeColor="text1" w:themeTint="A6"/>
      <w:sz w:val="24"/>
      <w:szCs w:val="24"/>
      <w:lang w:val="en-GB"/>
    </w:rPr>
  </w:style>
  <w:style w:type="character" w:customStyle="1" w:styleId="Heading8Char">
    <w:name w:val="Heading 8 Char"/>
    <w:basedOn w:val="DefaultParagraphFont"/>
    <w:link w:val="Heading8"/>
    <w:uiPriority w:val="9"/>
    <w:semiHidden/>
    <w:rsid w:val="008272D3"/>
    <w:rPr>
      <w:rFonts w:eastAsiaTheme="majorEastAsia" w:cstheme="majorBidi"/>
      <w:b/>
      <w:i/>
      <w:iCs/>
      <w:noProof/>
      <w:color w:val="272727" w:themeColor="text1" w:themeTint="D8"/>
      <w:sz w:val="24"/>
      <w:szCs w:val="24"/>
      <w:lang w:val="en-GB"/>
    </w:rPr>
  </w:style>
  <w:style w:type="character" w:customStyle="1" w:styleId="Heading9Char">
    <w:name w:val="Heading 9 Char"/>
    <w:basedOn w:val="DefaultParagraphFont"/>
    <w:link w:val="Heading9"/>
    <w:uiPriority w:val="9"/>
    <w:semiHidden/>
    <w:rsid w:val="008272D3"/>
    <w:rPr>
      <w:rFonts w:eastAsiaTheme="majorEastAsia" w:cstheme="majorBidi"/>
      <w:b/>
      <w:noProof/>
      <w:color w:val="272727" w:themeColor="text1" w:themeTint="D8"/>
      <w:sz w:val="24"/>
      <w:szCs w:val="24"/>
      <w:lang w:val="en-GB"/>
    </w:rPr>
  </w:style>
  <w:style w:type="paragraph" w:styleId="Title">
    <w:name w:val="Title"/>
    <w:basedOn w:val="Normal"/>
    <w:next w:val="Normal"/>
    <w:link w:val="TitleChar"/>
    <w:uiPriority w:val="10"/>
    <w:qFormat/>
    <w:rsid w:val="008272D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72D3"/>
    <w:rPr>
      <w:rFonts w:asciiTheme="majorHAnsi" w:eastAsiaTheme="majorEastAsia" w:hAnsiTheme="majorHAnsi" w:cstheme="majorBidi"/>
      <w:b/>
      <w:noProof/>
      <w:spacing w:val="-10"/>
      <w:kern w:val="28"/>
      <w:sz w:val="56"/>
      <w:szCs w:val="56"/>
      <w:lang w:val="en-GB"/>
    </w:rPr>
  </w:style>
  <w:style w:type="paragraph" w:styleId="Subtitle">
    <w:name w:val="Subtitle"/>
    <w:basedOn w:val="Normal"/>
    <w:next w:val="Normal"/>
    <w:link w:val="SubtitleChar"/>
    <w:uiPriority w:val="11"/>
    <w:qFormat/>
    <w:rsid w:val="008272D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72D3"/>
    <w:rPr>
      <w:rFonts w:eastAsiaTheme="majorEastAsia" w:cstheme="majorBidi"/>
      <w:b/>
      <w:noProof/>
      <w:color w:val="595959" w:themeColor="text1" w:themeTint="A6"/>
      <w:spacing w:val="15"/>
      <w:sz w:val="28"/>
      <w:szCs w:val="28"/>
      <w:lang w:val="en-GB"/>
    </w:rPr>
  </w:style>
  <w:style w:type="paragraph" w:styleId="Quote">
    <w:name w:val="Quote"/>
    <w:basedOn w:val="Normal"/>
    <w:next w:val="Normal"/>
    <w:link w:val="QuoteChar"/>
    <w:uiPriority w:val="29"/>
    <w:qFormat/>
    <w:rsid w:val="008272D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72D3"/>
    <w:rPr>
      <w:rFonts w:ascii="Times New Roman" w:eastAsiaTheme="minorEastAsia" w:hAnsi="Times New Roman"/>
      <w:b/>
      <w:i/>
      <w:iCs/>
      <w:noProof/>
      <w:color w:val="404040" w:themeColor="text1" w:themeTint="BF"/>
      <w:sz w:val="24"/>
      <w:szCs w:val="24"/>
      <w:lang w:val="en-GB"/>
    </w:rPr>
  </w:style>
  <w:style w:type="paragraph" w:styleId="ListParagraph">
    <w:name w:val="List Paragraph"/>
    <w:basedOn w:val="Normal"/>
    <w:uiPriority w:val="34"/>
    <w:qFormat/>
    <w:rsid w:val="008272D3"/>
    <w:pPr>
      <w:ind w:left="720"/>
      <w:contextualSpacing/>
    </w:pPr>
  </w:style>
  <w:style w:type="character" w:styleId="IntenseEmphasis">
    <w:name w:val="Intense Emphasis"/>
    <w:basedOn w:val="DefaultParagraphFont"/>
    <w:uiPriority w:val="21"/>
    <w:qFormat/>
    <w:rsid w:val="008272D3"/>
    <w:rPr>
      <w:i/>
      <w:iCs/>
      <w:color w:val="2F5496" w:themeColor="accent1" w:themeShade="BF"/>
    </w:rPr>
  </w:style>
  <w:style w:type="paragraph" w:styleId="IntenseQuote">
    <w:name w:val="Intense Quote"/>
    <w:basedOn w:val="Normal"/>
    <w:next w:val="Normal"/>
    <w:link w:val="IntenseQuoteChar"/>
    <w:uiPriority w:val="30"/>
    <w:qFormat/>
    <w:rsid w:val="008272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272D3"/>
    <w:rPr>
      <w:rFonts w:ascii="Times New Roman" w:eastAsiaTheme="minorEastAsia" w:hAnsi="Times New Roman"/>
      <w:b/>
      <w:i/>
      <w:iCs/>
      <w:noProof/>
      <w:color w:val="2F5496" w:themeColor="accent1" w:themeShade="BF"/>
      <w:sz w:val="24"/>
      <w:szCs w:val="24"/>
      <w:lang w:val="en-GB"/>
    </w:rPr>
  </w:style>
  <w:style w:type="character" w:styleId="IntenseReference">
    <w:name w:val="Intense Reference"/>
    <w:basedOn w:val="DefaultParagraphFont"/>
    <w:uiPriority w:val="32"/>
    <w:qFormat/>
    <w:rsid w:val="008272D3"/>
    <w:rPr>
      <w:b/>
      <w:bCs/>
      <w:smallCaps/>
      <w:color w:val="2F5496" w:themeColor="accent1" w:themeShade="BF"/>
      <w:spacing w:val="5"/>
    </w:rPr>
  </w:style>
  <w:style w:type="character" w:styleId="Hyperlink">
    <w:name w:val="Hyperlink"/>
    <w:basedOn w:val="DefaultParagraphFont"/>
    <w:uiPriority w:val="99"/>
    <w:unhideWhenUsed/>
    <w:rsid w:val="008272D3"/>
    <w:rPr>
      <w:color w:val="0563C1" w:themeColor="hyperlink"/>
      <w:u w:val="single"/>
    </w:rPr>
  </w:style>
  <w:style w:type="character" w:styleId="UnresolvedMention">
    <w:name w:val="Unresolved Mention"/>
    <w:basedOn w:val="DefaultParagraphFont"/>
    <w:uiPriority w:val="99"/>
    <w:semiHidden/>
    <w:unhideWhenUsed/>
    <w:rsid w:val="008272D3"/>
    <w:rPr>
      <w:color w:val="605E5C"/>
      <w:shd w:val="clear" w:color="auto" w:fill="E1DFDD"/>
    </w:rPr>
  </w:style>
  <w:style w:type="paragraph" w:styleId="Caption">
    <w:name w:val="caption"/>
    <w:basedOn w:val="Normal"/>
    <w:next w:val="Normal"/>
    <w:uiPriority w:val="35"/>
    <w:unhideWhenUsed/>
    <w:qFormat/>
    <w:rsid w:val="008C10FC"/>
    <w:pPr>
      <w:spacing w:after="200"/>
    </w:pPr>
    <w:rPr>
      <w:i/>
      <w:iCs/>
      <w:color w:val="44546A" w:themeColor="text2"/>
      <w:sz w:val="18"/>
      <w:szCs w:val="18"/>
    </w:rPr>
  </w:style>
  <w:style w:type="table" w:styleId="TableGrid">
    <w:name w:val="Table Grid"/>
    <w:basedOn w:val="TableNormal"/>
    <w:uiPriority w:val="39"/>
    <w:rsid w:val="005F3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662"/>
    <w:pPr>
      <w:tabs>
        <w:tab w:val="center" w:pos="4680"/>
        <w:tab w:val="right" w:pos="9360"/>
      </w:tabs>
    </w:pPr>
  </w:style>
  <w:style w:type="character" w:customStyle="1" w:styleId="HeaderChar">
    <w:name w:val="Header Char"/>
    <w:basedOn w:val="DefaultParagraphFont"/>
    <w:link w:val="Header"/>
    <w:uiPriority w:val="99"/>
    <w:rsid w:val="00302662"/>
    <w:rPr>
      <w:rFonts w:ascii="Times New Roman" w:eastAsiaTheme="minorEastAsia" w:hAnsi="Times New Roman"/>
      <w:noProof/>
      <w:sz w:val="24"/>
      <w:szCs w:val="24"/>
      <w:lang w:val="en-GB"/>
    </w:rPr>
  </w:style>
  <w:style w:type="paragraph" w:styleId="Footer">
    <w:name w:val="footer"/>
    <w:basedOn w:val="Normal"/>
    <w:link w:val="FooterChar"/>
    <w:uiPriority w:val="99"/>
    <w:unhideWhenUsed/>
    <w:rsid w:val="00302662"/>
    <w:pPr>
      <w:tabs>
        <w:tab w:val="center" w:pos="4680"/>
        <w:tab w:val="right" w:pos="9360"/>
      </w:tabs>
    </w:pPr>
  </w:style>
  <w:style w:type="character" w:customStyle="1" w:styleId="FooterChar">
    <w:name w:val="Footer Char"/>
    <w:basedOn w:val="DefaultParagraphFont"/>
    <w:link w:val="Footer"/>
    <w:uiPriority w:val="99"/>
    <w:rsid w:val="00302662"/>
    <w:rPr>
      <w:rFonts w:ascii="Times New Roman" w:eastAsiaTheme="minorEastAsia" w:hAnsi="Times New Roman"/>
      <w:noProof/>
      <w:sz w:val="24"/>
      <w:szCs w:val="24"/>
      <w:lang w:val="en-GB"/>
    </w:rPr>
  </w:style>
  <w:style w:type="paragraph" w:styleId="TOCHeading">
    <w:name w:val="TOC Heading"/>
    <w:basedOn w:val="Heading1"/>
    <w:next w:val="Normal"/>
    <w:uiPriority w:val="39"/>
    <w:unhideWhenUsed/>
    <w:qFormat/>
    <w:rsid w:val="002249FF"/>
    <w:pPr>
      <w:spacing w:line="259" w:lineRule="auto"/>
      <w:outlineLvl w:val="9"/>
    </w:pPr>
    <w:rPr>
      <w:rFonts w:asciiTheme="majorHAnsi" w:hAnsiTheme="majorHAnsi"/>
      <w:b w:val="0"/>
      <w:noProof w:val="0"/>
      <w:color w:val="2F5496" w:themeColor="accent1" w:themeShade="BF"/>
      <w:sz w:val="32"/>
      <w:lang w:val="en-US"/>
    </w:rPr>
  </w:style>
  <w:style w:type="paragraph" w:styleId="TOC1">
    <w:name w:val="toc 1"/>
    <w:basedOn w:val="Normal"/>
    <w:next w:val="Normal"/>
    <w:autoRedefine/>
    <w:uiPriority w:val="39"/>
    <w:unhideWhenUsed/>
    <w:rsid w:val="002249FF"/>
    <w:pPr>
      <w:spacing w:after="100"/>
    </w:pPr>
  </w:style>
  <w:style w:type="paragraph" w:styleId="TOC2">
    <w:name w:val="toc 2"/>
    <w:basedOn w:val="Normal"/>
    <w:next w:val="Normal"/>
    <w:autoRedefine/>
    <w:uiPriority w:val="39"/>
    <w:unhideWhenUsed/>
    <w:rsid w:val="002249F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3137144" TargetMode="External"/><Relationship Id="rId18" Type="http://schemas.openxmlformats.org/officeDocument/2006/relationships/hyperlink" Target="https://egusphere.copernicus.org/preprints/2025/egusphere-2025-48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oi.org/10.3390/su13116142" TargetMode="External"/><Relationship Id="rId17" Type="http://schemas.openxmlformats.org/officeDocument/2006/relationships/hyperlink" Target="https://www.academia.edu/download/94767244/353950786.pdf" TargetMode="External"/><Relationship Id="rId2" Type="http://schemas.openxmlformats.org/officeDocument/2006/relationships/numbering" Target="numbering.xml"/><Relationship Id="rId16" Type="http://schemas.openxmlformats.org/officeDocument/2006/relationships/hyperlink" Target="https://heinonline.org/hol-cgi-bin/get_pdf.cgi?handle=hein.journals/pravd2020&amp;section=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ulher.2012.10.005" TargetMode="External"/><Relationship Id="rId5" Type="http://schemas.openxmlformats.org/officeDocument/2006/relationships/webSettings" Target="webSettings.xml"/><Relationship Id="rId15" Type="http://schemas.openxmlformats.org/officeDocument/2006/relationships/hyperlink" Target="https://doi.org/10.1080/10286632.2021.1941914" TargetMode="External"/><Relationship Id="rId10" Type="http://schemas.openxmlformats.org/officeDocument/2006/relationships/hyperlink" Target="https://nhess.copernicus.org/articles/24/4369/2024/nhess-24-4369-2024.html" TargetMode="External"/><Relationship Id="rId19" Type="http://schemas.openxmlformats.org/officeDocument/2006/relationships/hyperlink" Target="https://link.springer.com/chapter/10.1007/978-3-030-64606-6_1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dpi.com/2571-9408/3/2/1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168629-E69B-483B-B129-BBF4D42E1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2059</Words>
  <Characters>12727</Characters>
  <Application>Microsoft Office Word</Application>
  <DocSecurity>0</DocSecurity>
  <Lines>259</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Iqbal Ahsan</dc:creator>
  <cp:keywords/>
  <dc:description/>
  <cp:lastModifiedBy>Iqbal Ahsan</cp:lastModifiedBy>
  <cp:revision>2</cp:revision>
  <dcterms:created xsi:type="dcterms:W3CDTF">2025-11-11T15:51:00Z</dcterms:created>
  <dcterms:modified xsi:type="dcterms:W3CDTF">2025-11-11T15:51:00Z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2025-11-11T12:01:43Z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c524ef7d-8f13-4eba-9b01-2b4937d6d49a</vt:lpwstr>
  </property>
  <property fmtid="{D5CDD505-2E9C-101B-9397-08002B2CF9AE}" pid="7" name="MSIP_Label_defa4170-0d19-0005-0004-bc88714345d2_ActionId">
    <vt:lpwstr>03a0368f-c8bd-471f-b0e6-15f13324c378</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