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638E6" w14:textId="77777777"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1D945" w14:textId="77777777"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14:paraId="6DB926DF" w14:textId="77777777"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</w:t>
      </w:r>
      <w:r w:rsidR="00232559">
        <w:rPr>
          <w:lang w:val="en-US"/>
        </w:rPr>
        <w:t>1</w:t>
      </w:r>
      <w:r w:rsidR="007079EF">
        <w:rPr>
          <w:lang w:val="en-US"/>
        </w:rPr>
        <w:t>1</w:t>
      </w:r>
    </w:p>
    <w:p w14:paraId="73152E1F" w14:textId="77777777" w:rsidR="00672345" w:rsidRPr="0019504D" w:rsidRDefault="007079EF" w:rsidP="00672345">
      <w:pPr>
        <w:rPr>
          <w:lang w:val="en-US"/>
        </w:rPr>
      </w:pPr>
      <w:r>
        <w:rPr>
          <w:lang w:val="en-US"/>
        </w:rPr>
        <w:t>24</w:t>
      </w:r>
      <w:r w:rsidR="00672345">
        <w:rPr>
          <w:lang w:val="en-US"/>
        </w:rPr>
        <w:t>.0</w:t>
      </w:r>
      <w:r w:rsidR="00705037">
        <w:rPr>
          <w:lang w:val="en-US"/>
        </w:rPr>
        <w:t>6</w:t>
      </w:r>
      <w:r w:rsidR="00672345">
        <w:rPr>
          <w:lang w:val="en-US"/>
        </w:rPr>
        <w:t>.2026</w:t>
      </w:r>
    </w:p>
    <w:p w14:paraId="0E9757DF" w14:textId="77777777" w:rsidR="00672345" w:rsidRDefault="00672345"/>
    <w:p w14:paraId="5F12BC2F" w14:textId="77777777" w:rsidR="00672345" w:rsidRDefault="00672345"/>
    <w:p w14:paraId="6CCA3D6D" w14:textId="77777777" w:rsidR="00672345" w:rsidRDefault="00672345"/>
    <w:p w14:paraId="25A35D16" w14:textId="77777777" w:rsidR="00672345" w:rsidRDefault="00672345"/>
    <w:p w14:paraId="0736CA6B" w14:textId="77777777" w:rsidR="00672345" w:rsidRDefault="00672345"/>
    <w:p w14:paraId="5C0031E7" w14:textId="77777777" w:rsidR="00672345" w:rsidRDefault="00672345"/>
    <w:p w14:paraId="0E874C41" w14:textId="77777777" w:rsidR="00672345" w:rsidRDefault="00672345"/>
    <w:p w14:paraId="77850B36" w14:textId="77777777" w:rsidR="00672345" w:rsidRDefault="00672345"/>
    <w:p w14:paraId="460C2043" w14:textId="77777777" w:rsidR="00672345" w:rsidRDefault="00672345"/>
    <w:p w14:paraId="5A3E77BD" w14:textId="77777777" w:rsidR="00672345" w:rsidRDefault="00672345"/>
    <w:p w14:paraId="29847FDA" w14:textId="77777777" w:rsidR="00672345" w:rsidRDefault="00672345"/>
    <w:p w14:paraId="5B29A124" w14:textId="77777777" w:rsidR="00672345" w:rsidRDefault="00672345"/>
    <w:p w14:paraId="6717BED6" w14:textId="77777777" w:rsidR="00672345" w:rsidRDefault="00672345"/>
    <w:p w14:paraId="15011301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Choose a cultural heritage site and conduct a SWOT Analysis of the selected site.</w:t>
      </w:r>
    </w:p>
    <w:p w14:paraId="6542B91F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Strengths</w:t>
      </w:r>
    </w:p>
    <w:p w14:paraId="4BC4B719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Weaknesses</w:t>
      </w:r>
    </w:p>
    <w:p w14:paraId="54B115F1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Opportunities</w:t>
      </w:r>
    </w:p>
    <w:p w14:paraId="28A3B2EB" w14:textId="77777777" w:rsidR="007079EF" w:rsidRPr="007079EF" w:rsidRDefault="007079EF" w:rsidP="007079EF">
      <w:pPr>
        <w:pStyle w:val="ListParagraph"/>
        <w:numPr>
          <w:ilvl w:val="0"/>
          <w:numId w:val="12"/>
        </w:numPr>
        <w:spacing w:line="276" w:lineRule="auto"/>
        <w:rPr>
          <w:lang w:val="en-US"/>
        </w:rPr>
      </w:pPr>
      <w:r w:rsidRPr="007079EF">
        <w:rPr>
          <w:lang w:val="en-US"/>
        </w:rPr>
        <w:t>At least 3 Threats</w:t>
      </w:r>
    </w:p>
    <w:p w14:paraId="2B139838" w14:textId="77777777" w:rsidR="007079EF" w:rsidRPr="007079EF" w:rsidRDefault="007079EF" w:rsidP="007079EF">
      <w:pPr>
        <w:spacing w:line="276" w:lineRule="auto"/>
        <w:rPr>
          <w:b/>
          <w:bCs/>
          <w:lang w:val="en-US"/>
        </w:rPr>
      </w:pPr>
    </w:p>
    <w:p w14:paraId="29C374B0" w14:textId="77777777" w:rsidR="007079EF" w:rsidRDefault="007079EF" w:rsidP="007079EF">
      <w:pPr>
        <w:spacing w:line="276" w:lineRule="auto"/>
        <w:rPr>
          <w:b/>
          <w:bCs/>
          <w:lang w:val="en-US"/>
        </w:rPr>
      </w:pPr>
      <w:r w:rsidRPr="007079EF">
        <w:rPr>
          <w:b/>
          <w:bCs/>
          <w:lang w:val="en-US"/>
        </w:rPr>
        <w:t>Link the SWOT analysis to</w:t>
      </w:r>
      <w:r>
        <w:rPr>
          <w:b/>
          <w:bCs/>
          <w:lang w:val="en-US"/>
        </w:rPr>
        <w:t>:</w:t>
      </w:r>
    </w:p>
    <w:p w14:paraId="4A603D55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Objectives</w:t>
      </w:r>
    </w:p>
    <w:p w14:paraId="691DC4F6" w14:textId="77777777" w:rsidR="007079EF" w:rsidRPr="007079EF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Strategies</w:t>
      </w:r>
    </w:p>
    <w:p w14:paraId="3619FE77" w14:textId="77777777" w:rsidR="00CF34F8" w:rsidRDefault="007079EF" w:rsidP="007079EF">
      <w:pPr>
        <w:pStyle w:val="ListParagraph"/>
        <w:numPr>
          <w:ilvl w:val="0"/>
          <w:numId w:val="13"/>
        </w:numPr>
        <w:spacing w:line="276" w:lineRule="auto"/>
        <w:rPr>
          <w:lang w:val="en-US"/>
        </w:rPr>
      </w:pPr>
      <w:r w:rsidRPr="007079EF">
        <w:rPr>
          <w:lang w:val="en-US"/>
        </w:rPr>
        <w:t>Actions</w:t>
      </w:r>
    </w:p>
    <w:p w14:paraId="7F7E0BC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6BD2C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44665C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1FE3CA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777054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EE4B170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6CB21ED3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0783E1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24FD58F1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8BD372F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7229C3BE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2C156B8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1407285A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31531C5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59C1ECA4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42C2CD1B" w14:textId="77777777" w:rsidR="004E190D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p w14:paraId="0D8EB243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lastRenderedPageBreak/>
        <w:t>SWOT Analysis of Machu Picchu (Peru)</w:t>
      </w:r>
    </w:p>
    <w:p w14:paraId="36597022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t>SWOT Analysis Table</w:t>
      </w:r>
    </w:p>
    <w:tbl>
      <w:tblPr>
        <w:tblStyle w:val="ListTable4-Accent4"/>
        <w:tblW w:w="0" w:type="auto"/>
        <w:tblLook w:val="04A0" w:firstRow="1" w:lastRow="0" w:firstColumn="1" w:lastColumn="0" w:noHBand="0" w:noVBand="1"/>
      </w:tblPr>
      <w:tblGrid>
        <w:gridCol w:w="2169"/>
        <w:gridCol w:w="2277"/>
        <w:gridCol w:w="2277"/>
        <w:gridCol w:w="2293"/>
      </w:tblGrid>
      <w:tr w:rsidR="0089075B" w:rsidRPr="0089075B" w14:paraId="5BC3901B" w14:textId="77777777" w:rsidTr="00507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02FA03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Strengths</w:t>
            </w:r>
          </w:p>
        </w:tc>
        <w:tc>
          <w:tcPr>
            <w:tcW w:w="0" w:type="auto"/>
            <w:hideMark/>
          </w:tcPr>
          <w:p w14:paraId="5E2346D5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Weaknesses</w:t>
            </w:r>
          </w:p>
        </w:tc>
        <w:tc>
          <w:tcPr>
            <w:tcW w:w="0" w:type="auto"/>
            <w:hideMark/>
          </w:tcPr>
          <w:p w14:paraId="0A615131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Opportunities</w:t>
            </w:r>
          </w:p>
        </w:tc>
        <w:tc>
          <w:tcPr>
            <w:tcW w:w="0" w:type="auto"/>
            <w:hideMark/>
          </w:tcPr>
          <w:p w14:paraId="52748949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Threats</w:t>
            </w:r>
          </w:p>
        </w:tc>
      </w:tr>
      <w:tr w:rsidR="0089075B" w:rsidRPr="0089075B" w14:paraId="7D7C4421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87C4CC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UNESCO World Heritage Site and one of the New Seven Wonders of the World.</w:t>
            </w:r>
          </w:p>
        </w:tc>
        <w:tc>
          <w:tcPr>
            <w:tcW w:w="0" w:type="auto"/>
            <w:hideMark/>
          </w:tcPr>
          <w:p w14:paraId="539B2B04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Fragile archaeological structures require continuous conservation and restoration.</w:t>
            </w:r>
          </w:p>
        </w:tc>
        <w:tc>
          <w:tcPr>
            <w:tcW w:w="0" w:type="auto"/>
            <w:hideMark/>
          </w:tcPr>
          <w:p w14:paraId="02CE0A81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Expand digital tourism through virtual tours and interactive visitor experiences.</w:t>
            </w:r>
          </w:p>
        </w:tc>
        <w:tc>
          <w:tcPr>
            <w:tcW w:w="0" w:type="auto"/>
            <w:hideMark/>
          </w:tcPr>
          <w:p w14:paraId="3575A65E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Climate change, heavy rainfall, and landslides threaten the site's preservation.</w:t>
            </w:r>
          </w:p>
        </w:tc>
      </w:tr>
      <w:tr w:rsidR="0089075B" w:rsidRPr="0089075B" w14:paraId="4CCD290A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4EB0FB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Exceptional Incan architecture and cultural significance attract millions of international tourists.</w:t>
            </w:r>
          </w:p>
        </w:tc>
        <w:tc>
          <w:tcPr>
            <w:tcW w:w="0" w:type="auto"/>
            <w:hideMark/>
          </w:tcPr>
          <w:p w14:paraId="1CE864E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Limited carrying capacity restricts the number of daily visitors.</w:t>
            </w:r>
          </w:p>
        </w:tc>
        <w:tc>
          <w:tcPr>
            <w:tcW w:w="0" w:type="auto"/>
            <w:hideMark/>
          </w:tcPr>
          <w:p w14:paraId="1A74A67A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sustainable tourism by involving local communities in tourism management.</w:t>
            </w:r>
          </w:p>
        </w:tc>
        <w:tc>
          <w:tcPr>
            <w:tcW w:w="0" w:type="auto"/>
            <w:hideMark/>
          </w:tcPr>
          <w:p w14:paraId="082349A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Overtourism can damage trails, ruins, and the surrounding ecosystem.</w:t>
            </w:r>
          </w:p>
        </w:tc>
      </w:tr>
      <w:tr w:rsidR="0089075B" w:rsidRPr="0089075B" w14:paraId="709D3082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5AC464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Significant contributor to Peru's tourism industry and local economy.</w:t>
            </w:r>
          </w:p>
        </w:tc>
        <w:tc>
          <w:tcPr>
            <w:tcW w:w="0" w:type="auto"/>
            <w:hideMark/>
          </w:tcPr>
          <w:p w14:paraId="6D106C2D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Remote mountain location makes accessibility challenging for some visitors.</w:t>
            </w:r>
          </w:p>
        </w:tc>
        <w:tc>
          <w:tcPr>
            <w:tcW w:w="0" w:type="auto"/>
            <w:hideMark/>
          </w:tcPr>
          <w:p w14:paraId="2A12F3A9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international research collaborations and archaeological studies.</w:t>
            </w:r>
          </w:p>
        </w:tc>
        <w:tc>
          <w:tcPr>
            <w:tcW w:w="0" w:type="auto"/>
            <w:hideMark/>
          </w:tcPr>
          <w:p w14:paraId="341A50DE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Illegal tourism activities and environmental degradation may negatively impact the site.</w:t>
            </w:r>
          </w:p>
        </w:tc>
      </w:tr>
    </w:tbl>
    <w:p w14:paraId="595ADF97" w14:textId="77777777" w:rsidR="0089075B" w:rsidRPr="0089075B" w:rsidRDefault="0089075B" w:rsidP="0089075B">
      <w:pPr>
        <w:pStyle w:val="ListParagraph"/>
        <w:spacing w:line="276" w:lineRule="auto"/>
        <w:rPr>
          <w:lang w:val="en-GB"/>
        </w:rPr>
      </w:pPr>
      <w:r w:rsidRPr="0089075B">
        <w:rPr>
          <w:lang w:val="en-GB"/>
        </w:rPr>
        <w:pict w14:anchorId="42D7002D">
          <v:rect id="_x0000_i1073" style="width:0;height:1.5pt" o:hralign="center" o:hrstd="t" o:hr="t" fillcolor="#a0a0a0" stroked="f"/>
        </w:pict>
      </w:r>
    </w:p>
    <w:p w14:paraId="0E408125" w14:textId="77777777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t>Linking the SWOT Analysis to Objectives, Strategies, and Actions</w:t>
      </w:r>
    </w:p>
    <w:tbl>
      <w:tblPr>
        <w:tblStyle w:val="ListTable4-Accent4"/>
        <w:tblW w:w="0" w:type="auto"/>
        <w:tblLook w:val="04A0" w:firstRow="1" w:lastRow="0" w:firstColumn="1" w:lastColumn="0" w:noHBand="0" w:noVBand="1"/>
      </w:tblPr>
      <w:tblGrid>
        <w:gridCol w:w="2281"/>
        <w:gridCol w:w="2245"/>
        <w:gridCol w:w="2245"/>
        <w:gridCol w:w="2245"/>
      </w:tblGrid>
      <w:tr w:rsidR="0089075B" w:rsidRPr="0089075B" w14:paraId="0EBB107E" w14:textId="77777777" w:rsidTr="00507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BA7216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SWOT Factor</w:t>
            </w:r>
          </w:p>
        </w:tc>
        <w:tc>
          <w:tcPr>
            <w:tcW w:w="0" w:type="auto"/>
            <w:hideMark/>
          </w:tcPr>
          <w:p w14:paraId="35B8AE9A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Objective</w:t>
            </w:r>
          </w:p>
        </w:tc>
        <w:tc>
          <w:tcPr>
            <w:tcW w:w="0" w:type="auto"/>
            <w:hideMark/>
          </w:tcPr>
          <w:p w14:paraId="090F2968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Strategy</w:t>
            </w:r>
          </w:p>
        </w:tc>
        <w:tc>
          <w:tcPr>
            <w:tcW w:w="0" w:type="auto"/>
            <w:hideMark/>
          </w:tcPr>
          <w:p w14:paraId="25B43DFE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Actions</w:t>
            </w:r>
          </w:p>
        </w:tc>
      </w:tr>
      <w:tr w:rsidR="0089075B" w:rsidRPr="0089075B" w14:paraId="5750CD20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97475B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 1: UNESCO World Heritage recognition</w:t>
            </w:r>
          </w:p>
        </w:tc>
        <w:tc>
          <w:tcPr>
            <w:tcW w:w="0" w:type="auto"/>
            <w:hideMark/>
          </w:tcPr>
          <w:p w14:paraId="43D57D78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Preserve Machu Picchu as a globally recognized </w:t>
            </w:r>
            <w:r w:rsidRPr="0089075B">
              <w:rPr>
                <w:lang w:val="en-GB"/>
              </w:rPr>
              <w:lastRenderedPageBreak/>
              <w:t>cultural heritage site.</w:t>
            </w:r>
          </w:p>
        </w:tc>
        <w:tc>
          <w:tcPr>
            <w:tcW w:w="0" w:type="auto"/>
            <w:hideMark/>
          </w:tcPr>
          <w:p w14:paraId="703B4C11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Strengthen international conservation partnerships.</w:t>
            </w:r>
          </w:p>
        </w:tc>
        <w:tc>
          <w:tcPr>
            <w:tcW w:w="0" w:type="auto"/>
            <w:hideMark/>
          </w:tcPr>
          <w:p w14:paraId="2DE22276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Collaborate with UNESCO and heritage organizations to secure funding and </w:t>
            </w:r>
            <w:r w:rsidRPr="0089075B">
              <w:rPr>
                <w:lang w:val="en-GB"/>
              </w:rPr>
              <w:lastRenderedPageBreak/>
              <w:t>technical support for preservation projects.</w:t>
            </w:r>
          </w:p>
        </w:tc>
      </w:tr>
      <w:tr w:rsidR="0089075B" w:rsidRPr="0089075B" w14:paraId="32B57D84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1DA30A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Strength 2: Unique Incan architecture</w:t>
            </w:r>
          </w:p>
        </w:tc>
        <w:tc>
          <w:tcPr>
            <w:tcW w:w="0" w:type="auto"/>
            <w:hideMark/>
          </w:tcPr>
          <w:p w14:paraId="3A8A0D7A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Enhance cultural education and visitor appreciation.</w:t>
            </w:r>
          </w:p>
        </w:tc>
        <w:tc>
          <w:tcPr>
            <w:tcW w:w="0" w:type="auto"/>
            <w:hideMark/>
          </w:tcPr>
          <w:p w14:paraId="5D33D6B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Develop educational tourism initiatives.</w:t>
            </w:r>
          </w:p>
        </w:tc>
        <w:tc>
          <w:tcPr>
            <w:tcW w:w="0" w:type="auto"/>
            <w:hideMark/>
          </w:tcPr>
          <w:p w14:paraId="28C1ED33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Organize guided tours, cultural exhibitions, and educational workshops highlighting Incan history and architecture.</w:t>
            </w:r>
          </w:p>
        </w:tc>
      </w:tr>
      <w:tr w:rsidR="0089075B" w:rsidRPr="0089075B" w14:paraId="58B5F44E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9D0F6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Strength 3: Strong tourism demand</w:t>
            </w:r>
          </w:p>
        </w:tc>
        <w:tc>
          <w:tcPr>
            <w:tcW w:w="0" w:type="auto"/>
            <w:hideMark/>
          </w:tcPr>
          <w:p w14:paraId="5F661766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tourism revenue while protecting the heritage site.</w:t>
            </w:r>
          </w:p>
        </w:tc>
        <w:tc>
          <w:tcPr>
            <w:tcW w:w="0" w:type="auto"/>
            <w:hideMark/>
          </w:tcPr>
          <w:p w14:paraId="6A9C8A7B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sustainable visitor management.</w:t>
            </w:r>
          </w:p>
        </w:tc>
        <w:tc>
          <w:tcPr>
            <w:tcW w:w="0" w:type="auto"/>
            <w:hideMark/>
          </w:tcPr>
          <w:p w14:paraId="12797624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online booking systems, timed-entry tickets, and professional tour guide services.</w:t>
            </w:r>
          </w:p>
        </w:tc>
      </w:tr>
      <w:tr w:rsidR="0089075B" w:rsidRPr="0089075B" w14:paraId="4569A746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76A3B23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Weakness 1: Fragile archaeological structures</w:t>
            </w:r>
          </w:p>
        </w:tc>
        <w:tc>
          <w:tcPr>
            <w:tcW w:w="0" w:type="auto"/>
            <w:hideMark/>
          </w:tcPr>
          <w:p w14:paraId="216B8FA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Minimize physical deterioration of the monument.</w:t>
            </w:r>
          </w:p>
        </w:tc>
        <w:tc>
          <w:tcPr>
            <w:tcW w:w="0" w:type="auto"/>
            <w:hideMark/>
          </w:tcPr>
          <w:p w14:paraId="3672964B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Strengthen conservation and restoration programs.</w:t>
            </w:r>
          </w:p>
        </w:tc>
        <w:tc>
          <w:tcPr>
            <w:tcW w:w="0" w:type="auto"/>
            <w:hideMark/>
          </w:tcPr>
          <w:p w14:paraId="64FC7D8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Conduct regular structural inspections, restoration work, and preventive maintenance using conservation best practices.</w:t>
            </w:r>
          </w:p>
        </w:tc>
      </w:tr>
      <w:tr w:rsidR="0089075B" w:rsidRPr="0089075B" w14:paraId="4852EC14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42F77C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Weakness 2: Limited visitor capacity</w:t>
            </w:r>
          </w:p>
        </w:tc>
        <w:tc>
          <w:tcPr>
            <w:tcW w:w="0" w:type="auto"/>
            <w:hideMark/>
          </w:tcPr>
          <w:p w14:paraId="011CF55E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Improve visitor experience while preventing </w:t>
            </w:r>
            <w:r w:rsidRPr="0089075B">
              <w:rPr>
                <w:lang w:val="en-GB"/>
              </w:rPr>
              <w:lastRenderedPageBreak/>
              <w:t>overcrowding.</w:t>
            </w:r>
          </w:p>
        </w:tc>
        <w:tc>
          <w:tcPr>
            <w:tcW w:w="0" w:type="auto"/>
            <w:hideMark/>
          </w:tcPr>
          <w:p w14:paraId="4EFDB5CB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Implement visitor capacity management.</w:t>
            </w:r>
          </w:p>
        </w:tc>
        <w:tc>
          <w:tcPr>
            <w:tcW w:w="0" w:type="auto"/>
            <w:hideMark/>
          </w:tcPr>
          <w:p w14:paraId="76341D3F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Limit daily visitor numbers and promote visits during </w:t>
            </w:r>
            <w:r w:rsidRPr="0089075B">
              <w:rPr>
                <w:lang w:val="en-GB"/>
              </w:rPr>
              <w:lastRenderedPageBreak/>
              <w:t>off-peak seasons.</w:t>
            </w:r>
          </w:p>
        </w:tc>
      </w:tr>
      <w:tr w:rsidR="0089075B" w:rsidRPr="0089075B" w14:paraId="31C580CB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0378E36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Weakness 3: Difficult accessibility</w:t>
            </w:r>
          </w:p>
        </w:tc>
        <w:tc>
          <w:tcPr>
            <w:tcW w:w="0" w:type="auto"/>
            <w:hideMark/>
          </w:tcPr>
          <w:p w14:paraId="5E578A60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access while protecting the natural environment.</w:t>
            </w:r>
          </w:p>
        </w:tc>
        <w:tc>
          <w:tcPr>
            <w:tcW w:w="0" w:type="auto"/>
            <w:hideMark/>
          </w:tcPr>
          <w:p w14:paraId="5F648021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Upgrade sustainable transportation and visitor facilities.</w:t>
            </w:r>
          </w:p>
        </w:tc>
        <w:tc>
          <w:tcPr>
            <w:tcW w:w="0" w:type="auto"/>
            <w:hideMark/>
          </w:tcPr>
          <w:p w14:paraId="2D946A79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eco-friendly transport options, signage, and accessible visitor facilities where feasible.</w:t>
            </w:r>
          </w:p>
        </w:tc>
      </w:tr>
      <w:tr w:rsidR="0089075B" w:rsidRPr="0089075B" w14:paraId="17ED7B56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0EAC79D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1: Digital tourism</w:t>
            </w:r>
          </w:p>
        </w:tc>
        <w:tc>
          <w:tcPr>
            <w:tcW w:w="0" w:type="auto"/>
            <w:hideMark/>
          </w:tcPr>
          <w:p w14:paraId="49F879AC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Expand global access to Machu Picchu.</w:t>
            </w:r>
          </w:p>
        </w:tc>
        <w:tc>
          <w:tcPr>
            <w:tcW w:w="0" w:type="auto"/>
            <w:hideMark/>
          </w:tcPr>
          <w:p w14:paraId="5C6098B2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Invest in digital technologies.</w:t>
            </w:r>
          </w:p>
        </w:tc>
        <w:tc>
          <w:tcPr>
            <w:tcW w:w="0" w:type="auto"/>
            <w:hideMark/>
          </w:tcPr>
          <w:p w14:paraId="00CEC879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Develop virtual reality (VR), augmented reality (AR), and interactive mobile applications.</w:t>
            </w:r>
          </w:p>
        </w:tc>
      </w:tr>
      <w:tr w:rsidR="0089075B" w:rsidRPr="0089075B" w14:paraId="2BDB5E83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CA1609F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2: Community involvement</w:t>
            </w:r>
          </w:p>
        </w:tc>
        <w:tc>
          <w:tcPr>
            <w:tcW w:w="0" w:type="auto"/>
            <w:hideMark/>
          </w:tcPr>
          <w:p w14:paraId="26047297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Improve local economic development.</w:t>
            </w:r>
          </w:p>
        </w:tc>
        <w:tc>
          <w:tcPr>
            <w:tcW w:w="0" w:type="auto"/>
            <w:hideMark/>
          </w:tcPr>
          <w:p w14:paraId="13ACDD3E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Encourage community-based tourism.</w:t>
            </w:r>
          </w:p>
        </w:tc>
        <w:tc>
          <w:tcPr>
            <w:tcW w:w="0" w:type="auto"/>
            <w:hideMark/>
          </w:tcPr>
          <w:p w14:paraId="69B04F34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Support local businesses, cultural performances, handicraft markets, and employment opportunities for nearby communities.</w:t>
            </w:r>
          </w:p>
        </w:tc>
      </w:tr>
      <w:tr w:rsidR="0089075B" w:rsidRPr="0089075B" w14:paraId="3CC9BC7A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9C596DE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Opportunity 3: International research</w:t>
            </w:r>
          </w:p>
        </w:tc>
        <w:tc>
          <w:tcPr>
            <w:tcW w:w="0" w:type="auto"/>
            <w:hideMark/>
          </w:tcPr>
          <w:p w14:paraId="4C397CDE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Increase archaeological knowledge and conservation innovation.</w:t>
            </w:r>
          </w:p>
        </w:tc>
        <w:tc>
          <w:tcPr>
            <w:tcW w:w="0" w:type="auto"/>
            <w:hideMark/>
          </w:tcPr>
          <w:p w14:paraId="54782FA8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academic partnerships.</w:t>
            </w:r>
          </w:p>
        </w:tc>
        <w:tc>
          <w:tcPr>
            <w:tcW w:w="0" w:type="auto"/>
            <w:hideMark/>
          </w:tcPr>
          <w:p w14:paraId="21C92629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 xml:space="preserve">Collaborate with universities and research institutions on archaeological excavations </w:t>
            </w:r>
            <w:r w:rsidRPr="0089075B">
              <w:rPr>
                <w:lang w:val="en-GB"/>
              </w:rPr>
              <w:lastRenderedPageBreak/>
              <w:t>and conservation studies.</w:t>
            </w:r>
          </w:p>
        </w:tc>
      </w:tr>
      <w:tr w:rsidR="0089075B" w:rsidRPr="0089075B" w14:paraId="5BA4B84C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505609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lastRenderedPageBreak/>
              <w:t>Threat 1: Climate change and landslides</w:t>
            </w:r>
          </w:p>
        </w:tc>
        <w:tc>
          <w:tcPr>
            <w:tcW w:w="0" w:type="auto"/>
            <w:hideMark/>
          </w:tcPr>
          <w:p w14:paraId="7F015635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Reduce environmental risks to the heritage site.</w:t>
            </w:r>
          </w:p>
        </w:tc>
        <w:tc>
          <w:tcPr>
            <w:tcW w:w="0" w:type="auto"/>
            <w:hideMark/>
          </w:tcPr>
          <w:p w14:paraId="71551F45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environmental monitoring and disaster preparedness.</w:t>
            </w:r>
          </w:p>
        </w:tc>
        <w:tc>
          <w:tcPr>
            <w:tcW w:w="0" w:type="auto"/>
            <w:hideMark/>
          </w:tcPr>
          <w:p w14:paraId="699D892F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Install monitoring systems, improve drainage infrastructure, and develop emergency response plans.</w:t>
            </w:r>
          </w:p>
        </w:tc>
      </w:tr>
      <w:tr w:rsidR="0089075B" w:rsidRPr="0089075B" w14:paraId="555348AC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93F2ED9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Threat 2: Overtourism</w:t>
            </w:r>
          </w:p>
        </w:tc>
        <w:tc>
          <w:tcPr>
            <w:tcW w:w="0" w:type="auto"/>
            <w:hideMark/>
          </w:tcPr>
          <w:p w14:paraId="67F5229B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Protect archaeological remains and natural landscapes.</w:t>
            </w:r>
          </w:p>
        </w:tc>
        <w:tc>
          <w:tcPr>
            <w:tcW w:w="0" w:type="auto"/>
            <w:hideMark/>
          </w:tcPr>
          <w:p w14:paraId="423D841A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Strengthen visitor management policies.</w:t>
            </w:r>
          </w:p>
        </w:tc>
        <w:tc>
          <w:tcPr>
            <w:tcW w:w="0" w:type="auto"/>
            <w:hideMark/>
          </w:tcPr>
          <w:p w14:paraId="4D01B395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Enforce visitor limits, designated walking routes, and stricter conservation regulations.</w:t>
            </w:r>
          </w:p>
        </w:tc>
      </w:tr>
      <w:tr w:rsidR="0089075B" w:rsidRPr="0089075B" w14:paraId="4FE8DAFE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717DDC0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Threat 3: Environmental degradation</w:t>
            </w:r>
          </w:p>
        </w:tc>
        <w:tc>
          <w:tcPr>
            <w:tcW w:w="0" w:type="auto"/>
            <w:hideMark/>
          </w:tcPr>
          <w:p w14:paraId="69A304D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Maintain the ecological balance surrounding the site.</w:t>
            </w:r>
          </w:p>
        </w:tc>
        <w:tc>
          <w:tcPr>
            <w:tcW w:w="0" w:type="auto"/>
            <w:hideMark/>
          </w:tcPr>
          <w:p w14:paraId="2DFD69C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Promote sustainable environmental management.</w:t>
            </w:r>
          </w:p>
        </w:tc>
        <w:tc>
          <w:tcPr>
            <w:tcW w:w="0" w:type="auto"/>
            <w:hideMark/>
          </w:tcPr>
          <w:p w14:paraId="6DCF9736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Implement waste reduction programs, biodiversity conservation projects, and regular environmental impact assessments.</w:t>
            </w:r>
          </w:p>
        </w:tc>
      </w:tr>
    </w:tbl>
    <w:p w14:paraId="33261D2A" w14:textId="77777777" w:rsidR="0089075B" w:rsidRPr="0089075B" w:rsidRDefault="0089075B" w:rsidP="0089075B">
      <w:pPr>
        <w:pStyle w:val="ListParagraph"/>
        <w:spacing w:line="276" w:lineRule="auto"/>
        <w:rPr>
          <w:lang w:val="en-GB"/>
        </w:rPr>
      </w:pPr>
      <w:r w:rsidRPr="0089075B">
        <w:rPr>
          <w:lang w:val="en-GB"/>
        </w:rPr>
        <w:pict w14:anchorId="4D2E8AC6">
          <v:rect id="_x0000_i1074" style="width:0;height:1.5pt" o:hralign="center" o:hrstd="t" o:hr="t" fillcolor="#a0a0a0" stroked="f"/>
        </w:pict>
      </w:r>
    </w:p>
    <w:p w14:paraId="41FF11CC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3B96633E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667529CE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7FDA04AC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0A9A5C85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39DC23FF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23443347" w14:textId="77777777" w:rsidR="005076A9" w:rsidRDefault="005076A9" w:rsidP="0089075B">
      <w:pPr>
        <w:pStyle w:val="ListParagraph"/>
        <w:spacing w:line="276" w:lineRule="auto"/>
        <w:rPr>
          <w:b/>
          <w:bCs/>
          <w:lang w:val="en-GB"/>
        </w:rPr>
      </w:pPr>
    </w:p>
    <w:p w14:paraId="58399465" w14:textId="4D5DD1BE" w:rsidR="0089075B" w:rsidRPr="0089075B" w:rsidRDefault="0089075B" w:rsidP="0089075B">
      <w:pPr>
        <w:pStyle w:val="ListParagraph"/>
        <w:spacing w:line="276" w:lineRule="auto"/>
        <w:rPr>
          <w:b/>
          <w:bCs/>
          <w:lang w:val="en-GB"/>
        </w:rPr>
      </w:pPr>
      <w:r w:rsidRPr="0089075B">
        <w:rPr>
          <w:b/>
          <w:bCs/>
          <w:lang w:val="en-GB"/>
        </w:rPr>
        <w:lastRenderedPageBreak/>
        <w:t>Summary Table</w:t>
      </w:r>
    </w:p>
    <w:tbl>
      <w:tblPr>
        <w:tblStyle w:val="GridTable4-Accent4"/>
        <w:tblW w:w="0" w:type="auto"/>
        <w:tblLook w:val="04A0" w:firstRow="1" w:lastRow="0" w:firstColumn="1" w:lastColumn="0" w:noHBand="0" w:noVBand="1"/>
      </w:tblPr>
      <w:tblGrid>
        <w:gridCol w:w="1979"/>
        <w:gridCol w:w="7037"/>
      </w:tblGrid>
      <w:tr w:rsidR="0089075B" w:rsidRPr="0089075B" w14:paraId="5EACB48A" w14:textId="77777777" w:rsidTr="005076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3FED31D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Category</w:t>
            </w:r>
          </w:p>
        </w:tc>
        <w:tc>
          <w:tcPr>
            <w:tcW w:w="0" w:type="auto"/>
            <w:hideMark/>
          </w:tcPr>
          <w:p w14:paraId="51F5D301" w14:textId="77777777" w:rsidR="0089075B" w:rsidRPr="0089075B" w:rsidRDefault="0089075B" w:rsidP="0089075B">
            <w:pPr>
              <w:pStyle w:val="ListParagraph"/>
              <w:spacing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Key Focus</w:t>
            </w:r>
          </w:p>
        </w:tc>
      </w:tr>
      <w:tr w:rsidR="0089075B" w:rsidRPr="0089075B" w14:paraId="1D18E3B6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296F08B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Objectives</w:t>
            </w:r>
          </w:p>
        </w:tc>
        <w:tc>
          <w:tcPr>
            <w:tcW w:w="0" w:type="auto"/>
            <w:hideMark/>
          </w:tcPr>
          <w:p w14:paraId="1396D93E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Preserve Machu Picchu's cultural heritage, improve visitor management, enhance conservation, promote sustainable tourism, and support local communities.</w:t>
            </w:r>
          </w:p>
        </w:tc>
      </w:tr>
      <w:tr w:rsidR="0089075B" w:rsidRPr="0089075B" w14:paraId="14FB37D2" w14:textId="77777777" w:rsidTr="005076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5EE47BD5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Strategies</w:t>
            </w:r>
          </w:p>
        </w:tc>
        <w:tc>
          <w:tcPr>
            <w:tcW w:w="0" w:type="auto"/>
            <w:hideMark/>
          </w:tcPr>
          <w:p w14:paraId="7E6F757D" w14:textId="77777777" w:rsidR="0089075B" w:rsidRPr="0089075B" w:rsidRDefault="0089075B" w:rsidP="0089075B">
            <w:pPr>
              <w:pStyle w:val="ListParagraph"/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Heritage conservation, sustainable tourism, community participation, digital innovation, environmental protection, and international research collaboration.</w:t>
            </w:r>
          </w:p>
        </w:tc>
      </w:tr>
      <w:tr w:rsidR="0089075B" w:rsidRPr="0089075B" w14:paraId="73096F94" w14:textId="77777777" w:rsidTr="005076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4992D10" w14:textId="77777777" w:rsidR="0089075B" w:rsidRPr="0089075B" w:rsidRDefault="0089075B" w:rsidP="0089075B">
            <w:pPr>
              <w:pStyle w:val="ListParagraph"/>
              <w:spacing w:line="276" w:lineRule="auto"/>
              <w:rPr>
                <w:lang w:val="en-GB"/>
              </w:rPr>
            </w:pPr>
            <w:r w:rsidRPr="0089075B">
              <w:rPr>
                <w:lang w:val="en-GB"/>
              </w:rPr>
              <w:t>Actions</w:t>
            </w:r>
          </w:p>
        </w:tc>
        <w:tc>
          <w:tcPr>
            <w:tcW w:w="0" w:type="auto"/>
            <w:hideMark/>
          </w:tcPr>
          <w:p w14:paraId="03627404" w14:textId="77777777" w:rsidR="0089075B" w:rsidRPr="0089075B" w:rsidRDefault="0089075B" w:rsidP="0089075B">
            <w:pPr>
              <w:pStyle w:val="ListParagraph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89075B">
              <w:rPr>
                <w:lang w:val="en-GB"/>
              </w:rPr>
              <w:t>Restoration projects, visitor quotas, VR and AR experiences, educational programs, eco-friendly transportation, environmental monitoring, local community partnerships, and disaster preparedness planning.</w:t>
            </w:r>
          </w:p>
        </w:tc>
      </w:tr>
    </w:tbl>
    <w:p w14:paraId="4090CE93" w14:textId="77777777" w:rsidR="004E190D" w:rsidRPr="007079EF" w:rsidRDefault="004E190D" w:rsidP="004E190D">
      <w:pPr>
        <w:pStyle w:val="ListParagraph"/>
        <w:spacing w:line="276" w:lineRule="auto"/>
        <w:ind w:left="0"/>
        <w:rPr>
          <w:lang w:val="en-US"/>
        </w:rPr>
      </w:pPr>
    </w:p>
    <w:sectPr w:rsidR="004E190D" w:rsidRPr="007079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D8D1458-B022-4889-B556-F062D1C784E5}"/>
    <w:embedBold r:id="rId2" w:fontKey="{DA16CDC6-617E-4CEE-AF93-05A345BCC81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74835BB6-2951-4D20-831D-3E62B4B8FA3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E9199A79-2DC2-47F0-A2C8-9D9CD7073717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55465"/>
    <w:multiLevelType w:val="hybridMultilevel"/>
    <w:tmpl w:val="D08E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6079D"/>
    <w:multiLevelType w:val="hybridMultilevel"/>
    <w:tmpl w:val="9A56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B07AF"/>
    <w:multiLevelType w:val="hybridMultilevel"/>
    <w:tmpl w:val="DF3A6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2321"/>
    <w:multiLevelType w:val="hybridMultilevel"/>
    <w:tmpl w:val="B6685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1B2512"/>
    <w:multiLevelType w:val="hybridMultilevel"/>
    <w:tmpl w:val="9A2E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BF239E"/>
    <w:multiLevelType w:val="hybridMultilevel"/>
    <w:tmpl w:val="2E6AE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90511"/>
    <w:multiLevelType w:val="hybridMultilevel"/>
    <w:tmpl w:val="2DD22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3"/>
  </w:num>
  <w:num w:numId="2" w16cid:durableId="1882092387">
    <w:abstractNumId w:val="11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4"/>
  </w:num>
  <w:num w:numId="6" w16cid:durableId="1713579031">
    <w:abstractNumId w:val="10"/>
  </w:num>
  <w:num w:numId="7" w16cid:durableId="612253008">
    <w:abstractNumId w:val="9"/>
  </w:num>
  <w:num w:numId="8" w16cid:durableId="314267375">
    <w:abstractNumId w:val="7"/>
  </w:num>
  <w:num w:numId="9" w16cid:durableId="327443921">
    <w:abstractNumId w:val="8"/>
  </w:num>
  <w:num w:numId="10" w16cid:durableId="1481845840">
    <w:abstractNumId w:val="6"/>
  </w:num>
  <w:num w:numId="11" w16cid:durableId="1209099905">
    <w:abstractNumId w:val="5"/>
  </w:num>
  <w:num w:numId="12" w16cid:durableId="2084132962">
    <w:abstractNumId w:val="12"/>
  </w:num>
  <w:num w:numId="13" w16cid:durableId="867915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0F1FD0"/>
    <w:rsid w:val="001700EC"/>
    <w:rsid w:val="00174BB1"/>
    <w:rsid w:val="00224FD9"/>
    <w:rsid w:val="00232559"/>
    <w:rsid w:val="002F4AE0"/>
    <w:rsid w:val="00384E8A"/>
    <w:rsid w:val="003D1074"/>
    <w:rsid w:val="00426865"/>
    <w:rsid w:val="00477CAA"/>
    <w:rsid w:val="004E190D"/>
    <w:rsid w:val="00502E29"/>
    <w:rsid w:val="005076A9"/>
    <w:rsid w:val="005E1FD5"/>
    <w:rsid w:val="005E458B"/>
    <w:rsid w:val="00672345"/>
    <w:rsid w:val="00705037"/>
    <w:rsid w:val="007079EF"/>
    <w:rsid w:val="007C7917"/>
    <w:rsid w:val="00844EC2"/>
    <w:rsid w:val="008516FE"/>
    <w:rsid w:val="0089075B"/>
    <w:rsid w:val="00942251"/>
    <w:rsid w:val="009C1D0A"/>
    <w:rsid w:val="00A044F7"/>
    <w:rsid w:val="00A057BE"/>
    <w:rsid w:val="00A8150E"/>
    <w:rsid w:val="00B20343"/>
    <w:rsid w:val="00B62C8D"/>
    <w:rsid w:val="00B85EA7"/>
    <w:rsid w:val="00BE5257"/>
    <w:rsid w:val="00BE65DD"/>
    <w:rsid w:val="00C612A4"/>
    <w:rsid w:val="00C80777"/>
    <w:rsid w:val="00CC6AD1"/>
    <w:rsid w:val="00CF34F8"/>
    <w:rsid w:val="00E6778A"/>
    <w:rsid w:val="00F25F5B"/>
    <w:rsid w:val="00F837B1"/>
    <w:rsid w:val="00FE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7DDCC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  <w:style w:type="table" w:styleId="PlainTable1">
    <w:name w:val="Plain Table 1"/>
    <w:basedOn w:val="TableNormal"/>
    <w:uiPriority w:val="41"/>
    <w:rsid w:val="004E190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E1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E19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">
    <w:name w:val="List Table 3"/>
    <w:basedOn w:val="TableNormal"/>
    <w:uiPriority w:val="48"/>
    <w:rsid w:val="00BE5257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075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-Accent4">
    <w:name w:val="List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4">
    <w:name w:val="Grid Table 4 Accent 4"/>
    <w:basedOn w:val="TableNormal"/>
    <w:uiPriority w:val="49"/>
    <w:rsid w:val="005076A9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736</Words>
  <Characters>4201</Characters>
  <Application>Microsoft Office Word</Application>
  <DocSecurity>0</DocSecurity>
  <Lines>35</Lines>
  <Paragraphs>9</Paragraphs>
  <ScaleCrop>false</ScaleCrop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33496</cp:lastModifiedBy>
  <cp:revision>2</cp:revision>
  <dcterms:created xsi:type="dcterms:W3CDTF">2026-06-25T14:05:00Z</dcterms:created>
  <dcterms:modified xsi:type="dcterms:W3CDTF">2026-06-25T14:05:00Z</dcterms:modified>
</cp:coreProperties>
</file>