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32"/>
          <w:szCs w:val="32"/>
        </w:rPr>
      </w:pPr>
      <w:bookmarkStart w:colFirst="0" w:colLast="0" w:name="_k8kqwzeyws1l" w:id="0"/>
      <w:bookmarkEnd w:id="0"/>
      <w:r w:rsidDel="00000000" w:rsidR="00000000" w:rsidRPr="00000000">
        <w:rPr>
          <w:rtl w:val="0"/>
        </w:rPr>
      </w:r>
    </w:p>
    <w:p w:rsidR="00000000" w:rsidDel="00000000" w:rsidP="00000000" w:rsidRDefault="00000000" w:rsidRPr="00000000" w14:paraId="00000002">
      <w:pPr>
        <w:rPr>
          <w:b w:val="1"/>
          <w:bCs w:val="1"/>
          <w:sz w:val="32"/>
          <w:szCs w:val="32"/>
        </w:rPr>
      </w:pPr>
      <w:r w:rsidDel="00000000" w:rsidR="00000000" w:rsidRPr="00000000">
        <w:rPr>
          <w:rtl w:val="0"/>
        </w:rPr>
      </w:r>
    </w:p>
    <w:p w:rsidR="00000000" w:rsidDel="00000000" w:rsidP="00000000" w:rsidRDefault="00000000" w:rsidRPr="00000000" w14:paraId="00000003">
      <w:pPr>
        <w:rPr>
          <w:b w:val="1"/>
          <w:bCs w:val="1"/>
          <w:sz w:val="32"/>
          <w:szCs w:val="32"/>
        </w:rPr>
      </w:pPr>
      <w:r w:rsidDel="00000000" w:rsidR="00000000" w:rsidRPr="00000000">
        <w:rPr>
          <w:rtl w:val="0"/>
        </w:rPr>
      </w:r>
    </w:p>
    <w:p w:rsidR="00000000" w:rsidDel="00000000" w:rsidP="00000000" w:rsidRDefault="00000000" w:rsidRPr="00000000" w14:paraId="00000004">
      <w:pPr>
        <w:rPr>
          <w:b w:val="1"/>
          <w:bCs w:val="1"/>
          <w:sz w:val="32"/>
          <w:szCs w:val="32"/>
        </w:rPr>
      </w:pPr>
      <w:r w:rsidDel="00000000" w:rsidR="00000000" w:rsidRPr="00000000">
        <w:rPr>
          <w:rtl w:val="0"/>
        </w:rPr>
      </w:r>
    </w:p>
    <w:p w:rsidR="00000000" w:rsidDel="00000000" w:rsidP="00000000" w:rsidRDefault="00000000" w:rsidRPr="00000000" w14:paraId="00000005">
      <w:pPr>
        <w:rPr>
          <w:b w:val="1"/>
          <w:bCs w:val="1"/>
          <w:sz w:val="32"/>
          <w:szCs w:val="32"/>
        </w:rPr>
      </w:pPr>
      <w:r w:rsidDel="00000000" w:rsidR="00000000" w:rsidRPr="00000000">
        <w:rPr>
          <w:rtl w:val="0"/>
        </w:rPr>
      </w:r>
    </w:p>
    <w:p w:rsidR="00000000" w:rsidDel="00000000" w:rsidP="00000000" w:rsidRDefault="00000000" w:rsidRPr="00000000" w14:paraId="00000006">
      <w:pPr>
        <w:rPr>
          <w:b w:val="1"/>
          <w:bCs w:val="1"/>
          <w:sz w:val="32"/>
          <w:szCs w:val="32"/>
        </w:rPr>
      </w:pPr>
      <w:r w:rsidDel="00000000" w:rsidR="00000000" w:rsidRPr="00000000">
        <w:rPr>
          <w:rtl w:val="0"/>
        </w:rPr>
      </w:r>
    </w:p>
    <w:p w:rsidR="00000000" w:rsidDel="00000000" w:rsidP="00000000" w:rsidRDefault="00000000" w:rsidRPr="00000000" w14:paraId="00000007">
      <w:pPr>
        <w:jc w:val="center"/>
        <w:rPr>
          <w:b w:val="1"/>
          <w:bCs w:val="1"/>
          <w:sz w:val="32"/>
          <w:szCs w:val="32"/>
        </w:rPr>
      </w:pPr>
      <w:r w:rsidDel="00000000" w:rsidR="00000000" w:rsidRPr="00000000">
        <w:rPr>
          <w:b w:val="1"/>
          <w:bCs w:val="1"/>
          <w:sz w:val="32"/>
          <w:szCs w:val="32"/>
          <w:rtl w:val="0"/>
        </w:rPr>
        <w:t xml:space="preserve">Visitor Management and Tourism Impacts at the Taj Mahal, Agra</w:t>
      </w:r>
    </w:p>
    <w:p w:rsidR="00000000" w:rsidDel="00000000" w:rsidP="00000000" w:rsidRDefault="00000000" w:rsidRPr="00000000" w14:paraId="00000008">
      <w:pPr>
        <w:jc w:val="center"/>
        <w:rPr>
          <w:b w:val="1"/>
          <w:bCs w:val="1"/>
          <w:sz w:val="32"/>
          <w:szCs w:val="32"/>
        </w:rPr>
      </w:pPr>
      <w:r w:rsidDel="00000000" w:rsidR="00000000" w:rsidRPr="00000000">
        <w:rPr>
          <w:b w:val="1"/>
          <w:bCs w:val="1"/>
          <w:sz w:val="32"/>
          <w:szCs w:val="32"/>
          <w:rtl w:val="0"/>
        </w:rPr>
        <w:t xml:space="preserve">Jetender Singh.</w:t>
      </w:r>
    </w:p>
    <w:p w:rsidR="00000000" w:rsidDel="00000000" w:rsidP="00000000" w:rsidRDefault="00000000" w:rsidRPr="00000000" w14:paraId="00000009">
      <w:pPr>
        <w:jc w:val="center"/>
        <w:rPr>
          <w:b w:val="1"/>
          <w:bCs w:val="1"/>
          <w:sz w:val="32"/>
          <w:szCs w:val="32"/>
        </w:rPr>
      </w:pPr>
      <w:r w:rsidDel="00000000" w:rsidR="00000000" w:rsidRPr="00000000">
        <w:rPr>
          <w:b w:val="1"/>
          <w:bCs w:val="1"/>
          <w:sz w:val="32"/>
          <w:szCs w:val="32"/>
          <w:rtl w:val="0"/>
        </w:rPr>
        <w:t xml:space="preserve">DI -DE240142</w:t>
      </w:r>
    </w:p>
    <w:p w:rsidR="00000000" w:rsidDel="00000000" w:rsidP="00000000" w:rsidRDefault="00000000" w:rsidRPr="00000000" w14:paraId="0000000A">
      <w:pPr>
        <w:jc w:val="center"/>
        <w:rPr>
          <w:b w:val="1"/>
          <w:bCs w:val="1"/>
          <w:sz w:val="32"/>
          <w:szCs w:val="32"/>
        </w:rPr>
      </w:pPr>
      <w:r w:rsidDel="00000000" w:rsidR="00000000" w:rsidRPr="00000000">
        <w:rPr>
          <w:b w:val="1"/>
          <w:bCs w:val="1"/>
          <w:sz w:val="32"/>
          <w:szCs w:val="32"/>
          <w:rtl w:val="0"/>
        </w:rPr>
        <w:br w:type="textWrapping"/>
      </w:r>
    </w:p>
    <w:p w:rsidR="00000000" w:rsidDel="00000000" w:rsidP="00000000" w:rsidRDefault="00000000" w:rsidRPr="00000000" w14:paraId="0000000B">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C">
      <w:pPr>
        <w:pStyle w:val="Heading1"/>
        <w:rPr/>
      </w:pPr>
      <w:bookmarkStart w:colFirst="0" w:colLast="0" w:name="_x571qu9e1zh3" w:id="1"/>
      <w:bookmarkEnd w:id="1"/>
      <w:r w:rsidDel="00000000" w:rsidR="00000000" w:rsidRPr="00000000">
        <w:rPr>
          <w:rtl w:val="0"/>
        </w:rPr>
        <w:t xml:space="preserve">Visitor Management at the Taj Mahal</w:t>
      </w:r>
    </w:p>
    <w:p w:rsidR="00000000" w:rsidDel="00000000" w:rsidP="00000000" w:rsidRDefault="00000000" w:rsidRPr="00000000" w14:paraId="0000000D">
      <w:pPr>
        <w:rPr/>
      </w:pPr>
      <w:r w:rsidDel="00000000" w:rsidR="00000000" w:rsidRPr="00000000">
        <w:rPr>
          <w:rtl w:val="0"/>
        </w:rPr>
        <w:t xml:space="preserve">Visitor management is done prior to the tourists getting into the monument. The tickets can be obtained via approved online stores and ticket counters. The official ticketing details differentiate between domestic and foreign visitors as well as citizens of countries and states forming the SAARC and BIMSTEC. Children under the age of 15 years do not have to pay the entry fee. Other visitors who want to go into the main mausoleum need another ticket. Fridays also keep the monument closed to the general visitors (Department of Tourism, Government of Uttar Pradesh, n.d.-b).</w:t>
      </w:r>
    </w:p>
    <w:p w:rsidR="00000000" w:rsidDel="00000000" w:rsidP="00000000" w:rsidRDefault="00000000" w:rsidRPr="00000000" w14:paraId="0000000E">
      <w:pPr>
        <w:rPr/>
      </w:pPr>
      <w:r w:rsidDel="00000000" w:rsidR="00000000" w:rsidRPr="00000000">
        <w:rPr>
          <w:rtl w:val="0"/>
        </w:rPr>
        <w:t xml:space="preserve">Visitor movement is also organised in terms of the opening hours and entry points. The Taj Mahal normally opens before sunrise and closes before sunset. The east and west gates are equipped with ticketing and entry services and the south gate acts as exit at the moment. They have different queues (domestic tourists and foreign ones), which contribute to the organisation of the movements at security and entrance points (Department of Tourism, Government of Uttar Pradesh, n.d.-a).</w:t>
      </w:r>
    </w:p>
    <w:p w:rsidR="00000000" w:rsidDel="00000000" w:rsidP="00000000" w:rsidRDefault="00000000" w:rsidRPr="00000000" w14:paraId="0000000F">
      <w:pPr>
        <w:rPr/>
      </w:pPr>
      <w:r w:rsidDel="00000000" w:rsidR="00000000" w:rsidRPr="00000000">
        <w:rPr>
          <w:rtl w:val="0"/>
        </w:rPr>
        <w:t xml:space="preserve">There are definite rules that govern the behaviour of visitors. Food and cigarettes are not allowed within the complex. It is prohibited to carry items such as weapons, tobacco products, alcohol and some electronic equipment into the secured locations. Photography is forbidden in the main mausoleum, drones are forbidden on the site and in the surrounding areas. The visitor is also taught not to touch or scratch surfaces of monuments. Such controls directly mitigate any preventable harm and contribute to the security (Department of Tourism, Government of Uttar Pradesh, n.d.-a).</w:t>
      </w:r>
    </w:p>
    <w:p w:rsidR="00000000" w:rsidDel="00000000" w:rsidP="00000000" w:rsidRDefault="00000000" w:rsidRPr="00000000" w14:paraId="00000010">
      <w:pPr>
        <w:rPr/>
      </w:pPr>
      <w:r w:rsidDel="00000000" w:rsidR="00000000" w:rsidRPr="00000000">
        <w:rPr>
          <w:rtl w:val="0"/>
        </w:rPr>
        <w:t xml:space="preserve">Another significant measure is transport management. There is a limit of 500-metre around Taj Mahal to pollute vehicles. The parking space is not near the monument and battery buses and golf carts are used to move around the parking space and entrance gates. This system isolates a percentage of road traffic to the immediate heritage setting and promotes the control of pollution (Department of Tourism, Government of Uttar Pradesh, n.d.-a).</w:t>
      </w:r>
    </w:p>
    <w:p w:rsidR="00000000" w:rsidDel="00000000" w:rsidP="00000000" w:rsidRDefault="00000000" w:rsidRPr="00000000" w14:paraId="00000011">
      <w:pPr>
        <w:rPr/>
      </w:pPr>
      <w:r w:rsidDel="00000000" w:rsidR="00000000" w:rsidRPr="00000000">
        <w:rPr>
          <w:rtl w:val="0"/>
        </w:rPr>
        <w:t xml:space="preserve">The Archaeological Survey of India has the overall task of managing the complex of the Taj Mahal (Archaeological Survey of India, n.d.). According to UNESCO the monument along with the regulated environment is safeguarded through legal and regulatory frameworks. There is also a monitoring of air quality as atmospheric pollution may lead to deterioration of the materials (UNESCO World Heritage Centre, n.d.).</w:t>
      </w:r>
    </w:p>
    <w:p w:rsidR="00000000" w:rsidDel="00000000" w:rsidP="00000000" w:rsidRDefault="00000000" w:rsidRPr="00000000" w14:paraId="00000012">
      <w:pPr>
        <w:jc w:val="center"/>
        <w:rPr/>
      </w:pPr>
      <w:r w:rsidDel="00000000" w:rsidR="00000000" w:rsidRPr="00000000">
        <w:rPr/>
        <w:drawing>
          <wp:inline distB="114300" distT="114300" distL="114300" distR="114300">
            <wp:extent cx="2005013" cy="4967746"/>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05013" cy="4967746"/>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b w:val="1"/>
          <w:bCs w:val="1"/>
        </w:rPr>
      </w:pPr>
      <w:r w:rsidDel="00000000" w:rsidR="00000000" w:rsidRPr="00000000">
        <w:rPr>
          <w:b w:val="1"/>
          <w:bCs w:val="1"/>
          <w:rtl w:val="0"/>
        </w:rPr>
        <w:t xml:space="preserve">Figure 1:  Taj Mahal Visitor Management Process</w:t>
      </w:r>
    </w:p>
    <w:p w:rsidR="00000000" w:rsidDel="00000000" w:rsidP="00000000" w:rsidRDefault="00000000" w:rsidRPr="00000000" w14:paraId="00000014">
      <w:pPr>
        <w:jc w:val="center"/>
        <w:rPr/>
      </w:pPr>
      <w:r w:rsidDel="00000000" w:rsidR="00000000" w:rsidRPr="00000000">
        <w:rPr>
          <w:rtl w:val="0"/>
        </w:rPr>
        <w:t xml:space="preserve">(Source: self-created)</w:t>
      </w:r>
    </w:p>
    <w:p w:rsidR="00000000" w:rsidDel="00000000" w:rsidP="00000000" w:rsidRDefault="00000000" w:rsidRPr="00000000" w14:paraId="00000015">
      <w:pPr>
        <w:rPr/>
      </w:pPr>
      <w:r w:rsidDel="00000000" w:rsidR="00000000" w:rsidRPr="00000000">
        <w:rPr>
          <w:rtl w:val="0"/>
        </w:rPr>
        <w:t xml:space="preserve">Figure 1 illustrates the important stages of management of visitors in the Taj Mahal starting from planning and purchasing tickets, then moving onto transportation, security and entry into the monument. The figure also illustrates visitor orientation, the tour of the monument, and controlled exit from the monument.</w:t>
      </w:r>
    </w:p>
    <w:p w:rsidR="00000000" w:rsidDel="00000000" w:rsidP="00000000" w:rsidRDefault="00000000" w:rsidRPr="00000000" w14:paraId="00000016">
      <w:pPr>
        <w:pStyle w:val="Heading1"/>
        <w:rPr/>
      </w:pPr>
      <w:r w:rsidDel="00000000" w:rsidR="00000000" w:rsidRPr="00000000">
        <w:rPr>
          <w:rtl w:val="0"/>
        </w:rPr>
        <w:t xml:space="preserve">Brief Introduction to the Taj Mahal</w:t>
      </w:r>
    </w:p>
    <w:p w:rsidR="00000000" w:rsidDel="00000000" w:rsidP="00000000" w:rsidRDefault="00000000" w:rsidRPr="00000000" w14:paraId="00000017">
      <w:pPr>
        <w:rPr/>
      </w:pPr>
      <w:r w:rsidDel="00000000" w:rsidR="00000000" w:rsidRPr="00000000">
        <w:rPr>
          <w:rtl w:val="0"/>
        </w:rPr>
        <w:t xml:space="preserve">Taj Mahal is a seventeenth century Mughal site in Agra, Uttar Pradesh, India. Emperor Shah Jahan commissioned it to honour the memory of his wife Mumtaz Mahal and is commonly known by its white-marble construction, symmetry, gardens and historical significance. The monument ranks among the most renowned heritage places in India with a good cultural, architectural and tourism value. It is a UNESCO World Heritage Site too due to its outstanding universal importance. The broader complex encompasses the main tomb, mosque, guest house, main gateway, formal gardens and other related structures, which, along with the main gateway, form the integrity of the site (UNESCO World Heritage Centre, n.d.).</w:t>
      </w:r>
    </w:p>
    <w:p w:rsidR="00000000" w:rsidDel="00000000" w:rsidP="00000000" w:rsidRDefault="00000000" w:rsidRPr="00000000" w14:paraId="00000018">
      <w:pPr>
        <w:rPr/>
      </w:pPr>
      <w:r w:rsidDel="00000000" w:rsidR="00000000" w:rsidRPr="00000000">
        <w:rPr>
          <w:rtl w:val="0"/>
        </w:rPr>
        <w:t xml:space="preserve">The Taj Mahal is not just a significant tourist attraction but also a heritage site that must be conserved at all times. The significant impacts of tourism are that it contributes to cultural awareness, tourism support of local businesses, employment and tourism economy of Agra. Concurrently, high numbers of visitors may put a strain on the monument and its environment. Repeated visitor movement, crowding, traffic, pollution and inappropriate behaviour may impact on the physical state of the site, as well as the quality of the visitor experience. This means that the tourism activity should be handled with sensitivity such that the monument can be available without compromising its long term protection.</w:t>
      </w:r>
    </w:p>
    <w:p w:rsidR="00000000" w:rsidDel="00000000" w:rsidP="00000000" w:rsidRDefault="00000000" w:rsidRPr="00000000" w14:paraId="00000019">
      <w:pPr>
        <w:rPr/>
      </w:pPr>
      <w:r w:rsidDel="00000000" w:rsidR="00000000" w:rsidRPr="00000000">
        <w:rPr>
          <w:rtl w:val="0"/>
        </w:rPr>
        <w:t xml:space="preserve">The situation with conservation of the Taj Mahal is somewhat complicated due to the fact that the management of the visitors is intertwined with broader environmental and urban concerns. According to Meskell (2024), some of the issues that surround the preservation of the Taj Mahal are pollution, sustainable development, tourism and broader social and economic circumstances. Effective management cannot be achieved only by controlling visitors inside the monument. It also needs to take into consideration transport, the development around it, the quality of the environment and collaboration among responsible authorities.</w:t>
      </w:r>
    </w:p>
    <w:p w:rsidR="00000000" w:rsidDel="00000000" w:rsidP="00000000" w:rsidRDefault="00000000" w:rsidRPr="00000000" w14:paraId="0000001A">
      <w:pPr>
        <w:rPr/>
      </w:pPr>
      <w:r w:rsidDel="00000000" w:rsidR="00000000" w:rsidRPr="00000000">
        <w:rPr>
          <w:rtl w:val="0"/>
        </w:rPr>
        <w:t xml:space="preserve">The management of visitors is thus critical in the balancing between access and protection. The current management scheme comprises of ticketing, controlled entry, security check, visitor regulations, transport restrictions and conservation. The controls are aimed at minimising the damage, ensuring safety and organising visitor movement. Good management will also be necessary to keep the visitors satisfied since they want to have a safe, organised and meaningful visit. The Taj Mahal hence offers a good illustration of the necessity to tie heritage preservation, tourism demand, local interests and visitor experience into a single management system.</w:t>
      </w:r>
    </w:p>
    <w:p w:rsidR="00000000" w:rsidDel="00000000" w:rsidP="00000000" w:rsidRDefault="00000000" w:rsidRPr="00000000" w14:paraId="0000001B">
      <w:pPr>
        <w:pStyle w:val="Heading1"/>
        <w:rPr/>
      </w:pPr>
      <w:bookmarkStart w:colFirst="0" w:colLast="0" w:name="_2p15oh1h3pbw" w:id="2"/>
      <w:bookmarkEnd w:id="2"/>
      <w:r w:rsidDel="00000000" w:rsidR="00000000" w:rsidRPr="00000000">
        <w:rPr>
          <w:rtl w:val="0"/>
        </w:rPr>
        <w:t xml:space="preserve">Main Visitor Management Challenges</w:t>
      </w:r>
    </w:p>
    <w:p w:rsidR="00000000" w:rsidDel="00000000" w:rsidP="00000000" w:rsidRDefault="00000000" w:rsidRPr="00000000" w14:paraId="0000001C">
      <w:pPr>
        <w:rPr/>
      </w:pPr>
      <w:r w:rsidDel="00000000" w:rsidR="00000000" w:rsidRPr="00000000">
        <w:rPr>
          <w:rtl w:val="0"/>
        </w:rPr>
        <w:t xml:space="preserve">Balancing access to the site with the protection of a fragile heritage site is a big problem at the Taj Mahal. Big crowds visit the monument causing a strain on entrances, walkways, viewing platforms and the mausoleum. Increased visitor flow may also cause physical damage and result in more challenging behaviour management by the staffs in sensitive sections. The management of heritage tourism must therefore be done carefully so that visitors may be able to view the site without damaging it in such a way that it becomes permanent. According to Timothy, Erdoğan and Samuels (2024), archaeological heritage tourism has to strike a balance between tourism utilization and preservation of the cultural and physical heritage.</w:t>
      </w:r>
    </w:p>
    <w:p w:rsidR="00000000" w:rsidDel="00000000" w:rsidP="00000000" w:rsidRDefault="00000000" w:rsidRPr="00000000" w14:paraId="0000001D">
      <w:pPr>
        <w:rPr/>
      </w:pPr>
      <w:r w:rsidDel="00000000" w:rsidR="00000000" w:rsidRPr="00000000">
        <w:rPr>
          <w:rtl w:val="0"/>
        </w:rPr>
        <w:t xml:space="preserve">Another critical challenge is pollution. Traffic in Agra is caused by tourist, business and urban development activities. The emissions of vehicles may elevate the concentration of the particulate matter and other pollutants in the environment around. This raises issues of both health and heritage conservation. According to Tomar (2025), one of the greatest concerns of environment in Agra is vehicular pollution and attributes it to adverse impacts on the residents, tourists and significant heritage sites. As such, managing traffic near the Taj Mahal is still a significant aspect of visitor management.</w:t>
      </w:r>
    </w:p>
    <w:p w:rsidR="00000000" w:rsidDel="00000000" w:rsidP="00000000" w:rsidRDefault="00000000" w:rsidRPr="00000000" w14:paraId="0000001E">
      <w:pPr>
        <w:rPr/>
      </w:pPr>
      <w:r w:rsidDel="00000000" w:rsidR="00000000" w:rsidRPr="00000000">
        <w:rPr>
          <w:rtl w:val="0"/>
        </w:rPr>
        <w:t xml:space="preserve">It is not just a matter of policing the vehicles of tourists around the monument. The urban development, the environmental quality and government policy is also influenced in heritage protection. According to </w:t>
      </w:r>
      <w:r w:rsidDel="00000000" w:rsidR="00000000" w:rsidRPr="00000000">
        <w:rPr>
          <w:color w:val="222222"/>
          <w:rtl w:val="0"/>
        </w:rPr>
        <w:t xml:space="preserve">Meskell</w:t>
      </w:r>
      <w:r w:rsidDel="00000000" w:rsidR="00000000" w:rsidRPr="00000000">
        <w:rPr>
          <w:rtl w:val="0"/>
        </w:rPr>
        <w:t xml:space="preserve"> (2024), Taj Mahal conservation is a complex challenge as all the connecting factors are pollution, development, tourism and political interest. This implies that entry limitations or ticket controls cannot be sufficient. Transport planning, pollution monitoring, and land-use control and collaboration among the various authorities are also necessary to ensure proper management.</w:t>
      </w:r>
    </w:p>
    <w:p w:rsidR="00000000" w:rsidDel="00000000" w:rsidP="00000000" w:rsidRDefault="00000000" w:rsidRPr="00000000" w14:paraId="0000001F">
      <w:pPr>
        <w:rPr/>
      </w:pPr>
      <w:r w:rsidDel="00000000" w:rsidR="00000000" w:rsidRPr="00000000">
        <w:rPr>
          <w:rtl w:val="0"/>
        </w:rPr>
        <w:t xml:space="preserve">Visitor experience is another challenge. Security and conservation need a strict set of rules, but they may cause inconvenience to tourists as well. Security inspections, controlled access, lines and restricted access can make the wait longer especially during peak times. The managers must thus ensure security without unduly compromising on visitor comfort. According to He and Timothy (2024), tourists appreciate authenticity and comfort in their places of visit. In the case of the Taj Mahal, dissatisfaction could be experienced due to poor management of the crowd or lengthy queues despite a high appeal of the monument itself. The only concern is therefore to ensure that the heritage site is not damaged but at the same time has safe, well-organised and satisfactory access by the visitors.</w:t>
      </w:r>
    </w:p>
    <w:p w:rsidR="00000000" w:rsidDel="00000000" w:rsidP="00000000" w:rsidRDefault="00000000" w:rsidRPr="00000000" w14:paraId="00000020">
      <w:pPr>
        <w:pStyle w:val="Heading1"/>
        <w:rPr/>
      </w:pPr>
      <w:bookmarkStart w:colFirst="0" w:colLast="0" w:name="_z8jqtpgle8ek" w:id="3"/>
      <w:bookmarkEnd w:id="3"/>
      <w:r w:rsidDel="00000000" w:rsidR="00000000" w:rsidRPr="00000000">
        <w:rPr>
          <w:rtl w:val="0"/>
        </w:rPr>
        <w:t xml:space="preserve">The potential impacts of visitors on the site, local community, and visitor experience</w:t>
      </w:r>
    </w:p>
    <w:p w:rsidR="00000000" w:rsidDel="00000000" w:rsidP="00000000" w:rsidRDefault="00000000" w:rsidRPr="00000000" w14:paraId="00000021">
      <w:pPr>
        <w:pStyle w:val="Heading2"/>
        <w:rPr/>
      </w:pPr>
      <w:r w:rsidDel="00000000" w:rsidR="00000000" w:rsidRPr="00000000">
        <w:rPr>
          <w:rtl w:val="0"/>
        </w:rPr>
        <w:t xml:space="preserve">Impact on the Heritage Site</w:t>
      </w:r>
    </w:p>
    <w:p w:rsidR="00000000" w:rsidDel="00000000" w:rsidP="00000000" w:rsidRDefault="00000000" w:rsidRPr="00000000" w14:paraId="00000022">
      <w:pPr>
        <w:rPr/>
      </w:pPr>
      <w:r w:rsidDel="00000000" w:rsidR="00000000" w:rsidRPr="00000000">
        <w:rPr>
          <w:rtl w:val="0"/>
        </w:rPr>
        <w:t xml:space="preserve">The Taj Mahal is faced with both benefits and pressures brought about by tourism. The national and international significance of the monument is reinforced by the interest of the visitors and helps to sustain the focus on the preservation of the monument. Heritage tourism can help governments and institutions to preserve important cultural resources since the sites not only have cultural value, but also tourism value. Arumugam, Nakkeeran and </w:t>
      </w:r>
      <w:r w:rsidDel="00000000" w:rsidR="00000000" w:rsidRPr="00000000">
        <w:rPr>
          <w:color w:val="222222"/>
          <w:rtl w:val="0"/>
        </w:rPr>
        <w:t xml:space="preserve">Subramaniam </w:t>
      </w:r>
      <w:r w:rsidDel="00000000" w:rsidR="00000000" w:rsidRPr="00000000">
        <w:rPr>
          <w:rtl w:val="0"/>
        </w:rPr>
        <w:t xml:space="preserve">(2023) distinguish between the elements of the successful heritage tourism heritage resources, tourism development and destination conditions.</w:t>
      </w:r>
    </w:p>
    <w:p w:rsidR="00000000" w:rsidDel="00000000" w:rsidP="00000000" w:rsidRDefault="00000000" w:rsidRPr="00000000" w14:paraId="00000023">
      <w:pPr>
        <w:rPr/>
      </w:pPr>
      <w:r w:rsidDel="00000000" w:rsidR="00000000" w:rsidRPr="00000000">
        <w:rPr>
          <w:rtl w:val="0"/>
        </w:rPr>
        <w:t xml:space="preserve">Nonetheless, the high number of visitors also comes with the physical and environmental stress. The contact with surfaces, waste, movement and pressure on facilities should be constantly monitored. Prohibitions of touching monument surfaces, eating, smoking and carrying specific objects thus have a direct conservation intent.</w:t>
      </w:r>
    </w:p>
    <w:p w:rsidR="00000000" w:rsidDel="00000000" w:rsidP="00000000" w:rsidRDefault="00000000" w:rsidRPr="00000000" w14:paraId="00000024">
      <w:pPr>
        <w:rPr/>
      </w:pPr>
      <w:r w:rsidDel="00000000" w:rsidR="00000000" w:rsidRPr="00000000">
        <w:rPr>
          <w:rtl w:val="0"/>
        </w:rPr>
        <w:t xml:space="preserve">The monument is faced with a greater risk due to air pollution. According to UNESCO, the air-quality monitoring serves to detect the risks of atmospheric deterioration, whereas the rest of the buffer area needs to be controlled to safeguard the setting of the property (UNESCO World Heritage Centre, n.d.).</w:t>
      </w:r>
    </w:p>
    <w:p w:rsidR="00000000" w:rsidDel="00000000" w:rsidP="00000000" w:rsidRDefault="00000000" w:rsidRPr="00000000" w14:paraId="00000025">
      <w:pPr>
        <w:pStyle w:val="Heading2"/>
        <w:rPr/>
      </w:pPr>
      <w:bookmarkStart w:colFirst="0" w:colLast="0" w:name="_i1dm65vkc92e" w:id="4"/>
      <w:bookmarkEnd w:id="4"/>
      <w:r w:rsidDel="00000000" w:rsidR="00000000" w:rsidRPr="00000000">
        <w:rPr>
          <w:rtl w:val="0"/>
        </w:rPr>
        <w:t xml:space="preserve">Impact on the Local Community</w:t>
      </w:r>
    </w:p>
    <w:p w:rsidR="00000000" w:rsidDel="00000000" w:rsidP="00000000" w:rsidRDefault="00000000" w:rsidRPr="00000000" w14:paraId="00000026">
      <w:pPr>
        <w:rPr/>
      </w:pPr>
      <w:r w:rsidDel="00000000" w:rsidR="00000000" w:rsidRPr="00000000">
        <w:rPr>
          <w:rtl w:val="0"/>
        </w:rPr>
        <w:t xml:space="preserve">Tourism related to the Taj Mahal has the potential to sustain economic activity within Agra by providing accommodation services, food services, guiding and transport services, retail and other services to visitors. This can be good since local business may gain when the visitors stay in the city and buy goods or services instead of paying a onetime visit to the monument.</w:t>
      </w:r>
    </w:p>
    <w:p w:rsidR="00000000" w:rsidDel="00000000" w:rsidP="00000000" w:rsidRDefault="00000000" w:rsidRPr="00000000" w14:paraId="00000027">
      <w:pPr>
        <w:rPr/>
      </w:pPr>
      <w:r w:rsidDel="00000000" w:rsidR="00000000" w:rsidRPr="00000000">
        <w:rPr>
          <w:rtl w:val="0"/>
        </w:rPr>
        <w:t xml:space="preserve">Nonetheless, tourism imposes expenditures on the society as well. The local environmental quality might be decreased by traffic congestion, air pollution, stress on the public space and the intensive commercial activity. According to Tomar (2025), tourism and broader urban and commercial development are linked with traffic and vehicular pollution in Agra.</w:t>
      </w:r>
    </w:p>
    <w:p w:rsidR="00000000" w:rsidDel="00000000" w:rsidP="00000000" w:rsidRDefault="00000000" w:rsidRPr="00000000" w14:paraId="00000028">
      <w:pPr>
        <w:rPr/>
      </w:pPr>
      <w:r w:rsidDel="00000000" w:rsidR="00000000" w:rsidRPr="00000000">
        <w:rPr>
          <w:rtl w:val="0"/>
        </w:rPr>
        <w:t xml:space="preserve">The local people should also be viewed as part of the decisions made in heritage-management as opposed to being viewed as a mere workforce in the tourism industry. A literature review of sustainable heritage tourism indicates that communities can identify economic and cultural potentials whilst at the same time voicing their concern over environmental effects and disturbance of local livelihood (Phori, Hermann and Grobbelaar, 2024). Although that study has been performed in another geographical area, the principles of community-based work can be applied in the case of an analysis of sustainable heritage management in Agra.</w:t>
      </w:r>
    </w:p>
    <w:p w:rsidR="00000000" w:rsidDel="00000000" w:rsidP="00000000" w:rsidRDefault="00000000" w:rsidRPr="00000000" w14:paraId="00000029">
      <w:pPr>
        <w:pStyle w:val="Heading2"/>
        <w:rPr/>
      </w:pPr>
      <w:bookmarkStart w:colFirst="0" w:colLast="0" w:name="_k4cw71x6zsiq" w:id="5"/>
      <w:bookmarkEnd w:id="5"/>
      <w:r w:rsidDel="00000000" w:rsidR="00000000" w:rsidRPr="00000000">
        <w:rPr>
          <w:rtl w:val="0"/>
        </w:rPr>
        <w:t xml:space="preserve">Impact on Visitor Experience</w:t>
      </w:r>
    </w:p>
    <w:p w:rsidR="00000000" w:rsidDel="00000000" w:rsidP="00000000" w:rsidRDefault="00000000" w:rsidRPr="00000000" w14:paraId="0000002A">
      <w:pPr>
        <w:rPr/>
      </w:pPr>
      <w:r w:rsidDel="00000000" w:rsidR="00000000" w:rsidRPr="00000000">
        <w:rPr>
          <w:rtl w:val="0"/>
        </w:rPr>
        <w:t xml:space="preserve">With a well-managed visit, safety, understanding and satisfaction can be enhanced. The site can be made easier by including ticketing information, approved guides, maps, shoe racks, cloakrooms, wheelchair provision, low-emission transport, and organised queues. These services are especially crucial since visitors come at varying degrees of mobility, knowledge and familiarity with the destination.</w:t>
      </w:r>
    </w:p>
    <w:p w:rsidR="00000000" w:rsidDel="00000000" w:rsidP="00000000" w:rsidRDefault="00000000" w:rsidRPr="00000000" w14:paraId="0000002B">
      <w:pPr>
        <w:rPr/>
      </w:pPr>
      <w:r w:rsidDel="00000000" w:rsidR="00000000" w:rsidRPr="00000000">
        <w:rPr>
          <w:rtl w:val="0"/>
        </w:rPr>
        <w:t xml:space="preserve">The perception of visitors will also need monitoring since the quality of management has a bearing on the reputation of the place. Gulati (2022) investigated the sentiment on social-media on major Indian heritage sites, such as the Taj Mahal, revealing that online visitor reviews can be used to furnish valuable tourism-management data.</w:t>
      </w:r>
    </w:p>
    <w:p w:rsidR="00000000" w:rsidDel="00000000" w:rsidP="00000000" w:rsidRDefault="00000000" w:rsidRPr="00000000" w14:paraId="0000002C">
      <w:pPr>
        <w:rPr/>
      </w:pPr>
      <w:r w:rsidDel="00000000" w:rsidR="00000000" w:rsidRPr="00000000">
        <w:rPr>
          <w:rtl w:val="0"/>
        </w:rPr>
        <w:t xml:space="preserve">In the same manner, the results of the online review analysis by Riswanto, Kim and Kim (2023) indicate the importance of determining the elements, which influence satisfaction levels in Indian cultural tourism sites.  For the Taj Mahal, long waiting time and overcrowding or inefficient flow may decrease satisfaction of the monument although this may not decrease its high esteem. Visitor management must thus preserve the physical location and yet be able to retain a reasonable level of comfort, accessibility and readability.</w:t>
      </w:r>
    </w:p>
    <w:tbl>
      <w:tblPr>
        <w:tblStyle w:val="Table1"/>
        <w:tblW w:w="719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90"/>
        <w:gridCol w:w="1865"/>
        <w:gridCol w:w="1565"/>
        <w:gridCol w:w="2270"/>
        <w:tblGridChange w:id="0">
          <w:tblGrid>
            <w:gridCol w:w="1490"/>
            <w:gridCol w:w="1865"/>
            <w:gridCol w:w="1565"/>
            <w:gridCol w:w="227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D">
            <w:pPr>
              <w:jc w:val="center"/>
              <w:rPr/>
            </w:pPr>
            <w:r w:rsidDel="00000000" w:rsidR="00000000" w:rsidRPr="00000000">
              <w:rPr>
                <w:b w:val="1"/>
                <w:bCs w:val="1"/>
                <w:rtl w:val="0"/>
              </w:rPr>
              <w:t xml:space="preserve">Area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E">
            <w:pPr>
              <w:jc w:val="center"/>
              <w:rPr/>
            </w:pPr>
            <w:r w:rsidDel="00000000" w:rsidR="00000000" w:rsidRPr="00000000">
              <w:rPr>
                <w:b w:val="1"/>
                <w:bCs w:val="1"/>
                <w:rtl w:val="0"/>
              </w:rPr>
              <w:t xml:space="preserve">Positive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F">
            <w:pPr>
              <w:jc w:val="center"/>
              <w:rPr/>
            </w:pPr>
            <w:r w:rsidDel="00000000" w:rsidR="00000000" w:rsidRPr="00000000">
              <w:rPr>
                <w:b w:val="1"/>
                <w:bCs w:val="1"/>
                <w:rtl w:val="0"/>
              </w:rPr>
              <w:t xml:space="preserve">Negative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0">
            <w:pPr>
              <w:jc w:val="center"/>
              <w:rPr/>
            </w:pPr>
            <w:r w:rsidDel="00000000" w:rsidR="00000000" w:rsidRPr="00000000">
              <w:rPr>
                <w:b w:val="1"/>
                <w:bCs w:val="1"/>
                <w:rtl w:val="0"/>
              </w:rPr>
              <w:t xml:space="preserve">Response</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1">
            <w:pPr>
              <w:rPr/>
            </w:pPr>
            <w:r w:rsidDel="00000000" w:rsidR="00000000" w:rsidRPr="00000000">
              <w:rPr>
                <w:rtl w:val="0"/>
              </w:rPr>
              <w:t xml:space="preserve">Heritage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2">
            <w:pPr>
              <w:rPr/>
            </w:pPr>
            <w:r w:rsidDel="00000000" w:rsidR="00000000" w:rsidRPr="00000000">
              <w:rPr>
                <w:rtl w:val="0"/>
              </w:rPr>
              <w:t xml:space="preserve">Awareness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3">
            <w:pPr>
              <w:rPr/>
            </w:pPr>
            <w:r w:rsidDel="00000000" w:rsidR="00000000" w:rsidRPr="00000000">
              <w:rPr>
                <w:rtl w:val="0"/>
              </w:rPr>
              <w:t xml:space="preserve">Physical wear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4">
            <w:pPr>
              <w:rPr/>
            </w:pPr>
            <w:r w:rsidDel="00000000" w:rsidR="00000000" w:rsidRPr="00000000">
              <w:rPr>
                <w:rtl w:val="0"/>
              </w:rPr>
              <w:t xml:space="preserve">Site protection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5">
            <w:pPr>
              <w:rPr/>
            </w:pPr>
            <w:r w:rsidDel="00000000" w:rsidR="00000000" w:rsidRPr="00000000">
              <w:rPr>
                <w:rtl w:val="0"/>
              </w:rPr>
              <w:t xml:space="preserve">Environment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6">
            <w:pPr>
              <w:rPr/>
            </w:pPr>
            <w:r w:rsidDel="00000000" w:rsidR="00000000" w:rsidRPr="00000000">
              <w:rPr>
                <w:rtl w:val="0"/>
              </w:rPr>
              <w:t xml:space="preserve">Sustainability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7">
            <w:pPr>
              <w:rPr/>
            </w:pPr>
            <w:r w:rsidDel="00000000" w:rsidR="00000000" w:rsidRPr="00000000">
              <w:rPr>
                <w:rtl w:val="0"/>
              </w:rPr>
              <w:t xml:space="preserve">Air pollution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8">
            <w:pPr>
              <w:rPr/>
            </w:pPr>
            <w:r w:rsidDel="00000000" w:rsidR="00000000" w:rsidRPr="00000000">
              <w:rPr>
                <w:rtl w:val="0"/>
              </w:rPr>
              <w:t xml:space="preserve">Pollution control</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9">
            <w:pPr>
              <w:rPr/>
            </w:pPr>
            <w:r w:rsidDel="00000000" w:rsidR="00000000" w:rsidRPr="00000000">
              <w:rPr>
                <w:rtl w:val="0"/>
              </w:rPr>
              <w:t xml:space="preserve">Community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A">
            <w:pPr>
              <w:rPr/>
            </w:pPr>
            <w:r w:rsidDel="00000000" w:rsidR="00000000" w:rsidRPr="00000000">
              <w:rPr>
                <w:rtl w:val="0"/>
              </w:rPr>
              <w:t xml:space="preserve">Jobs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B">
            <w:pPr>
              <w:rPr/>
            </w:pPr>
            <w:r w:rsidDel="00000000" w:rsidR="00000000" w:rsidRPr="00000000">
              <w:rPr>
                <w:rtl w:val="0"/>
              </w:rPr>
              <w:t xml:space="preserve">Congestion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C">
            <w:pPr>
              <w:rPr/>
            </w:pPr>
            <w:r w:rsidDel="00000000" w:rsidR="00000000" w:rsidRPr="00000000">
              <w:rPr>
                <w:rtl w:val="0"/>
              </w:rPr>
              <w:t xml:space="preserve">Community planning</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D">
            <w:pPr>
              <w:rPr/>
            </w:pPr>
            <w:r w:rsidDel="00000000" w:rsidR="00000000" w:rsidRPr="00000000">
              <w:rPr>
                <w:rtl w:val="0"/>
              </w:rPr>
              <w:t xml:space="preserve">Experience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E">
            <w:pPr>
              <w:rPr/>
            </w:pPr>
            <w:r w:rsidDel="00000000" w:rsidR="00000000" w:rsidRPr="00000000">
              <w:rPr>
                <w:rtl w:val="0"/>
              </w:rPr>
              <w:t xml:space="preserve">Cultural learning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F">
            <w:pPr>
              <w:rPr/>
            </w:pPr>
            <w:r w:rsidDel="00000000" w:rsidR="00000000" w:rsidRPr="00000000">
              <w:rPr>
                <w:rtl w:val="0"/>
              </w:rPr>
              <w:t xml:space="preserve">Long queues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0">
            <w:pPr>
              <w:rPr/>
            </w:pPr>
            <w:r w:rsidDel="00000000" w:rsidR="00000000" w:rsidRPr="00000000">
              <w:rPr>
                <w:rtl w:val="0"/>
              </w:rPr>
              <w:t xml:space="preserve">Crowd control</w:t>
            </w:r>
          </w:p>
        </w:tc>
      </w:tr>
    </w:tbl>
    <w:p w:rsidR="00000000" w:rsidDel="00000000" w:rsidP="00000000" w:rsidRDefault="00000000" w:rsidRPr="00000000" w14:paraId="00000041">
      <w:pPr>
        <w:jc w:val="center"/>
        <w:rPr/>
      </w:pPr>
      <w:r w:rsidDel="00000000" w:rsidR="00000000" w:rsidRPr="00000000">
        <w:rPr>
          <w:b w:val="1"/>
          <w:bCs w:val="1"/>
          <w:rtl w:val="0"/>
        </w:rPr>
        <w:t xml:space="preserve">Table 2: Visitor Impacts and Management Implications</w:t>
      </w:r>
      <w:r w:rsidDel="00000000" w:rsidR="00000000" w:rsidRPr="00000000">
        <w:rPr>
          <w:rtl w:val="0"/>
        </w:rPr>
      </w:r>
    </w:p>
    <w:p w:rsidR="00000000" w:rsidDel="00000000" w:rsidP="00000000" w:rsidRDefault="00000000" w:rsidRPr="00000000" w14:paraId="00000042">
      <w:pPr>
        <w:pStyle w:val="Heading1"/>
        <w:rPr/>
      </w:pPr>
      <w:bookmarkStart w:colFirst="0" w:colLast="0" w:name="_c0u9ohowxf50" w:id="6"/>
      <w:bookmarkEnd w:id="6"/>
      <w:r w:rsidDel="00000000" w:rsidR="00000000" w:rsidRPr="00000000">
        <w:br w:type="page"/>
      </w:r>
      <w:r w:rsidDel="00000000" w:rsidR="00000000" w:rsidRPr="00000000">
        <w:rPr>
          <w:rtl w:val="0"/>
        </w:rPr>
      </w:r>
    </w:p>
    <w:p w:rsidR="00000000" w:rsidDel="00000000" w:rsidP="00000000" w:rsidRDefault="00000000" w:rsidRPr="00000000" w14:paraId="00000043">
      <w:pPr>
        <w:pStyle w:val="Heading1"/>
        <w:rPr/>
      </w:pPr>
      <w:bookmarkStart w:colFirst="0" w:colLast="0" w:name="_aes5gas16rca" w:id="7"/>
      <w:bookmarkEnd w:id="7"/>
      <w:r w:rsidDel="00000000" w:rsidR="00000000" w:rsidRPr="00000000">
        <w:rPr>
          <w:rtl w:val="0"/>
        </w:rPr>
        <w:t xml:space="preserve">References</w:t>
      </w:r>
    </w:p>
    <w:p w:rsidR="00000000" w:rsidDel="00000000" w:rsidP="00000000" w:rsidRDefault="00000000" w:rsidRPr="00000000" w14:paraId="00000044">
      <w:pPr>
        <w:spacing w:before="240" w:lineRule="auto"/>
        <w:rPr/>
      </w:pPr>
      <w:r w:rsidDel="00000000" w:rsidR="00000000" w:rsidRPr="00000000">
        <w:rPr>
          <w:rtl w:val="0"/>
        </w:rPr>
        <w:t xml:space="preserve">Archaeological Survey of India (n.d.) </w:t>
      </w:r>
      <w:r w:rsidDel="00000000" w:rsidR="00000000" w:rsidRPr="00000000">
        <w:rPr>
          <w:i w:val="1"/>
          <w:iCs w:val="1"/>
          <w:rtl w:val="0"/>
        </w:rPr>
        <w:t xml:space="preserve">Archaeological Survey of India</w:t>
      </w:r>
      <w:r w:rsidDel="00000000" w:rsidR="00000000" w:rsidRPr="00000000">
        <w:rPr>
          <w:rtl w:val="0"/>
        </w:rPr>
        <w:t xml:space="preserve">. Available at:</w:t>
      </w:r>
      <w:hyperlink r:id="rId7">
        <w:r w:rsidDel="00000000" w:rsidR="00000000" w:rsidRPr="00000000">
          <w:rPr>
            <w:rtl w:val="0"/>
          </w:rPr>
          <w:t xml:space="preserve"> </w:t>
        </w:r>
      </w:hyperlink>
      <w:hyperlink r:id="rId8">
        <w:r w:rsidDel="00000000" w:rsidR="00000000" w:rsidRPr="00000000">
          <w:rPr>
            <w:color w:val="1155cc"/>
            <w:u w:val="single"/>
            <w:rtl w:val="0"/>
          </w:rPr>
          <w:t xml:space="preserve">https://asi.nic.in/</w:t>
        </w:r>
      </w:hyperlink>
      <w:r w:rsidDel="00000000" w:rsidR="00000000" w:rsidRPr="00000000">
        <w:rPr>
          <w:color w:val="1155cc"/>
          <w:u w:val="single"/>
          <w:rtl w:val="0"/>
        </w:rPr>
        <w:t xml:space="preserve"> </w:t>
      </w:r>
      <w:r w:rsidDel="00000000" w:rsidR="00000000" w:rsidRPr="00000000">
        <w:rPr>
          <w:rtl w:val="0"/>
        </w:rPr>
        <w:t xml:space="preserve">(Accessed: 28 September 2026).</w:t>
      </w:r>
    </w:p>
    <w:p w:rsidR="00000000" w:rsidDel="00000000" w:rsidP="00000000" w:rsidRDefault="00000000" w:rsidRPr="00000000" w14:paraId="00000045">
      <w:pPr>
        <w:spacing w:before="240" w:lineRule="auto"/>
        <w:rPr>
          <w:color w:val="1155cc"/>
          <w:u w:val="single"/>
        </w:rPr>
      </w:pPr>
      <w:r w:rsidDel="00000000" w:rsidR="00000000" w:rsidRPr="00000000">
        <w:rPr>
          <w:color w:val="222222"/>
          <w:rtl w:val="0"/>
        </w:rPr>
        <w:t xml:space="preserve">Arumugam, A., Nakkeeran, S. and Subramaniam, R., 2023. Exploring the factors influencing heritage tourism development: A model development.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(15), p.11986.</w:t>
      </w:r>
      <w:hyperlink r:id="rId9">
        <w:r w:rsidDel="00000000" w:rsidR="00000000" w:rsidRPr="00000000">
          <w:rPr>
            <w:rtl w:val="0"/>
          </w:rPr>
          <w:t xml:space="preserve"> </w:t>
        </w:r>
      </w:hyperlink>
      <w:hyperlink r:id="rId10">
        <w:r w:rsidDel="00000000" w:rsidR="00000000" w:rsidRPr="00000000">
          <w:rPr>
            <w:color w:val="1155cc"/>
            <w:u w:val="single"/>
            <w:rtl w:val="0"/>
          </w:rPr>
          <w:t xml:space="preserve">https://doi.org/10.3390/su151511986</w:t>
        </w:r>
      </w:hyperlink>
      <w:r w:rsidDel="00000000" w:rsidR="00000000" w:rsidRPr="00000000">
        <w:rPr>
          <w:rtl w:val="0"/>
        </w:rPr>
      </w:r>
    </w:p>
    <w:p w:rsidR="00000000" w:rsidDel="00000000" w:rsidP="00000000" w:rsidRDefault="00000000" w:rsidRPr="00000000" w14:paraId="00000046">
      <w:pPr>
        <w:spacing w:before="240" w:lineRule="auto"/>
        <w:rPr/>
      </w:pPr>
      <w:r w:rsidDel="00000000" w:rsidR="00000000" w:rsidRPr="00000000">
        <w:rPr>
          <w:rtl w:val="0"/>
        </w:rPr>
        <w:t xml:space="preserve">Department of Tourism, Government of Uttar Pradesh (n.d.-a) </w:t>
      </w:r>
      <w:r w:rsidDel="00000000" w:rsidR="00000000" w:rsidRPr="00000000">
        <w:rPr>
          <w:i w:val="1"/>
          <w:iCs w:val="1"/>
          <w:rtl w:val="0"/>
        </w:rPr>
        <w:t xml:space="preserve">Taj Mahal – Official Website</w:t>
      </w:r>
      <w:r w:rsidDel="00000000" w:rsidR="00000000" w:rsidRPr="00000000">
        <w:rPr>
          <w:rtl w:val="0"/>
        </w:rPr>
        <w:t xml:space="preserve">. Available at: </w:t>
      </w:r>
      <w:hyperlink r:id="rId11">
        <w:r w:rsidDel="00000000" w:rsidR="00000000" w:rsidRPr="00000000">
          <w:rPr>
            <w:color w:val="0000ff"/>
            <w:u w:val="single"/>
            <w:rtl w:val="0"/>
          </w:rPr>
          <w:t xml:space="preserve">https://www.tajmahal.gov.in/</w:t>
        </w:r>
      </w:hyperlink>
      <w:r w:rsidDel="00000000" w:rsidR="00000000" w:rsidRPr="00000000">
        <w:rPr>
          <w:rtl w:val="0"/>
        </w:rPr>
        <w:t xml:space="preserve"> (Accessed: 28 September 2026).</w:t>
      </w:r>
    </w:p>
    <w:p w:rsidR="00000000" w:rsidDel="00000000" w:rsidP="00000000" w:rsidRDefault="00000000" w:rsidRPr="00000000" w14:paraId="00000047">
      <w:pPr>
        <w:spacing w:before="240" w:lineRule="auto"/>
        <w:rPr/>
      </w:pPr>
      <w:r w:rsidDel="00000000" w:rsidR="00000000" w:rsidRPr="00000000">
        <w:rPr>
          <w:rtl w:val="0"/>
        </w:rPr>
        <w:t xml:space="preserve">Department of Tourism, Government of Uttar Pradesh (n.d.-b) </w:t>
      </w:r>
      <w:r w:rsidDel="00000000" w:rsidR="00000000" w:rsidRPr="00000000">
        <w:rPr>
          <w:i w:val="1"/>
          <w:iCs w:val="1"/>
          <w:rtl w:val="0"/>
        </w:rPr>
        <w:t xml:space="preserve">Ticketing – Taj Mahal</w:t>
      </w:r>
      <w:r w:rsidDel="00000000" w:rsidR="00000000" w:rsidRPr="00000000">
        <w:rPr>
          <w:rtl w:val="0"/>
        </w:rPr>
        <w:t xml:space="preserve">. Available at:</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https://tajmahal.gov.in/ticketing.aspx/</w:t>
        </w:r>
      </w:hyperlink>
      <w:r w:rsidDel="00000000" w:rsidR="00000000" w:rsidRPr="00000000">
        <w:rPr>
          <w:rtl w:val="0"/>
        </w:rPr>
        <w:t xml:space="preserve"> (Accessed: 28 September 2026).</w:t>
      </w:r>
    </w:p>
    <w:p w:rsidR="00000000" w:rsidDel="00000000" w:rsidP="00000000" w:rsidRDefault="00000000" w:rsidRPr="00000000" w14:paraId="00000048">
      <w:pPr>
        <w:spacing w:before="240" w:lineRule="auto"/>
        <w:rPr>
          <w:color w:val="1155cc"/>
          <w:u w:val="single"/>
        </w:rPr>
      </w:pPr>
      <w:r w:rsidDel="00000000" w:rsidR="00000000" w:rsidRPr="00000000">
        <w:rPr>
          <w:color w:val="222222"/>
          <w:rtl w:val="0"/>
        </w:rPr>
        <w:t xml:space="preserve">Gulati, S., 2022. Tapping public sentiments on Twitter for tourism insights: a study of famous Indian heritage sites. </w:t>
      </w:r>
      <w:r w:rsidDel="00000000" w:rsidR="00000000" w:rsidRPr="00000000">
        <w:rPr>
          <w:i w:val="1"/>
          <w:iCs w:val="1"/>
          <w:rtl w:val="0"/>
        </w:rPr>
        <w:t xml:space="preserve">International Hospitality Review</w:t>
      </w:r>
      <w:r w:rsidDel="00000000" w:rsidR="00000000" w:rsidRPr="00000000">
        <w:rPr>
          <w:rtl w:val="0"/>
        </w:rPr>
        <w:t xml:space="preserve">, </w:t>
      </w:r>
      <w:r w:rsidDel="00000000" w:rsidR="00000000" w:rsidRPr="00000000">
        <w:rPr>
          <w:i w:val="1"/>
          <w:iCs w:val="1"/>
          <w:rtl w:val="0"/>
        </w:rPr>
        <w:t xml:space="preserve">36</w:t>
      </w:r>
      <w:r w:rsidDel="00000000" w:rsidR="00000000" w:rsidRPr="00000000">
        <w:rPr>
          <w:rtl w:val="0"/>
        </w:rPr>
        <w:t xml:space="preserve">(2), pp.244-257.</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https://doi.org/10.1108/IHR-03-2021-0021</w:t>
        </w:r>
      </w:hyperlink>
      <w:r w:rsidDel="00000000" w:rsidR="00000000" w:rsidRPr="00000000">
        <w:rPr>
          <w:rtl w:val="0"/>
        </w:rPr>
      </w:r>
    </w:p>
    <w:p w:rsidR="00000000" w:rsidDel="00000000" w:rsidP="00000000" w:rsidRDefault="00000000" w:rsidRPr="00000000" w14:paraId="00000049">
      <w:pPr>
        <w:spacing w:before="240" w:lineRule="auto"/>
        <w:rPr>
          <w:color w:val="1155cc"/>
          <w:u w:val="single"/>
        </w:rPr>
      </w:pPr>
      <w:r w:rsidDel="00000000" w:rsidR="00000000" w:rsidRPr="00000000">
        <w:rPr>
          <w:color w:val="222222"/>
          <w:rtl w:val="0"/>
        </w:rPr>
        <w:t xml:space="preserve">He, L. and Timothy, D.J., 2024. Authentic or comfortable? What tourists want in the destination. </w:t>
      </w:r>
      <w:r w:rsidDel="00000000" w:rsidR="00000000" w:rsidRPr="00000000">
        <w:rPr>
          <w:i w:val="1"/>
          <w:iCs w:val="1"/>
          <w:rtl w:val="0"/>
        </w:rPr>
        <w:t xml:space="preserve">Frontiers in sustainable tourism</w:t>
      </w:r>
      <w:r w:rsidDel="00000000" w:rsidR="00000000" w:rsidRPr="00000000">
        <w:rPr>
          <w:rtl w:val="0"/>
        </w:rPr>
        <w:t xml:space="preserve">, </w:t>
      </w:r>
      <w:r w:rsidDel="00000000" w:rsidR="00000000" w:rsidRPr="00000000">
        <w:rPr>
          <w:i w:val="1"/>
          <w:iCs w:val="1"/>
          <w:rtl w:val="0"/>
        </w:rPr>
        <w:t xml:space="preserve">3</w:t>
      </w:r>
      <w:r w:rsidDel="00000000" w:rsidR="00000000" w:rsidRPr="00000000">
        <w:rPr>
          <w:rtl w:val="0"/>
        </w:rPr>
        <w:t xml:space="preserve">, p.1437014.</w:t>
      </w:r>
      <w:hyperlink r:id="rId16">
        <w:r w:rsidDel="00000000" w:rsidR="00000000" w:rsidRPr="00000000">
          <w:rPr>
            <w:rtl w:val="0"/>
          </w:rPr>
          <w:t xml:space="preserve"> </w:t>
        </w:r>
      </w:hyperlink>
      <w:hyperlink r:id="rId17">
        <w:r w:rsidDel="00000000" w:rsidR="00000000" w:rsidRPr="00000000">
          <w:rPr>
            <w:color w:val="1155cc"/>
            <w:u w:val="single"/>
            <w:rtl w:val="0"/>
          </w:rPr>
          <w:t xml:space="preserve">https://doi.org/10.3389/frsut.2024.1437014</w:t>
        </w:r>
      </w:hyperlink>
      <w:r w:rsidDel="00000000" w:rsidR="00000000" w:rsidRPr="00000000">
        <w:rPr>
          <w:rtl w:val="0"/>
        </w:rPr>
      </w:r>
    </w:p>
    <w:p w:rsidR="00000000" w:rsidDel="00000000" w:rsidP="00000000" w:rsidRDefault="00000000" w:rsidRPr="00000000" w14:paraId="0000004A">
      <w:pPr>
        <w:spacing w:before="240" w:lineRule="auto"/>
        <w:rPr>
          <w:color w:val="1155cc"/>
          <w:u w:val="single"/>
        </w:rPr>
      </w:pPr>
      <w:r w:rsidDel="00000000" w:rsidR="00000000" w:rsidRPr="00000000">
        <w:rPr>
          <w:color w:val="222222"/>
          <w:rtl w:val="0"/>
        </w:rPr>
        <w:t xml:space="preserve">Meskell, L., 2024. Teardrops at the Taj: wicked problems of World Heritage preservation, pollution and politics. </w:t>
      </w:r>
      <w:r w:rsidDel="00000000" w:rsidR="00000000" w:rsidRPr="00000000">
        <w:rPr>
          <w:i w:val="1"/>
          <w:iCs w:val="1"/>
          <w:rtl w:val="0"/>
        </w:rPr>
        <w:t xml:space="preserve">International Journal of Heritage Studies</w:t>
      </w:r>
      <w:r w:rsidDel="00000000" w:rsidR="00000000" w:rsidRPr="00000000">
        <w:rPr>
          <w:rtl w:val="0"/>
        </w:rPr>
        <w:t xml:space="preserve">, </w:t>
      </w:r>
      <w:r w:rsidDel="00000000" w:rsidR="00000000" w:rsidRPr="00000000">
        <w:rPr>
          <w:i w:val="1"/>
          <w:iCs w:val="1"/>
          <w:rtl w:val="0"/>
        </w:rPr>
        <w:t xml:space="preserve">30</w:t>
      </w:r>
      <w:r w:rsidDel="00000000" w:rsidR="00000000" w:rsidRPr="00000000">
        <w:rPr>
          <w:rtl w:val="0"/>
        </w:rPr>
        <w:t xml:space="preserve">(4), pp.438-453.</w:t>
      </w:r>
      <w:hyperlink r:id="rId18">
        <w:r w:rsidDel="00000000" w:rsidR="00000000" w:rsidRPr="00000000">
          <w:rPr>
            <w:rtl w:val="0"/>
          </w:rPr>
          <w:t xml:space="preserve"> </w:t>
        </w:r>
      </w:hyperlink>
      <w:hyperlink r:id="rId19">
        <w:r w:rsidDel="00000000" w:rsidR="00000000" w:rsidRPr="00000000">
          <w:rPr>
            <w:color w:val="1155cc"/>
            <w:u w:val="single"/>
            <w:rtl w:val="0"/>
          </w:rPr>
          <w:t xml:space="preserve">https://doi.org/10.1080/13527258.2024.2315233</w:t>
        </w:r>
      </w:hyperlink>
      <w:r w:rsidDel="00000000" w:rsidR="00000000" w:rsidRPr="00000000">
        <w:rPr>
          <w:rtl w:val="0"/>
        </w:rPr>
      </w:r>
    </w:p>
    <w:p w:rsidR="00000000" w:rsidDel="00000000" w:rsidP="00000000" w:rsidRDefault="00000000" w:rsidRPr="00000000" w14:paraId="0000004B">
      <w:pPr>
        <w:spacing w:before="240" w:lineRule="auto"/>
        <w:rPr>
          <w:color w:val="1155cc"/>
          <w:u w:val="single"/>
        </w:rPr>
      </w:pPr>
      <w:r w:rsidDel="00000000" w:rsidR="00000000" w:rsidRPr="00000000">
        <w:rPr>
          <w:color w:val="222222"/>
          <w:rtl w:val="0"/>
        </w:rPr>
        <w:t xml:space="preserve">Phori, M.M., Hermann, U.P. and Grobbelaar, L., 2024. Residents’ perceptions of sustainable heritage tourism development in a rural municipality. </w:t>
      </w:r>
      <w:r w:rsidDel="00000000" w:rsidR="00000000" w:rsidRPr="00000000">
        <w:rPr>
          <w:i w:val="1"/>
          <w:iCs w:val="1"/>
          <w:rtl w:val="0"/>
        </w:rPr>
        <w:t xml:space="preserve">Development Southern Africa</w:t>
      </w:r>
      <w:r w:rsidDel="00000000" w:rsidR="00000000" w:rsidRPr="00000000">
        <w:rPr>
          <w:rtl w:val="0"/>
        </w:rPr>
        <w:t xml:space="preserve">, </w:t>
      </w:r>
      <w:r w:rsidDel="00000000" w:rsidR="00000000" w:rsidRPr="00000000">
        <w:rPr>
          <w:i w:val="1"/>
          <w:iCs w:val="1"/>
          <w:rtl w:val="0"/>
        </w:rPr>
        <w:t xml:space="preserve">41</w:t>
      </w:r>
      <w:r w:rsidDel="00000000" w:rsidR="00000000" w:rsidRPr="00000000">
        <w:rPr>
          <w:rtl w:val="0"/>
        </w:rPr>
        <w:t xml:space="preserve">(3), pp.551-569.</w:t>
      </w:r>
      <w:hyperlink r:id="rId20">
        <w:r w:rsidDel="00000000" w:rsidR="00000000" w:rsidRPr="00000000">
          <w:rPr>
            <w:rtl w:val="0"/>
          </w:rPr>
          <w:t xml:space="preserve"> </w:t>
        </w:r>
      </w:hyperlink>
      <w:hyperlink r:id="rId21">
        <w:r w:rsidDel="00000000" w:rsidR="00000000" w:rsidRPr="00000000">
          <w:rPr>
            <w:color w:val="1155cc"/>
            <w:u w:val="single"/>
            <w:rtl w:val="0"/>
          </w:rPr>
          <w:t xml:space="preserve">https://doi.org/10.1080/0376835x.2024.2350391</w:t>
        </w:r>
      </w:hyperlink>
      <w:r w:rsidDel="00000000" w:rsidR="00000000" w:rsidRPr="00000000">
        <w:rPr>
          <w:rtl w:val="0"/>
        </w:rPr>
      </w:r>
    </w:p>
    <w:p w:rsidR="00000000" w:rsidDel="00000000" w:rsidP="00000000" w:rsidRDefault="00000000" w:rsidRPr="00000000" w14:paraId="0000004C">
      <w:pPr>
        <w:spacing w:before="240" w:lineRule="auto"/>
        <w:rPr>
          <w:color w:val="1155cc"/>
          <w:u w:val="single"/>
        </w:rPr>
      </w:pPr>
      <w:r w:rsidDel="00000000" w:rsidR="00000000" w:rsidRPr="00000000">
        <w:rPr>
          <w:color w:val="222222"/>
          <w:rtl w:val="0"/>
        </w:rPr>
        <w:t xml:space="preserve">Riswanto, A.L., Kim, S. and Kim, H.S., 2023. Analyzing online reviews to uncover customer satisfaction factors in Indian cultural tourism destinations. </w:t>
      </w:r>
      <w:r w:rsidDel="00000000" w:rsidR="00000000" w:rsidRPr="00000000">
        <w:rPr>
          <w:i w:val="1"/>
          <w:iCs w:val="1"/>
          <w:rtl w:val="0"/>
        </w:rPr>
        <w:t xml:space="preserve">Behavioral Sciences</w:t>
      </w:r>
      <w:r w:rsidDel="00000000" w:rsidR="00000000" w:rsidRPr="00000000">
        <w:rPr>
          <w:rtl w:val="0"/>
        </w:rPr>
        <w:t xml:space="preserve">, </w:t>
      </w:r>
      <w:r w:rsidDel="00000000" w:rsidR="00000000" w:rsidRPr="00000000">
        <w:rPr>
          <w:i w:val="1"/>
          <w:iCs w:val="1"/>
          <w:rtl w:val="0"/>
        </w:rPr>
        <w:t xml:space="preserve">13</w:t>
      </w:r>
      <w:r w:rsidDel="00000000" w:rsidR="00000000" w:rsidRPr="00000000">
        <w:rPr>
          <w:rtl w:val="0"/>
        </w:rPr>
        <w:t xml:space="preserve">(11), p.923.</w:t>
      </w:r>
      <w:hyperlink r:id="rId22">
        <w:r w:rsidDel="00000000" w:rsidR="00000000" w:rsidRPr="00000000">
          <w:rPr>
            <w:rtl w:val="0"/>
          </w:rPr>
          <w:t xml:space="preserve"> </w:t>
        </w:r>
      </w:hyperlink>
      <w:hyperlink r:id="rId23">
        <w:r w:rsidDel="00000000" w:rsidR="00000000" w:rsidRPr="00000000">
          <w:rPr>
            <w:color w:val="1155cc"/>
            <w:u w:val="single"/>
            <w:rtl w:val="0"/>
          </w:rPr>
          <w:t xml:space="preserve">https://doi.org/10.3390/bs13110923</w:t>
        </w:r>
      </w:hyperlink>
      <w:r w:rsidDel="00000000" w:rsidR="00000000" w:rsidRPr="00000000">
        <w:rPr>
          <w:rtl w:val="0"/>
        </w:rPr>
      </w:r>
    </w:p>
    <w:p w:rsidR="00000000" w:rsidDel="00000000" w:rsidP="00000000" w:rsidRDefault="00000000" w:rsidRPr="00000000" w14:paraId="0000004D">
      <w:pPr>
        <w:spacing w:before="240" w:lineRule="auto"/>
        <w:rPr>
          <w:color w:val="1155cc"/>
          <w:u w:val="single"/>
        </w:rPr>
      </w:pPr>
      <w:r w:rsidDel="00000000" w:rsidR="00000000" w:rsidRPr="00000000">
        <w:rPr>
          <w:color w:val="222222"/>
          <w:rtl w:val="0"/>
        </w:rPr>
        <w:t xml:space="preserve">Timothy, D.J., Erdoğan, H.A. and Samuels, J., 2024. Archaeological heritage and tourism: The archaeotourism intersection. </w:t>
      </w:r>
      <w:r w:rsidDel="00000000" w:rsidR="00000000" w:rsidRPr="00000000">
        <w:rPr>
          <w:i w:val="1"/>
          <w:iCs w:val="1"/>
          <w:rtl w:val="0"/>
        </w:rPr>
        <w:t xml:space="preserve">Conservation and Management of Archaeological Sites</w:t>
      </w:r>
      <w:r w:rsidDel="00000000" w:rsidR="00000000" w:rsidRPr="00000000">
        <w:rPr>
          <w:rtl w:val="0"/>
        </w:rPr>
        <w:t xml:space="preserve">, </w:t>
      </w:r>
      <w:r w:rsidDel="00000000" w:rsidR="00000000" w:rsidRPr="00000000">
        <w:rPr>
          <w:i w:val="1"/>
          <w:iCs w:val="1"/>
          <w:rtl w:val="0"/>
        </w:rPr>
        <w:t xml:space="preserve">26</w:t>
      </w:r>
      <w:r w:rsidDel="00000000" w:rsidR="00000000" w:rsidRPr="00000000">
        <w:rPr>
          <w:rtl w:val="0"/>
        </w:rPr>
        <w:t xml:space="preserve">(2-3), pp.103-112.</w:t>
      </w:r>
      <w:hyperlink r:id="rId24">
        <w:r w:rsidDel="00000000" w:rsidR="00000000" w:rsidRPr="00000000">
          <w:rPr>
            <w:rtl w:val="0"/>
          </w:rPr>
          <w:t xml:space="preserve"> </w:t>
        </w:r>
      </w:hyperlink>
      <w:hyperlink r:id="rId25">
        <w:r w:rsidDel="00000000" w:rsidR="00000000" w:rsidRPr="00000000">
          <w:rPr>
            <w:color w:val="1155cc"/>
            <w:u w:val="single"/>
            <w:rtl w:val="0"/>
          </w:rPr>
          <w:t xml:space="preserve">https://doi.org/10.1080/13505033.2024.2416744</w:t>
        </w:r>
      </w:hyperlink>
      <w:r w:rsidDel="00000000" w:rsidR="00000000" w:rsidRPr="00000000">
        <w:rPr>
          <w:rtl w:val="0"/>
        </w:rPr>
      </w:r>
    </w:p>
    <w:p w:rsidR="00000000" w:rsidDel="00000000" w:rsidP="00000000" w:rsidRDefault="00000000" w:rsidRPr="00000000" w14:paraId="0000004E">
      <w:pPr>
        <w:spacing w:before="240" w:lineRule="auto"/>
        <w:rPr>
          <w:color w:val="1155cc"/>
          <w:u w:val="single"/>
        </w:rPr>
      </w:pPr>
      <w:r w:rsidDel="00000000" w:rsidR="00000000" w:rsidRPr="00000000">
        <w:rPr>
          <w:rtl w:val="0"/>
        </w:rPr>
        <w:t xml:space="preserve">Tomar, D.K. (2025). Vehicular pollution in tourist cities: A case study of Agra’s air quality and health outcomes. </w:t>
      </w:r>
      <w:r w:rsidDel="00000000" w:rsidR="00000000" w:rsidRPr="00000000">
        <w:rPr>
          <w:i w:val="1"/>
          <w:iCs w:val="1"/>
          <w:rtl w:val="0"/>
        </w:rPr>
        <w:t xml:space="preserve">Journal for Research in Applied Sciences and Biotechnology</w:t>
      </w:r>
      <w:r w:rsidDel="00000000" w:rsidR="00000000" w:rsidRPr="00000000">
        <w:rPr>
          <w:rtl w:val="0"/>
        </w:rPr>
        <w:t xml:space="preserve">, 4(5), pp.71–77.</w:t>
      </w:r>
      <w:hyperlink r:id="rId26">
        <w:r w:rsidDel="00000000" w:rsidR="00000000" w:rsidRPr="00000000">
          <w:rPr>
            <w:rtl w:val="0"/>
          </w:rPr>
          <w:t xml:space="preserve"> </w:t>
        </w:r>
      </w:hyperlink>
      <w:hyperlink r:id="rId27">
        <w:r w:rsidDel="00000000" w:rsidR="00000000" w:rsidRPr="00000000">
          <w:rPr>
            <w:color w:val="1155cc"/>
            <w:u w:val="single"/>
            <w:rtl w:val="0"/>
          </w:rPr>
          <w:t xml:space="preserve">https://doi.org/10.55544/jrasb.4.5.6</w:t>
        </w:r>
      </w:hyperlink>
      <w:r w:rsidDel="00000000" w:rsidR="00000000" w:rsidRPr="00000000">
        <w:rPr>
          <w:rtl w:val="0"/>
        </w:rPr>
      </w:r>
    </w:p>
    <w:p w:rsidR="00000000" w:rsidDel="00000000" w:rsidP="00000000" w:rsidRDefault="00000000" w:rsidRPr="00000000" w14:paraId="0000004F">
      <w:pPr>
        <w:spacing w:before="240" w:lineRule="auto"/>
        <w:rPr/>
      </w:pPr>
      <w:r w:rsidDel="00000000" w:rsidR="00000000" w:rsidRPr="00000000">
        <w:rPr>
          <w:rtl w:val="0"/>
        </w:rPr>
        <w:t xml:space="preserve">UNESCO World Heritage Centre (n.d.) </w:t>
      </w:r>
      <w:r w:rsidDel="00000000" w:rsidR="00000000" w:rsidRPr="00000000">
        <w:rPr>
          <w:i w:val="1"/>
          <w:iCs w:val="1"/>
          <w:rtl w:val="0"/>
        </w:rPr>
        <w:t xml:space="preserve">Taj Mahal</w:t>
      </w:r>
      <w:r w:rsidDel="00000000" w:rsidR="00000000" w:rsidRPr="00000000">
        <w:rPr>
          <w:rtl w:val="0"/>
        </w:rPr>
        <w:t xml:space="preserve">. Available at:</w:t>
      </w:r>
      <w:hyperlink r:id="rId28">
        <w:r w:rsidDel="00000000" w:rsidR="00000000" w:rsidRPr="00000000">
          <w:rPr>
            <w:rtl w:val="0"/>
          </w:rPr>
          <w:t xml:space="preserve"> </w:t>
        </w:r>
      </w:hyperlink>
      <w:hyperlink r:id="rId29">
        <w:r w:rsidDel="00000000" w:rsidR="00000000" w:rsidRPr="00000000">
          <w:rPr>
            <w:color w:val="1155cc"/>
            <w:u w:val="single"/>
            <w:rtl w:val="0"/>
          </w:rPr>
          <w:t xml:space="preserve">https://whc.unesco.org/en/list/252/</w:t>
        </w:r>
      </w:hyperlink>
      <w:r w:rsidDel="00000000" w:rsidR="00000000" w:rsidRPr="00000000">
        <w:rPr>
          <w:rtl w:val="0"/>
        </w:rPr>
        <w:t xml:space="preserve"> (Accessed: 28 September 2026).</w:t>
      </w:r>
    </w:p>
    <w:p w:rsidR="00000000" w:rsidDel="00000000" w:rsidP="00000000" w:rsidRDefault="00000000" w:rsidRPr="00000000" w14:paraId="00000050">
      <w:pPr>
        <w:rPr/>
      </w:pPr>
      <w:r w:rsidDel="00000000" w:rsidR="00000000" w:rsidRPr="00000000">
        <w:rPr>
          <w:rtl w:val="0"/>
        </w:rPr>
      </w:r>
    </w:p>
    <w:sectPr>
      <w:footerReference r:id="rId3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80/0376835x.2024.2350391" TargetMode="External"/><Relationship Id="rId22" Type="http://schemas.openxmlformats.org/officeDocument/2006/relationships/hyperlink" Target="https://doi.org/10.3390/bs13110923" TargetMode="External"/><Relationship Id="rId21" Type="http://schemas.openxmlformats.org/officeDocument/2006/relationships/hyperlink" Target="https://doi.org/10.1080/0376835x.2024.2350391" TargetMode="External"/><Relationship Id="rId24" Type="http://schemas.openxmlformats.org/officeDocument/2006/relationships/hyperlink" Target="https://doi.org/10.1080/13505033.2024.2416744" TargetMode="External"/><Relationship Id="rId23" Type="http://schemas.openxmlformats.org/officeDocument/2006/relationships/hyperlink" Target="https://doi.org/10.3390/bs1311092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90/su151511986" TargetMode="External"/><Relationship Id="rId26" Type="http://schemas.openxmlformats.org/officeDocument/2006/relationships/hyperlink" Target="https://doi.org/10.55544/jrasb.4.5.6" TargetMode="External"/><Relationship Id="rId25" Type="http://schemas.openxmlformats.org/officeDocument/2006/relationships/hyperlink" Target="https://doi.org/10.1080/13505033.2024.2416744" TargetMode="External"/><Relationship Id="rId28" Type="http://schemas.openxmlformats.org/officeDocument/2006/relationships/hyperlink" Target="https://whc.unesco.org/en/list/252/" TargetMode="External"/><Relationship Id="rId27" Type="http://schemas.openxmlformats.org/officeDocument/2006/relationships/hyperlink" Target="https://doi.org/10.55544/jrasb.4.5.6"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hc.unesco.org/en/list/252/" TargetMode="External"/><Relationship Id="rId7" Type="http://schemas.openxmlformats.org/officeDocument/2006/relationships/hyperlink" Target="https://asi.nic.in/" TargetMode="External"/><Relationship Id="rId8" Type="http://schemas.openxmlformats.org/officeDocument/2006/relationships/hyperlink" Target="https://asi.nic.in/" TargetMode="External"/><Relationship Id="rId30" Type="http://schemas.openxmlformats.org/officeDocument/2006/relationships/footer" Target="footer1.xml"/><Relationship Id="rId11" Type="http://schemas.openxmlformats.org/officeDocument/2006/relationships/hyperlink" Target="https://www.tajmahal.gov.in/" TargetMode="External"/><Relationship Id="rId10" Type="http://schemas.openxmlformats.org/officeDocument/2006/relationships/hyperlink" Target="https://doi.org/10.3390/su151511986" TargetMode="External"/><Relationship Id="rId13" Type="http://schemas.openxmlformats.org/officeDocument/2006/relationships/hyperlink" Target="https://tajmahal.gov.in/ticketing.aspx/" TargetMode="External"/><Relationship Id="rId12" Type="http://schemas.openxmlformats.org/officeDocument/2006/relationships/hyperlink" Target="https://tajmahal.gov.in/ticketing.aspx/" TargetMode="External"/><Relationship Id="rId15" Type="http://schemas.openxmlformats.org/officeDocument/2006/relationships/hyperlink" Target="https://doi.org/10.1108/IHR-03-2021-0021" TargetMode="External"/><Relationship Id="rId14" Type="http://schemas.openxmlformats.org/officeDocument/2006/relationships/hyperlink" Target="https://doi.org/10.1108/IHR-03-2021-0021" TargetMode="External"/><Relationship Id="rId17" Type="http://schemas.openxmlformats.org/officeDocument/2006/relationships/hyperlink" Target="https://doi.org/10.3389/frsut.2024.1437014" TargetMode="External"/><Relationship Id="rId16" Type="http://schemas.openxmlformats.org/officeDocument/2006/relationships/hyperlink" Target="https://doi.org/10.3389/frsut.2024.1437014" TargetMode="External"/><Relationship Id="rId19" Type="http://schemas.openxmlformats.org/officeDocument/2006/relationships/hyperlink" Target="https://doi.org/10.1080/13527258.2024.2315233" TargetMode="External"/><Relationship Id="rId18" Type="http://schemas.openxmlformats.org/officeDocument/2006/relationships/hyperlink" Target="https://doi.org/10.1080/13527258.2024.23152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