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44832" w14:textId="77777777" w:rsidR="0019504D" w:rsidRPr="00F5343E" w:rsidRDefault="0019504D" w:rsidP="00F52BBF">
      <w:pPr>
        <w:spacing w:line="360" w:lineRule="auto"/>
        <w:rPr>
          <w:rFonts w:asciiTheme="majorBidi" w:hAnsiTheme="majorBidi" w:cstheme="majorBidi"/>
          <w:lang w:val="en-US"/>
        </w:rPr>
      </w:pPr>
      <w:r w:rsidRPr="00F5343E">
        <w:rPr>
          <w:rFonts w:asciiTheme="majorBidi" w:hAnsiTheme="majorBidi" w:cstheme="majorBidi"/>
          <w:noProof/>
          <w:lang w:val="en-US"/>
        </w:rPr>
        <w:drawing>
          <wp:anchor distT="0" distB="0" distL="114300" distR="114300" simplePos="0" relativeHeight="251658240" behindDoc="1" locked="0" layoutInCell="1" allowOverlap="1" wp14:anchorId="0DD3259E" wp14:editId="7856CCB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0827285" w14:textId="77777777" w:rsidR="00661030" w:rsidRPr="00F5343E" w:rsidRDefault="00494D6C" w:rsidP="00F52BBF">
      <w:pPr>
        <w:spacing w:line="360" w:lineRule="auto"/>
        <w:rPr>
          <w:rFonts w:asciiTheme="majorBidi" w:hAnsiTheme="majorBidi" w:cstheme="majorBidi"/>
          <w:b/>
          <w:bCs/>
          <w:lang w:val="en-US"/>
        </w:rPr>
      </w:pPr>
      <w:r w:rsidRPr="00F5343E">
        <w:rPr>
          <w:rFonts w:asciiTheme="majorBidi" w:hAnsiTheme="majorBidi" w:cstheme="majorBidi"/>
          <w:b/>
          <w:bCs/>
          <w:lang w:val="nl-NL"/>
        </w:rPr>
        <w:t>Operations Management in Hospitality</w:t>
      </w:r>
    </w:p>
    <w:p w14:paraId="77700F50" w14:textId="77777777" w:rsidR="0019504D" w:rsidRPr="00F5343E" w:rsidRDefault="0019504D" w:rsidP="00F52BBF">
      <w:pPr>
        <w:spacing w:line="360" w:lineRule="auto"/>
        <w:rPr>
          <w:rFonts w:asciiTheme="majorBidi" w:hAnsiTheme="majorBidi" w:cstheme="majorBidi"/>
          <w:lang w:val="en-US"/>
        </w:rPr>
      </w:pPr>
      <w:r w:rsidRPr="00F5343E">
        <w:rPr>
          <w:rFonts w:asciiTheme="majorBidi" w:hAnsiTheme="majorBidi" w:cstheme="majorBidi"/>
          <w:lang w:val="en-US"/>
        </w:rPr>
        <w:t xml:space="preserve">Assignment </w:t>
      </w:r>
      <w:r w:rsidR="00FC3CE9" w:rsidRPr="00F5343E">
        <w:rPr>
          <w:rFonts w:asciiTheme="majorBidi" w:hAnsiTheme="majorBidi" w:cstheme="majorBidi"/>
          <w:lang w:val="en-US"/>
        </w:rPr>
        <w:t>10</w:t>
      </w:r>
    </w:p>
    <w:p w14:paraId="21085658" w14:textId="77777777" w:rsidR="0019504D" w:rsidRPr="00F5343E" w:rsidRDefault="00FC3CE9" w:rsidP="00F52BBF">
      <w:pPr>
        <w:spacing w:line="360" w:lineRule="auto"/>
        <w:rPr>
          <w:rFonts w:asciiTheme="majorBidi" w:hAnsiTheme="majorBidi" w:cstheme="majorBidi"/>
          <w:lang w:val="en-US"/>
        </w:rPr>
      </w:pPr>
      <w:r w:rsidRPr="00F5343E">
        <w:rPr>
          <w:rFonts w:asciiTheme="majorBidi" w:hAnsiTheme="majorBidi" w:cstheme="majorBidi"/>
          <w:lang w:val="en-US"/>
        </w:rPr>
        <w:t>14</w:t>
      </w:r>
      <w:r w:rsidR="0019504D" w:rsidRPr="00F5343E">
        <w:rPr>
          <w:rFonts w:asciiTheme="majorBidi" w:hAnsiTheme="majorBidi" w:cstheme="majorBidi"/>
          <w:lang w:val="en-US"/>
        </w:rPr>
        <w:t>.</w:t>
      </w:r>
      <w:r w:rsidR="00E53D54" w:rsidRPr="00F5343E">
        <w:rPr>
          <w:rFonts w:asciiTheme="majorBidi" w:hAnsiTheme="majorBidi" w:cstheme="majorBidi"/>
          <w:lang w:val="en-US"/>
        </w:rPr>
        <w:t>01</w:t>
      </w:r>
      <w:r w:rsidR="0019504D" w:rsidRPr="00F5343E">
        <w:rPr>
          <w:rFonts w:asciiTheme="majorBidi" w:hAnsiTheme="majorBidi" w:cstheme="majorBidi"/>
          <w:lang w:val="en-US"/>
        </w:rPr>
        <w:t>.2025</w:t>
      </w:r>
    </w:p>
    <w:p w14:paraId="57E51F32" w14:textId="0A4ADF63" w:rsidR="0019504D" w:rsidRPr="00F5343E" w:rsidRDefault="00E53D54" w:rsidP="00F52BBF">
      <w:pPr>
        <w:spacing w:line="360" w:lineRule="auto"/>
        <w:rPr>
          <w:rFonts w:asciiTheme="majorBidi" w:hAnsiTheme="majorBidi" w:cstheme="majorBidi"/>
          <w:lang w:val="en-US"/>
        </w:rPr>
      </w:pPr>
      <w:r w:rsidRPr="00F5343E">
        <w:rPr>
          <w:rFonts w:asciiTheme="majorBidi" w:hAnsiTheme="majorBidi" w:cstheme="majorBidi"/>
          <w:lang w:val="en-US"/>
        </w:rPr>
        <w:t xml:space="preserve">Student </w:t>
      </w:r>
      <w:proofErr w:type="gramStart"/>
      <w:r w:rsidRPr="00F5343E">
        <w:rPr>
          <w:rFonts w:asciiTheme="majorBidi" w:hAnsiTheme="majorBidi" w:cstheme="majorBidi"/>
          <w:lang w:val="en-US"/>
        </w:rPr>
        <w:t>name</w:t>
      </w:r>
      <w:r w:rsidR="006069FA">
        <w:rPr>
          <w:rFonts w:asciiTheme="majorBidi" w:hAnsiTheme="majorBidi" w:cstheme="majorBidi"/>
          <w:lang w:val="en-US"/>
        </w:rPr>
        <w:t xml:space="preserve"> </w:t>
      </w:r>
      <w:r w:rsidRPr="00F5343E">
        <w:rPr>
          <w:rFonts w:asciiTheme="majorBidi" w:hAnsiTheme="majorBidi" w:cstheme="majorBidi"/>
          <w:lang w:val="en-US"/>
        </w:rPr>
        <w:t>:</w:t>
      </w:r>
      <w:proofErr w:type="gramEnd"/>
      <w:r w:rsidR="00745E56" w:rsidRPr="00F5343E">
        <w:rPr>
          <w:rFonts w:asciiTheme="majorBidi" w:hAnsiTheme="majorBidi" w:cstheme="majorBidi"/>
          <w:lang w:val="en-US"/>
        </w:rPr>
        <w:t xml:space="preserve"> </w:t>
      </w:r>
      <w:r w:rsidR="006069FA" w:rsidRPr="006069FA">
        <w:rPr>
          <w:rFonts w:asciiTheme="majorBidi" w:hAnsiTheme="majorBidi" w:cstheme="majorBidi"/>
          <w:lang w:val="en-US"/>
        </w:rPr>
        <w:t xml:space="preserve">Kunal </w:t>
      </w:r>
      <w:r w:rsidR="006069FA">
        <w:rPr>
          <w:rFonts w:asciiTheme="majorBidi" w:hAnsiTheme="majorBidi" w:cstheme="majorBidi"/>
          <w:lang w:val="en-US"/>
        </w:rPr>
        <w:t>R</w:t>
      </w:r>
      <w:r w:rsidR="006069FA" w:rsidRPr="006069FA">
        <w:rPr>
          <w:rFonts w:asciiTheme="majorBidi" w:hAnsiTheme="majorBidi" w:cstheme="majorBidi"/>
          <w:lang w:val="en-US"/>
        </w:rPr>
        <w:t>ana</w:t>
      </w:r>
    </w:p>
    <w:p w14:paraId="443A90A9" w14:textId="77777777" w:rsidR="0019504D" w:rsidRPr="00F5343E" w:rsidRDefault="0019504D" w:rsidP="00F52BBF">
      <w:pPr>
        <w:spacing w:line="360" w:lineRule="auto"/>
        <w:rPr>
          <w:rFonts w:asciiTheme="majorBidi" w:hAnsiTheme="majorBidi" w:cstheme="majorBidi"/>
        </w:rPr>
      </w:pPr>
    </w:p>
    <w:p w14:paraId="15CC8CBF" w14:textId="77777777" w:rsidR="0019504D" w:rsidRPr="00F5343E" w:rsidRDefault="0019504D" w:rsidP="00F52BBF">
      <w:pPr>
        <w:spacing w:line="360" w:lineRule="auto"/>
        <w:rPr>
          <w:rFonts w:asciiTheme="majorBidi" w:hAnsiTheme="majorBidi" w:cstheme="majorBidi"/>
        </w:rPr>
      </w:pPr>
    </w:p>
    <w:p w14:paraId="63403DB2" w14:textId="77777777" w:rsidR="0019504D" w:rsidRPr="00F5343E" w:rsidRDefault="0019504D" w:rsidP="00F52BBF">
      <w:pPr>
        <w:spacing w:line="360" w:lineRule="auto"/>
        <w:rPr>
          <w:rFonts w:asciiTheme="majorBidi" w:hAnsiTheme="majorBidi" w:cstheme="majorBidi"/>
        </w:rPr>
      </w:pPr>
    </w:p>
    <w:p w14:paraId="328BCC5A" w14:textId="77777777" w:rsidR="0019504D" w:rsidRPr="00F5343E" w:rsidRDefault="0019504D" w:rsidP="00F52BBF">
      <w:pPr>
        <w:spacing w:line="360" w:lineRule="auto"/>
        <w:rPr>
          <w:rFonts w:asciiTheme="majorBidi" w:hAnsiTheme="majorBidi" w:cstheme="majorBidi"/>
        </w:rPr>
      </w:pPr>
    </w:p>
    <w:p w14:paraId="382B67BF" w14:textId="77777777" w:rsidR="00CD620A" w:rsidRPr="00F5343E" w:rsidRDefault="00CD620A" w:rsidP="00F52BBF">
      <w:pPr>
        <w:spacing w:line="360" w:lineRule="auto"/>
        <w:rPr>
          <w:rFonts w:asciiTheme="majorBidi" w:hAnsiTheme="majorBidi" w:cstheme="majorBidi"/>
        </w:rPr>
      </w:pPr>
    </w:p>
    <w:p w14:paraId="7437D610" w14:textId="77777777" w:rsidR="00CD620A" w:rsidRPr="00F5343E" w:rsidRDefault="00CD620A" w:rsidP="00F52BBF">
      <w:pPr>
        <w:spacing w:line="360" w:lineRule="auto"/>
        <w:rPr>
          <w:rFonts w:asciiTheme="majorBidi" w:hAnsiTheme="majorBidi" w:cstheme="majorBidi"/>
        </w:rPr>
      </w:pPr>
    </w:p>
    <w:p w14:paraId="1D1C0F30" w14:textId="77777777" w:rsidR="00CD620A" w:rsidRPr="00F5343E" w:rsidRDefault="00CD620A" w:rsidP="00F52BBF">
      <w:pPr>
        <w:spacing w:line="360" w:lineRule="auto"/>
        <w:rPr>
          <w:rFonts w:asciiTheme="majorBidi" w:hAnsiTheme="majorBidi" w:cstheme="majorBidi"/>
        </w:rPr>
      </w:pPr>
    </w:p>
    <w:p w14:paraId="587F6327" w14:textId="77777777" w:rsidR="00CD620A" w:rsidRPr="00F5343E" w:rsidRDefault="00CD620A" w:rsidP="00F52BBF">
      <w:pPr>
        <w:spacing w:line="360" w:lineRule="auto"/>
        <w:rPr>
          <w:rFonts w:asciiTheme="majorBidi" w:hAnsiTheme="majorBidi" w:cstheme="majorBidi"/>
        </w:rPr>
      </w:pPr>
    </w:p>
    <w:p w14:paraId="2A0BAA48" w14:textId="77777777" w:rsidR="00CD620A" w:rsidRPr="00F5343E" w:rsidRDefault="00CD620A" w:rsidP="00F52BBF">
      <w:pPr>
        <w:spacing w:line="360" w:lineRule="auto"/>
        <w:rPr>
          <w:rFonts w:asciiTheme="majorBidi" w:hAnsiTheme="majorBidi" w:cstheme="majorBidi"/>
        </w:rPr>
      </w:pPr>
    </w:p>
    <w:p w14:paraId="1C906134" w14:textId="77777777" w:rsidR="00EA737F" w:rsidRPr="00F5343E" w:rsidRDefault="00EA737F" w:rsidP="00F52BBF">
      <w:pPr>
        <w:spacing w:line="360" w:lineRule="auto"/>
        <w:rPr>
          <w:rFonts w:asciiTheme="majorBidi" w:hAnsiTheme="majorBidi" w:cstheme="majorBidi"/>
        </w:rPr>
      </w:pPr>
    </w:p>
    <w:p w14:paraId="69EDC195" w14:textId="77777777" w:rsidR="009942AA" w:rsidRPr="00F5343E" w:rsidRDefault="009942AA" w:rsidP="00F52BBF">
      <w:pPr>
        <w:spacing w:line="360" w:lineRule="auto"/>
        <w:rPr>
          <w:rFonts w:asciiTheme="majorBidi" w:hAnsiTheme="majorBidi" w:cstheme="majorBidi"/>
        </w:rPr>
      </w:pPr>
    </w:p>
    <w:p w14:paraId="61286C16" w14:textId="77777777" w:rsidR="009942AA" w:rsidRPr="00F5343E" w:rsidRDefault="009942AA" w:rsidP="00F52BBF">
      <w:pPr>
        <w:spacing w:line="360" w:lineRule="auto"/>
        <w:rPr>
          <w:rFonts w:asciiTheme="majorBidi" w:hAnsiTheme="majorBidi" w:cstheme="majorBidi"/>
        </w:rPr>
      </w:pPr>
    </w:p>
    <w:p w14:paraId="66C7649A" w14:textId="77777777" w:rsidR="0019504D" w:rsidRPr="00F5343E" w:rsidRDefault="0019504D" w:rsidP="00F52BBF">
      <w:pPr>
        <w:spacing w:line="360" w:lineRule="auto"/>
        <w:rPr>
          <w:rFonts w:asciiTheme="majorBidi" w:hAnsiTheme="majorBidi" w:cstheme="majorBidi"/>
        </w:rPr>
      </w:pPr>
    </w:p>
    <w:p w14:paraId="0A6B5545" w14:textId="77777777" w:rsidR="0019504D" w:rsidRPr="00F5343E" w:rsidRDefault="0019504D" w:rsidP="00F52BBF">
      <w:pPr>
        <w:spacing w:line="360" w:lineRule="auto"/>
        <w:rPr>
          <w:rFonts w:asciiTheme="majorBidi" w:hAnsiTheme="majorBidi" w:cstheme="majorBidi"/>
        </w:rPr>
      </w:pPr>
    </w:p>
    <w:p w14:paraId="52B2EC11" w14:textId="77777777" w:rsidR="00EA737F" w:rsidRPr="00F5343E" w:rsidRDefault="00CD620A" w:rsidP="00F52BBF">
      <w:pPr>
        <w:spacing w:line="360" w:lineRule="auto"/>
        <w:rPr>
          <w:rFonts w:asciiTheme="majorBidi" w:hAnsiTheme="majorBidi" w:cstheme="majorBidi"/>
          <w:b/>
          <w:bCs/>
          <w:lang w:val="en-US"/>
        </w:rPr>
      </w:pPr>
      <w:r w:rsidRPr="00F5343E">
        <w:rPr>
          <w:rFonts w:asciiTheme="majorBidi" w:hAnsiTheme="majorBidi" w:cstheme="majorBidi"/>
          <w:b/>
          <w:bCs/>
          <w:lang w:val="en-US"/>
        </w:rPr>
        <w:t xml:space="preserve">In no more than </w:t>
      </w:r>
      <w:r w:rsidR="00FC3CE9" w:rsidRPr="00F5343E">
        <w:rPr>
          <w:rFonts w:asciiTheme="majorBidi" w:hAnsiTheme="majorBidi" w:cstheme="majorBidi"/>
          <w:b/>
          <w:bCs/>
          <w:lang w:val="en-US"/>
        </w:rPr>
        <w:t>500</w:t>
      </w:r>
      <w:r w:rsidRPr="00F5343E">
        <w:rPr>
          <w:rFonts w:asciiTheme="majorBidi" w:hAnsiTheme="majorBidi" w:cstheme="majorBidi"/>
          <w:b/>
          <w:bCs/>
          <w:lang w:val="en-US"/>
        </w:rPr>
        <w:t xml:space="preserve"> words</w:t>
      </w:r>
      <w:r w:rsidR="00494D6C" w:rsidRPr="00F5343E">
        <w:rPr>
          <w:rFonts w:asciiTheme="majorBidi" w:hAnsiTheme="majorBidi" w:cstheme="majorBidi"/>
          <w:b/>
          <w:bCs/>
          <w:lang w:val="en-US"/>
        </w:rPr>
        <w:t>, and using 3-5 references</w:t>
      </w:r>
      <w:r w:rsidR="009942AA" w:rsidRPr="00F5343E">
        <w:rPr>
          <w:rFonts w:asciiTheme="majorBidi" w:hAnsiTheme="majorBidi" w:cstheme="majorBidi"/>
          <w:b/>
          <w:bCs/>
          <w:lang w:val="en-US"/>
        </w:rPr>
        <w:t>, explain</w:t>
      </w:r>
      <w:r w:rsidR="00494D6C" w:rsidRPr="00F5343E">
        <w:rPr>
          <w:rFonts w:asciiTheme="majorBidi" w:hAnsiTheme="majorBidi" w:cstheme="majorBidi"/>
          <w:b/>
          <w:bCs/>
          <w:lang w:val="en-US"/>
        </w:rPr>
        <w:t>:</w:t>
      </w:r>
      <w:r w:rsidRPr="00F5343E">
        <w:rPr>
          <w:rFonts w:asciiTheme="majorBidi" w:hAnsiTheme="majorBidi" w:cstheme="majorBidi"/>
          <w:b/>
          <w:bCs/>
          <w:lang w:val="en-US"/>
        </w:rPr>
        <w:t xml:space="preserve"> </w:t>
      </w:r>
    </w:p>
    <w:p w14:paraId="35172443" w14:textId="77777777" w:rsidR="00EA737F" w:rsidRPr="00F5343E" w:rsidRDefault="00EA737F" w:rsidP="00F52BBF">
      <w:pPr>
        <w:spacing w:line="360" w:lineRule="auto"/>
        <w:rPr>
          <w:rFonts w:asciiTheme="majorBidi" w:hAnsiTheme="majorBidi" w:cstheme="majorBidi"/>
          <w:lang w:val="en-US"/>
        </w:rPr>
      </w:pPr>
    </w:p>
    <w:p w14:paraId="53D7013F" w14:textId="77777777" w:rsidR="00FC3CE9" w:rsidRPr="00F5343E" w:rsidRDefault="00FC3CE9" w:rsidP="00F52BBF">
      <w:pPr>
        <w:spacing w:line="360" w:lineRule="auto"/>
        <w:ind w:left="360"/>
        <w:rPr>
          <w:rFonts w:asciiTheme="majorBidi" w:hAnsiTheme="majorBidi" w:cstheme="majorBidi"/>
          <w:lang w:val="en-US"/>
        </w:rPr>
      </w:pPr>
      <w:r w:rsidRPr="00F5343E">
        <w:rPr>
          <w:rFonts w:asciiTheme="majorBidi" w:hAnsiTheme="majorBidi" w:cstheme="majorBidi"/>
          <w:lang w:val="en-US"/>
        </w:rPr>
        <w:t>1- Explain the concept of Revenue Management in hotels and discuss why performance metrics are essential for decision-making.</w:t>
      </w:r>
    </w:p>
    <w:p w14:paraId="7A579EBB" w14:textId="77777777" w:rsidR="00FC3CE9" w:rsidRPr="00F5343E" w:rsidRDefault="00FC3CE9" w:rsidP="00F52BBF">
      <w:pPr>
        <w:spacing w:line="360" w:lineRule="auto"/>
        <w:ind w:left="360"/>
        <w:rPr>
          <w:rFonts w:asciiTheme="majorBidi" w:hAnsiTheme="majorBidi" w:cstheme="majorBidi"/>
          <w:lang w:val="en-US"/>
        </w:rPr>
      </w:pPr>
    </w:p>
    <w:p w14:paraId="0E716BC4" w14:textId="77777777" w:rsidR="00FC3CE9" w:rsidRPr="00F5343E" w:rsidRDefault="00FC3CE9" w:rsidP="00F52BBF">
      <w:pPr>
        <w:spacing w:line="360" w:lineRule="auto"/>
        <w:ind w:left="360"/>
        <w:rPr>
          <w:rFonts w:asciiTheme="majorBidi" w:hAnsiTheme="majorBidi" w:cstheme="majorBidi"/>
          <w:lang w:val="en-US"/>
        </w:rPr>
      </w:pPr>
      <w:r w:rsidRPr="00F5343E">
        <w:rPr>
          <w:rFonts w:asciiTheme="majorBidi" w:hAnsiTheme="majorBidi" w:cstheme="majorBidi"/>
          <w:lang w:val="en-US"/>
        </w:rPr>
        <w:t>2- Define the following metrics and explain their managerial significance:</w:t>
      </w:r>
    </w:p>
    <w:p w14:paraId="303FED2F" w14:textId="77777777" w:rsidR="00FC3CE9" w:rsidRPr="00F5343E" w:rsidRDefault="00FC3CE9" w:rsidP="00F52BBF">
      <w:pPr>
        <w:pStyle w:val="ListParagraph"/>
        <w:numPr>
          <w:ilvl w:val="0"/>
          <w:numId w:val="5"/>
        </w:numPr>
        <w:spacing w:line="360" w:lineRule="auto"/>
        <w:rPr>
          <w:rFonts w:asciiTheme="majorBidi" w:hAnsiTheme="majorBidi" w:cstheme="majorBidi"/>
          <w:lang w:val="en-US"/>
        </w:rPr>
      </w:pPr>
      <w:r w:rsidRPr="00F5343E">
        <w:rPr>
          <w:rFonts w:asciiTheme="majorBidi" w:hAnsiTheme="majorBidi" w:cstheme="majorBidi"/>
          <w:lang w:val="en-US"/>
        </w:rPr>
        <w:t>ADR (Average Daily Rate)</w:t>
      </w:r>
    </w:p>
    <w:p w14:paraId="1F7AF9A5" w14:textId="77777777" w:rsidR="00FC3CE9" w:rsidRPr="00F5343E" w:rsidRDefault="00FC3CE9" w:rsidP="00F52BBF">
      <w:pPr>
        <w:pStyle w:val="ListParagraph"/>
        <w:numPr>
          <w:ilvl w:val="0"/>
          <w:numId w:val="5"/>
        </w:numPr>
        <w:spacing w:line="360" w:lineRule="auto"/>
        <w:rPr>
          <w:rFonts w:asciiTheme="majorBidi" w:hAnsiTheme="majorBidi" w:cstheme="majorBidi"/>
          <w:lang w:val="en-US"/>
        </w:rPr>
      </w:pPr>
      <w:r w:rsidRPr="00F5343E">
        <w:rPr>
          <w:rFonts w:asciiTheme="majorBidi" w:hAnsiTheme="majorBidi" w:cstheme="majorBidi"/>
          <w:lang w:val="en-US"/>
        </w:rPr>
        <w:t>Occupancy Rate</w:t>
      </w:r>
    </w:p>
    <w:p w14:paraId="4BC7F30D" w14:textId="77777777" w:rsidR="00FC3CE9" w:rsidRPr="00F5343E" w:rsidRDefault="00FC3CE9" w:rsidP="00F52BBF">
      <w:pPr>
        <w:pStyle w:val="ListParagraph"/>
        <w:numPr>
          <w:ilvl w:val="0"/>
          <w:numId w:val="5"/>
        </w:numPr>
        <w:spacing w:line="360" w:lineRule="auto"/>
        <w:rPr>
          <w:rFonts w:asciiTheme="majorBidi" w:hAnsiTheme="majorBidi" w:cstheme="majorBidi"/>
          <w:lang w:val="en-US"/>
        </w:rPr>
      </w:pPr>
      <w:r w:rsidRPr="00F5343E">
        <w:rPr>
          <w:rFonts w:asciiTheme="majorBidi" w:hAnsiTheme="majorBidi" w:cstheme="majorBidi"/>
          <w:lang w:val="en-US"/>
        </w:rPr>
        <w:t>RevPAR</w:t>
      </w:r>
    </w:p>
    <w:p w14:paraId="50C417D5" w14:textId="77777777" w:rsidR="009F1099" w:rsidRPr="00F5343E" w:rsidRDefault="00FC3CE9" w:rsidP="00F52BBF">
      <w:pPr>
        <w:pStyle w:val="ListParagraph"/>
        <w:numPr>
          <w:ilvl w:val="0"/>
          <w:numId w:val="5"/>
        </w:numPr>
        <w:spacing w:line="360" w:lineRule="auto"/>
        <w:rPr>
          <w:rFonts w:asciiTheme="majorBidi" w:hAnsiTheme="majorBidi" w:cstheme="majorBidi"/>
          <w:lang w:val="en-US"/>
        </w:rPr>
      </w:pPr>
      <w:r w:rsidRPr="00F5343E">
        <w:rPr>
          <w:rFonts w:asciiTheme="majorBidi" w:hAnsiTheme="majorBidi" w:cstheme="majorBidi"/>
          <w:lang w:val="en-US"/>
        </w:rPr>
        <w:t>GOPPAR</w:t>
      </w:r>
    </w:p>
    <w:p w14:paraId="2EC7F076" w14:textId="77777777" w:rsidR="00F5343E" w:rsidRPr="00F5343E" w:rsidRDefault="00F5343E" w:rsidP="00F52BBF">
      <w:pPr>
        <w:pStyle w:val="ListParagraph"/>
        <w:spacing w:line="360" w:lineRule="auto"/>
        <w:rPr>
          <w:rFonts w:asciiTheme="majorBidi" w:hAnsiTheme="majorBidi" w:cstheme="majorBidi"/>
          <w:lang w:val="en-US"/>
        </w:rPr>
      </w:pPr>
    </w:p>
    <w:p w14:paraId="62B7DF27" w14:textId="77777777" w:rsidR="00F5343E" w:rsidRPr="00F5343E" w:rsidRDefault="00F5343E" w:rsidP="00F52BBF">
      <w:pPr>
        <w:pStyle w:val="ListParagraph"/>
        <w:spacing w:line="360" w:lineRule="auto"/>
        <w:rPr>
          <w:rFonts w:asciiTheme="majorBidi" w:hAnsiTheme="majorBidi" w:cstheme="majorBidi"/>
          <w:lang w:val="en-US"/>
        </w:rPr>
      </w:pPr>
    </w:p>
    <w:p w14:paraId="7DCCEF44" w14:textId="77777777" w:rsidR="00F5343E" w:rsidRPr="00F5343E" w:rsidRDefault="00F5343E" w:rsidP="00F52BBF">
      <w:pPr>
        <w:pStyle w:val="ListParagraph"/>
        <w:spacing w:line="360" w:lineRule="auto"/>
        <w:ind w:left="0"/>
        <w:rPr>
          <w:rFonts w:asciiTheme="majorBidi" w:hAnsiTheme="majorBidi" w:cstheme="majorBidi"/>
          <w:lang w:val="en-US"/>
        </w:rPr>
      </w:pPr>
    </w:p>
    <w:p w14:paraId="157AC3F2" w14:textId="77777777" w:rsidR="00F5343E" w:rsidRPr="00F5343E" w:rsidRDefault="00F5343E" w:rsidP="00F52BBF">
      <w:pPr>
        <w:pStyle w:val="ListParagraph"/>
        <w:spacing w:line="360" w:lineRule="auto"/>
        <w:rPr>
          <w:rFonts w:asciiTheme="majorBidi" w:hAnsiTheme="majorBidi" w:cstheme="majorBidi"/>
          <w:lang w:val="en-US"/>
        </w:rPr>
      </w:pPr>
    </w:p>
    <w:p w14:paraId="743CDCD5" w14:textId="77777777" w:rsidR="00F5343E" w:rsidRPr="00F5343E" w:rsidRDefault="00F5343E" w:rsidP="00F52BBF">
      <w:pPr>
        <w:pStyle w:val="ListParagraph"/>
        <w:spacing w:line="360" w:lineRule="auto"/>
        <w:ind w:left="0"/>
        <w:rPr>
          <w:rFonts w:asciiTheme="majorBidi" w:hAnsiTheme="majorBidi" w:cstheme="majorBidi"/>
          <w:lang w:val="en-GB"/>
        </w:rPr>
      </w:pPr>
      <w:r w:rsidRPr="00F5343E">
        <w:rPr>
          <w:rFonts w:asciiTheme="majorBidi" w:hAnsiTheme="majorBidi" w:cstheme="majorBidi"/>
          <w:b/>
          <w:bCs/>
          <w:lang w:val="en-GB"/>
        </w:rPr>
        <w:lastRenderedPageBreak/>
        <w:t>How Hotels Handle Revenue and Why Key Performance Indicators Matter for Decision-Making</w:t>
      </w:r>
      <w:r w:rsidRPr="00F5343E">
        <w:rPr>
          <w:rFonts w:asciiTheme="majorBidi" w:hAnsiTheme="majorBidi" w:cstheme="majorBidi"/>
          <w:lang w:val="en-GB"/>
        </w:rPr>
        <w:br/>
      </w:r>
      <w:r w:rsidRPr="00F5343E">
        <w:rPr>
          <w:rFonts w:asciiTheme="majorBidi" w:hAnsiTheme="majorBidi" w:cstheme="majorBidi"/>
          <w:lang w:val="en-GB"/>
        </w:rPr>
        <w:br/>
        <w:t xml:space="preserve">By strategically selling the appropriate room to the right consumer at the right price through the right channel at the right time, revenue management in hotels tries to maximize revenue from a fixed and perishable inventory—hotel rooms. Successful revenue management is essential for hotels to maximize profits, as unsold rooms cannot be held or resold </w:t>
      </w:r>
      <w:proofErr w:type="gramStart"/>
      <w:r w:rsidRPr="00F5343E">
        <w:rPr>
          <w:rFonts w:asciiTheme="majorBidi" w:hAnsiTheme="majorBidi" w:cstheme="majorBidi"/>
          <w:lang w:val="en-GB"/>
        </w:rPr>
        <w:t>at a later date</w:t>
      </w:r>
      <w:proofErr w:type="gramEnd"/>
      <w:r w:rsidRPr="00F5343E">
        <w:rPr>
          <w:rFonts w:asciiTheme="majorBidi" w:hAnsiTheme="majorBidi" w:cstheme="majorBidi"/>
          <w:lang w:val="en-GB"/>
        </w:rPr>
        <w:t>. Optimizing financial performance in a highly competitive hospitality sector is achieved through the integration of demand forecasts, price strategies, inventory control, and market segmentation.</w:t>
      </w:r>
      <w:r w:rsidRPr="00F5343E">
        <w:rPr>
          <w:rFonts w:asciiTheme="majorBidi" w:hAnsiTheme="majorBidi" w:cstheme="majorBidi"/>
          <w:lang w:val="en-GB"/>
        </w:rPr>
        <w:br/>
      </w:r>
      <w:r w:rsidRPr="00F5343E">
        <w:rPr>
          <w:rFonts w:asciiTheme="majorBidi" w:hAnsiTheme="majorBidi" w:cstheme="majorBidi"/>
          <w:lang w:val="en-GB"/>
        </w:rPr>
        <w:br/>
        <w:t>Recognizing that client demand varies between seasons, days of the week, and booking channels is the foundation of revenue management. To dynamically modify prices in response to demand, hotels employ data analytics and forecasting algorithms. Without revenue management, hotels would be at a disadvantage when faced with fluctuating demand, unpredictable consumer behaviour, and aggressive pricing strategies (Kimes, 2011).</w:t>
      </w:r>
      <w:r w:rsidRPr="00F5343E">
        <w:rPr>
          <w:rFonts w:asciiTheme="majorBidi" w:hAnsiTheme="majorBidi" w:cstheme="majorBidi"/>
          <w:lang w:val="en-GB"/>
        </w:rPr>
        <w:br/>
      </w:r>
      <w:r w:rsidRPr="00F5343E">
        <w:rPr>
          <w:rFonts w:asciiTheme="majorBidi" w:hAnsiTheme="majorBidi" w:cstheme="majorBidi"/>
          <w:lang w:val="en-GB"/>
        </w:rPr>
        <w:br/>
        <w:t>In order to make sense of complicated operational data, performance measures are crucial for revenue management decision-making. Managers can use these measures to see if their price plans, promotional activities, and capacity limitations are working as planned. Ivanov and Zhechev (2012) found that income leakage and poor strategy alignment are more likely to occur when judgments about revenue management are based on gut feelings rather than evidence.</w:t>
      </w:r>
      <w:r w:rsidRPr="00F5343E">
        <w:rPr>
          <w:rFonts w:asciiTheme="majorBidi" w:hAnsiTheme="majorBidi" w:cstheme="majorBidi"/>
          <w:lang w:val="en-GB"/>
        </w:rPr>
        <w:br/>
      </w:r>
      <w:r w:rsidRPr="00F5343E">
        <w:rPr>
          <w:rFonts w:asciiTheme="majorBidi" w:hAnsiTheme="majorBidi" w:cstheme="majorBidi"/>
          <w:lang w:val="en-GB"/>
        </w:rPr>
        <w:br/>
        <w:t xml:space="preserve">Metrics are useful for comparing things and seeing patterns. Finding performance gaps, evaluating market positioning, and refining revenue strategies are all possible when hotels </w:t>
      </w:r>
      <w:proofErr w:type="spellStart"/>
      <w:r w:rsidRPr="00F5343E">
        <w:rPr>
          <w:rFonts w:asciiTheme="majorBidi" w:hAnsiTheme="majorBidi" w:cstheme="majorBidi"/>
          <w:lang w:val="en-GB"/>
        </w:rPr>
        <w:t>analyze</w:t>
      </w:r>
      <w:proofErr w:type="spellEnd"/>
      <w:r w:rsidRPr="00F5343E">
        <w:rPr>
          <w:rFonts w:asciiTheme="majorBidi" w:hAnsiTheme="majorBidi" w:cstheme="majorBidi"/>
          <w:lang w:val="en-GB"/>
        </w:rPr>
        <w:t xml:space="preserve"> key indicators over time or benchmark against competitors. All throughout the company, divisions like marketing, operations, and finance work together in harmony thanks to performance indicators, which allow for consistent and well-informed decision-making (Noone &amp; McGuire, 2014).</w:t>
      </w:r>
      <w:r w:rsidRPr="00F5343E">
        <w:rPr>
          <w:rFonts w:asciiTheme="majorBidi" w:hAnsiTheme="majorBidi" w:cstheme="majorBidi"/>
          <w:lang w:val="en-GB"/>
        </w:rPr>
        <w:br/>
      </w:r>
      <w:r w:rsidRPr="00F5343E">
        <w:rPr>
          <w:rFonts w:asciiTheme="majorBidi" w:hAnsiTheme="majorBidi" w:cstheme="majorBidi"/>
          <w:lang w:val="en-GB"/>
        </w:rPr>
        <w:br/>
      </w:r>
      <w:r w:rsidRPr="00F5343E">
        <w:rPr>
          <w:rFonts w:asciiTheme="majorBidi" w:hAnsiTheme="majorBidi" w:cstheme="majorBidi"/>
          <w:b/>
          <w:bCs/>
          <w:lang w:val="en-GB"/>
        </w:rPr>
        <w:t>The Importance of Key Revenue Management Metrics for Managers</w:t>
      </w:r>
    </w:p>
    <w:p w14:paraId="26774AB6" w14:textId="77777777" w:rsidR="006069FA" w:rsidRDefault="006069FA" w:rsidP="00F52BBF">
      <w:pPr>
        <w:pStyle w:val="ListParagraph"/>
        <w:spacing w:line="360" w:lineRule="auto"/>
        <w:ind w:left="0"/>
        <w:rPr>
          <w:rFonts w:asciiTheme="majorBidi" w:hAnsiTheme="majorBidi" w:cstheme="majorBidi"/>
          <w:lang w:val="en-GB"/>
        </w:rPr>
      </w:pPr>
    </w:p>
    <w:p w14:paraId="09574D07" w14:textId="0E246D06" w:rsidR="006069FA" w:rsidRDefault="006069FA" w:rsidP="00F52BBF">
      <w:pPr>
        <w:pStyle w:val="ListParagraph"/>
        <w:spacing w:line="360" w:lineRule="auto"/>
        <w:ind w:left="0"/>
        <w:rPr>
          <w:rFonts w:asciiTheme="majorBidi" w:hAnsiTheme="majorBidi" w:cstheme="majorBidi"/>
          <w:lang w:val="en-GB"/>
        </w:rPr>
      </w:pPr>
      <w:r w:rsidRPr="006069FA">
        <w:rPr>
          <w:rFonts w:asciiTheme="majorBidi" w:hAnsiTheme="majorBidi" w:cstheme="majorBidi"/>
          <w:b/>
          <w:bCs/>
          <w:lang w:val="en-GB"/>
        </w:rPr>
        <w:lastRenderedPageBreak/>
        <w:t>ADR (Average Daily Rate)</w:t>
      </w:r>
      <w:r w:rsidR="00F5343E" w:rsidRPr="00F5343E">
        <w:rPr>
          <w:rFonts w:asciiTheme="majorBidi" w:hAnsiTheme="majorBidi" w:cstheme="majorBidi"/>
          <w:lang w:val="en-GB"/>
        </w:rPr>
        <w:br/>
        <w:t>Earnings per available room (ADR) is a measure of hotel profitability over a specific time frame. By dividing the total revenue from rooms sold by the number of rooms available, it can be determined. The average daily rate (ADR) is a measure of how well a hotel sets its prices and how much its product is valued by customers.</w:t>
      </w:r>
      <w:r w:rsidR="00F5343E" w:rsidRPr="00F5343E">
        <w:rPr>
          <w:rFonts w:asciiTheme="majorBidi" w:hAnsiTheme="majorBidi" w:cstheme="majorBidi"/>
          <w:lang w:val="en-GB"/>
        </w:rPr>
        <w:br/>
      </w:r>
      <w:r w:rsidR="00F5343E" w:rsidRPr="00F5343E">
        <w:rPr>
          <w:rFonts w:asciiTheme="majorBidi" w:hAnsiTheme="majorBidi" w:cstheme="majorBidi"/>
          <w:lang w:val="en-GB"/>
        </w:rPr>
        <w:br/>
        <w:t>When it comes to assessing pricing tactics and brand positioning, ADR is vital from a managerial viewpoint. Successful premium pricing or high demand can be indicated by an increasing ADR, whereas excessive discounting or competitive pressure could be indicated by a falling ADR. On the other hand, ADR isn't a perfect measure of performance since low occupancy might cancel out high rates (Kimes, 2011).</w:t>
      </w:r>
      <w:r w:rsidR="00F5343E" w:rsidRPr="00F5343E">
        <w:rPr>
          <w:rFonts w:asciiTheme="majorBidi" w:hAnsiTheme="majorBidi" w:cstheme="majorBidi"/>
          <w:lang w:val="en-GB"/>
        </w:rPr>
        <w:br/>
      </w:r>
      <w:r w:rsidR="00F5343E" w:rsidRPr="00F5343E">
        <w:rPr>
          <w:rFonts w:asciiTheme="majorBidi" w:hAnsiTheme="majorBidi" w:cstheme="majorBidi"/>
          <w:lang w:val="en-GB"/>
        </w:rPr>
        <w:br/>
      </w:r>
      <w:r w:rsidR="00F5343E" w:rsidRPr="00F5343E">
        <w:rPr>
          <w:rFonts w:asciiTheme="majorBidi" w:hAnsiTheme="majorBidi" w:cstheme="majorBidi"/>
          <w:b/>
          <w:bCs/>
          <w:lang w:val="en-GB"/>
        </w:rPr>
        <w:t>Rate of Occupancy</w:t>
      </w:r>
      <w:r w:rsidR="00F5343E" w:rsidRPr="00F5343E">
        <w:rPr>
          <w:rFonts w:asciiTheme="majorBidi" w:hAnsiTheme="majorBidi" w:cstheme="majorBidi"/>
          <w:lang w:val="en-GB"/>
        </w:rPr>
        <w:br/>
      </w:r>
      <w:r w:rsidR="00F5343E" w:rsidRPr="00F5343E">
        <w:rPr>
          <w:rFonts w:asciiTheme="majorBidi" w:hAnsiTheme="majorBidi" w:cstheme="majorBidi"/>
          <w:lang w:val="en-GB"/>
        </w:rPr>
        <w:br/>
        <w:t>The percentage of available rooms sold during a certain period is called the occupancy rate. The formula is as follows: rooms sold divided by rooms available. The demand levels and the hotel's capacity to attract customers are reflected in this measure.</w:t>
      </w:r>
      <w:r w:rsidR="00F5343E" w:rsidRPr="00F5343E">
        <w:rPr>
          <w:rFonts w:asciiTheme="majorBidi" w:hAnsiTheme="majorBidi" w:cstheme="majorBidi"/>
          <w:lang w:val="en-GB"/>
        </w:rPr>
        <w:br/>
      </w:r>
      <w:r w:rsidR="00F5343E" w:rsidRPr="00F5343E">
        <w:rPr>
          <w:rFonts w:asciiTheme="majorBidi" w:hAnsiTheme="majorBidi" w:cstheme="majorBidi"/>
          <w:lang w:val="en-GB"/>
        </w:rPr>
        <w:br/>
        <w:t>In order to gauge supply and demand and efficiency, managers look at the occupancy rate. When occupancy is high, it means demand is high, and when it's low, it means you need to do something about the price or promotions. But occupancy rates alone could be deceiving, since filling rooms at rock-bottom costs might cut into profits (Hung et al., 2010).</w:t>
      </w:r>
      <w:r w:rsidR="00F5343E" w:rsidRPr="00F5343E">
        <w:rPr>
          <w:rFonts w:asciiTheme="majorBidi" w:hAnsiTheme="majorBidi" w:cstheme="majorBidi"/>
          <w:lang w:val="en-GB"/>
        </w:rPr>
        <w:br/>
      </w:r>
      <w:r w:rsidR="00F5343E" w:rsidRPr="00F5343E">
        <w:rPr>
          <w:rFonts w:asciiTheme="majorBidi" w:hAnsiTheme="majorBidi" w:cstheme="majorBidi"/>
          <w:b/>
          <w:bCs/>
          <w:lang w:val="en-GB"/>
        </w:rPr>
        <w:br/>
        <w:t>Revenue generated from each available room, or RevPAR,</w:t>
      </w:r>
      <w:r w:rsidR="00F5343E" w:rsidRPr="00F5343E">
        <w:rPr>
          <w:rFonts w:asciiTheme="majorBidi" w:hAnsiTheme="majorBidi" w:cstheme="majorBidi"/>
          <w:lang w:val="en-GB"/>
        </w:rPr>
        <w:br/>
      </w:r>
      <w:r w:rsidR="00F5343E" w:rsidRPr="00F5343E">
        <w:rPr>
          <w:rFonts w:asciiTheme="majorBidi" w:hAnsiTheme="majorBidi" w:cstheme="majorBidi"/>
          <w:lang w:val="en-GB"/>
        </w:rPr>
        <w:br/>
        <w:t>If you multiply average daily rate by occupancy rate or divide total room revenue by available rooms, you get RevPAR, which is a combination of pricing and occupancy performance. In the hospitality industry, it ranks high among the most popular KPIs.</w:t>
      </w:r>
      <w:r w:rsidR="00F5343E" w:rsidRPr="00F5343E">
        <w:rPr>
          <w:rFonts w:asciiTheme="majorBidi" w:hAnsiTheme="majorBidi" w:cstheme="majorBidi"/>
          <w:lang w:val="en-GB"/>
        </w:rPr>
        <w:br/>
      </w:r>
      <w:r w:rsidR="00F5343E" w:rsidRPr="00F5343E">
        <w:rPr>
          <w:rFonts w:asciiTheme="majorBidi" w:hAnsiTheme="majorBidi" w:cstheme="majorBidi"/>
          <w:lang w:val="en-GB"/>
        </w:rPr>
        <w:br/>
        <w:t>One reason RevPAR is so useful is that it captures the price-volume trade-off and gives a more balanced picture of revenue performance. Using RevPAR, managers can compare performance across different time periods, properties, or competitors. An improvement in revenue efficiency is shown by a rise in RevPAR, which can be caused by either higher pricing or greater occupancy rates, or even both (Noone &amp; McGuire, 2014).</w:t>
      </w:r>
      <w:r w:rsidR="00F5343E" w:rsidRPr="00F5343E">
        <w:rPr>
          <w:rFonts w:asciiTheme="majorBidi" w:hAnsiTheme="majorBidi" w:cstheme="majorBidi"/>
          <w:lang w:val="en-GB"/>
        </w:rPr>
        <w:br/>
      </w:r>
      <w:r w:rsidR="00F5343E" w:rsidRPr="00F5343E">
        <w:rPr>
          <w:rFonts w:asciiTheme="majorBidi" w:hAnsiTheme="majorBidi" w:cstheme="majorBidi"/>
          <w:lang w:val="en-GB"/>
        </w:rPr>
        <w:lastRenderedPageBreak/>
        <w:br/>
      </w:r>
      <w:r w:rsidR="00F5343E" w:rsidRPr="00F5343E">
        <w:rPr>
          <w:rFonts w:asciiTheme="majorBidi" w:hAnsiTheme="majorBidi" w:cstheme="majorBidi"/>
          <w:b/>
          <w:bCs/>
          <w:lang w:val="en-GB"/>
        </w:rPr>
        <w:t>Operating Profit Gross per Available Room (GOPPAR) method</w:t>
      </w:r>
      <w:r w:rsidR="00F5343E" w:rsidRPr="00F5343E">
        <w:rPr>
          <w:rFonts w:asciiTheme="majorBidi" w:hAnsiTheme="majorBidi" w:cstheme="majorBidi"/>
          <w:lang w:val="en-GB"/>
        </w:rPr>
        <w:br/>
      </w:r>
      <w:r w:rsidR="00F5343E" w:rsidRPr="00F5343E">
        <w:rPr>
          <w:rFonts w:asciiTheme="majorBidi" w:hAnsiTheme="majorBidi" w:cstheme="majorBidi"/>
          <w:lang w:val="en-GB"/>
        </w:rPr>
        <w:br/>
        <w:t>The gross operating profit divided by the number of available rooms is the GOPAR metric, which is used to quantify profitability instead of revenue. Operating expenses including labour, utilities, and marketing are factored into GOPPAR, in contrast to RevPAR.</w:t>
      </w:r>
      <w:r w:rsidR="00F5343E" w:rsidRPr="00F5343E">
        <w:rPr>
          <w:rFonts w:asciiTheme="majorBidi" w:hAnsiTheme="majorBidi" w:cstheme="majorBidi"/>
          <w:lang w:val="en-GB"/>
        </w:rPr>
        <w:br/>
      </w:r>
      <w:r w:rsidR="00F5343E" w:rsidRPr="00F5343E">
        <w:rPr>
          <w:rFonts w:asciiTheme="majorBidi" w:hAnsiTheme="majorBidi" w:cstheme="majorBidi"/>
          <w:lang w:val="en-GB"/>
        </w:rPr>
        <w:br/>
        <w:t>From a managerial perspective, GOPPAR is essential for assessing the genuine monetary effects of decisions made regarding revenue management. A plan to boost RevPAR can end up hurting profits if expenses go up at an astronomical rate. By integrating revenue optimization, cost control, and operational efficiency, GOPPAR enables more comprehensive decision-making (</w:t>
      </w:r>
      <w:proofErr w:type="spellStart"/>
      <w:r w:rsidR="00F5343E" w:rsidRPr="00F5343E">
        <w:rPr>
          <w:rFonts w:asciiTheme="majorBidi" w:hAnsiTheme="majorBidi" w:cstheme="majorBidi"/>
          <w:lang w:val="en-GB"/>
        </w:rPr>
        <w:t>Abrate</w:t>
      </w:r>
      <w:proofErr w:type="spellEnd"/>
      <w:r w:rsidR="00F5343E" w:rsidRPr="00F5343E">
        <w:rPr>
          <w:rFonts w:asciiTheme="majorBidi" w:hAnsiTheme="majorBidi" w:cstheme="majorBidi"/>
          <w:lang w:val="en-GB"/>
        </w:rPr>
        <w:t xml:space="preserve"> et al., 2012).</w:t>
      </w:r>
    </w:p>
    <w:p w14:paraId="35472E1F" w14:textId="77777777" w:rsidR="006069FA" w:rsidRDefault="006069FA" w:rsidP="00F52BBF">
      <w:pPr>
        <w:pStyle w:val="ListParagraph"/>
        <w:spacing w:line="360" w:lineRule="auto"/>
        <w:rPr>
          <w:rFonts w:asciiTheme="majorBidi" w:hAnsiTheme="majorBidi" w:cstheme="majorBidi"/>
          <w:lang w:val="en-GB"/>
        </w:rPr>
      </w:pPr>
    </w:p>
    <w:p w14:paraId="7CC7339A" w14:textId="0D5B1AAE" w:rsidR="00F5343E" w:rsidRPr="00F5343E" w:rsidRDefault="00F5343E" w:rsidP="00F52BBF">
      <w:pPr>
        <w:pStyle w:val="ListParagraph"/>
        <w:spacing w:line="360" w:lineRule="auto"/>
        <w:ind w:left="0"/>
        <w:rPr>
          <w:rFonts w:asciiTheme="majorBidi" w:hAnsiTheme="majorBidi" w:cstheme="majorBidi"/>
          <w:lang w:val="en-GB"/>
        </w:rPr>
      </w:pPr>
      <w:r w:rsidRPr="00F5343E">
        <w:rPr>
          <w:rFonts w:asciiTheme="majorBidi" w:hAnsiTheme="majorBidi" w:cstheme="majorBidi"/>
          <w:lang w:val="en-GB"/>
        </w:rPr>
        <w:br/>
      </w:r>
      <w:r w:rsidRPr="00F5343E">
        <w:rPr>
          <w:rFonts w:asciiTheme="majorBidi" w:hAnsiTheme="majorBidi" w:cstheme="majorBidi"/>
          <w:b/>
          <w:bCs/>
          <w:lang w:val="en-GB"/>
        </w:rPr>
        <w:t>In summary</w:t>
      </w:r>
      <w:r w:rsidRPr="00F5343E">
        <w:rPr>
          <w:rFonts w:asciiTheme="majorBidi" w:hAnsiTheme="majorBidi" w:cstheme="majorBidi"/>
          <w:lang w:val="en-GB"/>
        </w:rPr>
        <w:br/>
      </w:r>
      <w:r w:rsidRPr="00F5343E">
        <w:rPr>
          <w:rFonts w:asciiTheme="majorBidi" w:hAnsiTheme="majorBidi" w:cstheme="majorBidi"/>
          <w:lang w:val="en-GB"/>
        </w:rPr>
        <w:br/>
        <w:t>To maximize profits from perishable goods in a volatile and competitive market, revenue management is an essential strategic function for hotel operations. Decisions about capacity, promotions, and pricing are all aided by performance measures, which offer objective, data-driven insights. In contrast to RevPAR and GOPPAR, which give more holistic and profit-driven assessments, ADR and occupancy rate give more narrow views of demand and pricing. Taken as a whole, these metrics let hotel management see the big picture and make well-rounded decisions that help meet revenue targets both now and in the future.</w:t>
      </w:r>
    </w:p>
    <w:p w14:paraId="0E385F2F" w14:textId="77777777" w:rsidR="00F5343E" w:rsidRDefault="00F5343E" w:rsidP="00F52BBF">
      <w:pPr>
        <w:pStyle w:val="ListParagraph"/>
        <w:spacing w:line="360" w:lineRule="auto"/>
        <w:rPr>
          <w:rFonts w:asciiTheme="majorBidi" w:hAnsiTheme="majorBidi" w:cstheme="majorBidi"/>
          <w:lang w:val="en-US"/>
        </w:rPr>
      </w:pPr>
    </w:p>
    <w:p w14:paraId="2328D1A3" w14:textId="77777777" w:rsidR="00F52BBF" w:rsidRDefault="00F52BBF" w:rsidP="00F52BBF">
      <w:pPr>
        <w:pStyle w:val="ListParagraph"/>
        <w:spacing w:line="360" w:lineRule="auto"/>
        <w:rPr>
          <w:rFonts w:asciiTheme="majorBidi" w:hAnsiTheme="majorBidi" w:cstheme="majorBidi"/>
          <w:lang w:val="en-US"/>
        </w:rPr>
      </w:pPr>
    </w:p>
    <w:p w14:paraId="26C89075" w14:textId="77777777" w:rsidR="00F52BBF" w:rsidRDefault="00F52BBF" w:rsidP="00F52BBF">
      <w:pPr>
        <w:pStyle w:val="ListParagraph"/>
        <w:spacing w:line="360" w:lineRule="auto"/>
        <w:rPr>
          <w:rFonts w:asciiTheme="majorBidi" w:hAnsiTheme="majorBidi" w:cstheme="majorBidi"/>
          <w:lang w:val="en-US"/>
        </w:rPr>
      </w:pPr>
    </w:p>
    <w:p w14:paraId="6AF4C89B" w14:textId="77777777" w:rsidR="00F52BBF" w:rsidRDefault="00F52BBF" w:rsidP="00F52BBF">
      <w:pPr>
        <w:pStyle w:val="ListParagraph"/>
        <w:spacing w:line="360" w:lineRule="auto"/>
        <w:rPr>
          <w:rFonts w:asciiTheme="majorBidi" w:hAnsiTheme="majorBidi" w:cstheme="majorBidi"/>
          <w:lang w:val="en-US"/>
        </w:rPr>
      </w:pPr>
    </w:p>
    <w:p w14:paraId="420F09B7" w14:textId="77777777" w:rsidR="00F52BBF" w:rsidRDefault="00F52BBF" w:rsidP="00F52BBF">
      <w:pPr>
        <w:pStyle w:val="ListParagraph"/>
        <w:spacing w:line="360" w:lineRule="auto"/>
        <w:rPr>
          <w:rFonts w:asciiTheme="majorBidi" w:hAnsiTheme="majorBidi" w:cstheme="majorBidi"/>
          <w:lang w:val="en-US"/>
        </w:rPr>
      </w:pPr>
    </w:p>
    <w:p w14:paraId="22802FBB" w14:textId="77777777" w:rsidR="00F52BBF" w:rsidRDefault="00F52BBF" w:rsidP="00F52BBF">
      <w:pPr>
        <w:pStyle w:val="ListParagraph"/>
        <w:spacing w:line="360" w:lineRule="auto"/>
        <w:rPr>
          <w:rFonts w:asciiTheme="majorBidi" w:hAnsiTheme="majorBidi" w:cstheme="majorBidi"/>
          <w:lang w:val="en-US"/>
        </w:rPr>
      </w:pPr>
    </w:p>
    <w:p w14:paraId="4F200508" w14:textId="77777777" w:rsidR="00F52BBF" w:rsidRDefault="00F52BBF" w:rsidP="00F52BBF">
      <w:pPr>
        <w:pStyle w:val="ListParagraph"/>
        <w:spacing w:line="360" w:lineRule="auto"/>
        <w:rPr>
          <w:rFonts w:asciiTheme="majorBidi" w:hAnsiTheme="majorBidi" w:cstheme="majorBidi"/>
          <w:lang w:val="en-US"/>
        </w:rPr>
      </w:pPr>
    </w:p>
    <w:p w14:paraId="03F4D928" w14:textId="77777777" w:rsidR="00F52BBF" w:rsidRDefault="00F52BBF" w:rsidP="00F52BBF">
      <w:pPr>
        <w:pStyle w:val="ListParagraph"/>
        <w:spacing w:line="360" w:lineRule="auto"/>
        <w:rPr>
          <w:rFonts w:asciiTheme="majorBidi" w:hAnsiTheme="majorBidi" w:cstheme="majorBidi"/>
          <w:lang w:val="en-US"/>
        </w:rPr>
      </w:pPr>
    </w:p>
    <w:p w14:paraId="7F12F9BF" w14:textId="77777777" w:rsidR="00F52BBF" w:rsidRDefault="00F52BBF" w:rsidP="00F52BBF">
      <w:pPr>
        <w:pStyle w:val="ListParagraph"/>
        <w:spacing w:line="360" w:lineRule="auto"/>
        <w:rPr>
          <w:rFonts w:asciiTheme="majorBidi" w:hAnsiTheme="majorBidi" w:cstheme="majorBidi"/>
          <w:lang w:val="en-US"/>
        </w:rPr>
      </w:pPr>
    </w:p>
    <w:p w14:paraId="35885753" w14:textId="77777777" w:rsidR="00F52BBF" w:rsidRDefault="00F52BBF" w:rsidP="00F52BBF">
      <w:pPr>
        <w:pStyle w:val="ListParagraph"/>
        <w:spacing w:line="360" w:lineRule="auto"/>
        <w:rPr>
          <w:rFonts w:asciiTheme="majorBidi" w:hAnsiTheme="majorBidi" w:cstheme="majorBidi"/>
          <w:lang w:val="en-US"/>
        </w:rPr>
      </w:pPr>
    </w:p>
    <w:p w14:paraId="4CDBDD51" w14:textId="77777777" w:rsidR="00F52BBF" w:rsidRDefault="00F52BBF" w:rsidP="00F52BBF">
      <w:pPr>
        <w:pStyle w:val="ListParagraph"/>
        <w:spacing w:line="360" w:lineRule="auto"/>
        <w:rPr>
          <w:rFonts w:asciiTheme="majorBidi" w:hAnsiTheme="majorBidi" w:cstheme="majorBidi"/>
          <w:lang w:val="en-US"/>
        </w:rPr>
      </w:pPr>
    </w:p>
    <w:p w14:paraId="37264901" w14:textId="77777777" w:rsidR="00F52BBF" w:rsidRDefault="00F52BBF" w:rsidP="00F52BBF">
      <w:pPr>
        <w:pStyle w:val="ListParagraph"/>
        <w:spacing w:line="360" w:lineRule="auto"/>
        <w:rPr>
          <w:rFonts w:asciiTheme="majorBidi" w:hAnsiTheme="majorBidi" w:cstheme="majorBidi"/>
          <w:lang w:val="en-US"/>
        </w:rPr>
      </w:pPr>
    </w:p>
    <w:p w14:paraId="63FB967C" w14:textId="77777777" w:rsidR="00F52BBF" w:rsidRDefault="00F52BBF" w:rsidP="00F52BBF">
      <w:pPr>
        <w:pStyle w:val="ListParagraph"/>
        <w:spacing w:line="360" w:lineRule="auto"/>
        <w:rPr>
          <w:rFonts w:asciiTheme="majorBidi" w:hAnsiTheme="majorBidi" w:cstheme="majorBidi"/>
          <w:lang w:val="en-US"/>
        </w:rPr>
      </w:pPr>
    </w:p>
    <w:p w14:paraId="4A81D7A0" w14:textId="77777777" w:rsidR="00F52BBF" w:rsidRDefault="00F52BBF" w:rsidP="00F52BBF">
      <w:pPr>
        <w:pStyle w:val="ListParagraph"/>
        <w:spacing w:line="360" w:lineRule="auto"/>
        <w:rPr>
          <w:rFonts w:asciiTheme="majorBidi" w:hAnsiTheme="majorBidi" w:cstheme="majorBidi"/>
          <w:lang w:val="en-US"/>
        </w:rPr>
      </w:pPr>
    </w:p>
    <w:p w14:paraId="33606D9A" w14:textId="77777777" w:rsidR="00F52BBF" w:rsidRDefault="00F52BBF" w:rsidP="00F52BBF">
      <w:pPr>
        <w:pStyle w:val="ListParagraph"/>
        <w:spacing w:line="360" w:lineRule="auto"/>
        <w:rPr>
          <w:rFonts w:asciiTheme="majorBidi" w:hAnsiTheme="majorBidi" w:cstheme="majorBidi"/>
          <w:lang w:val="en-US"/>
        </w:rPr>
      </w:pPr>
    </w:p>
    <w:p w14:paraId="25866ADA" w14:textId="77777777" w:rsidR="00F52BBF" w:rsidRDefault="00F52BBF" w:rsidP="00F52BBF">
      <w:pPr>
        <w:pStyle w:val="ListParagraph"/>
        <w:spacing w:line="360" w:lineRule="auto"/>
        <w:rPr>
          <w:rFonts w:asciiTheme="majorBidi" w:hAnsiTheme="majorBidi" w:cstheme="majorBidi"/>
          <w:lang w:val="en-US"/>
        </w:rPr>
      </w:pPr>
    </w:p>
    <w:p w14:paraId="7FDF7276" w14:textId="77777777" w:rsidR="00F52BBF" w:rsidRDefault="00F52BBF" w:rsidP="00F52BBF">
      <w:pPr>
        <w:pStyle w:val="ListParagraph"/>
        <w:spacing w:line="360" w:lineRule="auto"/>
        <w:rPr>
          <w:rFonts w:asciiTheme="majorBidi" w:hAnsiTheme="majorBidi" w:cstheme="majorBidi"/>
          <w:lang w:val="en-US"/>
        </w:rPr>
      </w:pPr>
    </w:p>
    <w:p w14:paraId="704AC7F4" w14:textId="77777777" w:rsidR="00F52BBF" w:rsidRDefault="00F52BBF" w:rsidP="00F52BBF">
      <w:pPr>
        <w:pStyle w:val="ListParagraph"/>
        <w:spacing w:line="360" w:lineRule="auto"/>
        <w:rPr>
          <w:rFonts w:asciiTheme="majorBidi" w:hAnsiTheme="majorBidi" w:cstheme="majorBidi"/>
          <w:lang w:val="en-US"/>
        </w:rPr>
      </w:pPr>
    </w:p>
    <w:p w14:paraId="2EE52E04" w14:textId="77777777" w:rsidR="00F52BBF" w:rsidRDefault="00F52BBF" w:rsidP="00F52BBF">
      <w:pPr>
        <w:pStyle w:val="ListParagraph"/>
        <w:spacing w:line="360" w:lineRule="auto"/>
        <w:rPr>
          <w:rFonts w:asciiTheme="majorBidi" w:hAnsiTheme="majorBidi" w:cstheme="majorBidi"/>
          <w:lang w:val="en-US"/>
        </w:rPr>
      </w:pPr>
    </w:p>
    <w:p w14:paraId="412E1F5F" w14:textId="77777777" w:rsidR="00F52BBF" w:rsidRDefault="00F52BBF" w:rsidP="00F52BBF">
      <w:pPr>
        <w:pStyle w:val="ListParagraph"/>
        <w:spacing w:line="360" w:lineRule="auto"/>
        <w:rPr>
          <w:rFonts w:asciiTheme="majorBidi" w:hAnsiTheme="majorBidi" w:cstheme="majorBidi"/>
          <w:lang w:val="en-US"/>
        </w:rPr>
      </w:pPr>
    </w:p>
    <w:p w14:paraId="54C75DEF" w14:textId="77777777" w:rsidR="00F52BBF" w:rsidRDefault="00F52BBF" w:rsidP="00F52BBF">
      <w:pPr>
        <w:pStyle w:val="ListParagraph"/>
        <w:spacing w:line="360" w:lineRule="auto"/>
        <w:rPr>
          <w:rFonts w:asciiTheme="majorBidi" w:hAnsiTheme="majorBidi" w:cstheme="majorBidi"/>
          <w:lang w:val="en-US"/>
        </w:rPr>
      </w:pPr>
    </w:p>
    <w:p w14:paraId="5AFE72DF" w14:textId="77777777" w:rsidR="00F52BBF" w:rsidRDefault="00F52BBF" w:rsidP="00F52BBF">
      <w:pPr>
        <w:pStyle w:val="ListParagraph"/>
        <w:spacing w:line="360" w:lineRule="auto"/>
        <w:rPr>
          <w:rFonts w:asciiTheme="majorBidi" w:hAnsiTheme="majorBidi" w:cstheme="majorBidi"/>
          <w:lang w:val="en-US"/>
        </w:rPr>
      </w:pPr>
    </w:p>
    <w:p w14:paraId="37837F23" w14:textId="77777777" w:rsidR="00F52BBF" w:rsidRDefault="00F52BBF" w:rsidP="00F52BBF">
      <w:pPr>
        <w:pStyle w:val="ListParagraph"/>
        <w:spacing w:line="360" w:lineRule="auto"/>
        <w:rPr>
          <w:rFonts w:asciiTheme="majorBidi" w:hAnsiTheme="majorBidi" w:cstheme="majorBidi"/>
          <w:lang w:val="en-US"/>
        </w:rPr>
      </w:pPr>
    </w:p>
    <w:p w14:paraId="0C6906B6" w14:textId="77777777" w:rsidR="00F52BBF" w:rsidRDefault="00F52BBF" w:rsidP="00F52BBF">
      <w:pPr>
        <w:pStyle w:val="ListParagraph"/>
        <w:spacing w:line="360" w:lineRule="auto"/>
        <w:rPr>
          <w:rFonts w:asciiTheme="majorBidi" w:hAnsiTheme="majorBidi" w:cstheme="majorBidi"/>
          <w:lang w:val="en-US"/>
        </w:rPr>
      </w:pPr>
    </w:p>
    <w:p w14:paraId="27C817CF" w14:textId="77777777" w:rsidR="00F52BBF" w:rsidRDefault="00F52BBF" w:rsidP="00F52BBF">
      <w:pPr>
        <w:pStyle w:val="ListParagraph"/>
        <w:spacing w:line="360" w:lineRule="auto"/>
        <w:rPr>
          <w:rFonts w:asciiTheme="majorBidi" w:hAnsiTheme="majorBidi" w:cstheme="majorBidi"/>
          <w:lang w:val="en-US"/>
        </w:rPr>
      </w:pPr>
    </w:p>
    <w:p w14:paraId="187B8258" w14:textId="77777777" w:rsidR="00F52BBF" w:rsidRDefault="00F52BBF" w:rsidP="00F52BBF">
      <w:pPr>
        <w:pStyle w:val="ListParagraph"/>
        <w:spacing w:line="360" w:lineRule="auto"/>
        <w:rPr>
          <w:rFonts w:asciiTheme="majorBidi" w:hAnsiTheme="majorBidi" w:cstheme="majorBidi"/>
          <w:lang w:val="en-US"/>
        </w:rPr>
      </w:pPr>
    </w:p>
    <w:p w14:paraId="3596FD22" w14:textId="77777777" w:rsidR="00F52BBF" w:rsidRDefault="00F52BBF" w:rsidP="00F52BBF">
      <w:pPr>
        <w:pStyle w:val="ListParagraph"/>
        <w:spacing w:line="360" w:lineRule="auto"/>
        <w:rPr>
          <w:rFonts w:asciiTheme="majorBidi" w:hAnsiTheme="majorBidi" w:cstheme="majorBidi"/>
          <w:lang w:val="en-US"/>
        </w:rPr>
      </w:pPr>
    </w:p>
    <w:p w14:paraId="67EC4EB7" w14:textId="77777777" w:rsidR="00F52BBF" w:rsidRDefault="00F52BBF" w:rsidP="00F52BBF">
      <w:pPr>
        <w:pStyle w:val="ListParagraph"/>
        <w:spacing w:line="360" w:lineRule="auto"/>
        <w:rPr>
          <w:rFonts w:asciiTheme="majorBidi" w:hAnsiTheme="majorBidi" w:cstheme="majorBidi"/>
          <w:lang w:val="en-US"/>
        </w:rPr>
      </w:pPr>
    </w:p>
    <w:p w14:paraId="35EFA86C" w14:textId="77777777" w:rsidR="00F52BBF" w:rsidRDefault="00F52BBF" w:rsidP="00F52BBF">
      <w:pPr>
        <w:pStyle w:val="ListParagraph"/>
        <w:spacing w:line="360" w:lineRule="auto"/>
        <w:rPr>
          <w:rFonts w:asciiTheme="majorBidi" w:hAnsiTheme="majorBidi" w:cstheme="majorBidi"/>
          <w:lang w:val="en-US"/>
        </w:rPr>
      </w:pPr>
    </w:p>
    <w:p w14:paraId="655B499B" w14:textId="77777777" w:rsidR="00F52BBF" w:rsidRDefault="00F52BBF" w:rsidP="00F52BBF">
      <w:pPr>
        <w:pStyle w:val="ListParagraph"/>
        <w:spacing w:line="360" w:lineRule="auto"/>
        <w:rPr>
          <w:rFonts w:asciiTheme="majorBidi" w:hAnsiTheme="majorBidi" w:cstheme="majorBidi"/>
          <w:lang w:val="en-US"/>
        </w:rPr>
      </w:pPr>
    </w:p>
    <w:p w14:paraId="44F03EDF" w14:textId="77777777" w:rsidR="00F52BBF" w:rsidRDefault="00F52BBF" w:rsidP="00F52BBF">
      <w:pPr>
        <w:pStyle w:val="ListParagraph"/>
        <w:spacing w:line="360" w:lineRule="auto"/>
        <w:rPr>
          <w:rFonts w:asciiTheme="majorBidi" w:hAnsiTheme="majorBidi" w:cstheme="majorBidi"/>
          <w:lang w:val="en-US"/>
        </w:rPr>
      </w:pPr>
    </w:p>
    <w:p w14:paraId="17DCF17E" w14:textId="77777777" w:rsidR="00F52BBF" w:rsidRDefault="00F52BBF" w:rsidP="00F52BBF">
      <w:pPr>
        <w:pStyle w:val="ListParagraph"/>
        <w:spacing w:line="360" w:lineRule="auto"/>
        <w:rPr>
          <w:rFonts w:asciiTheme="majorBidi" w:hAnsiTheme="majorBidi" w:cstheme="majorBidi"/>
          <w:lang w:val="en-US"/>
        </w:rPr>
      </w:pPr>
    </w:p>
    <w:p w14:paraId="51B464A9" w14:textId="77777777" w:rsidR="00F52BBF" w:rsidRDefault="00F52BBF" w:rsidP="00F52BBF">
      <w:pPr>
        <w:pStyle w:val="ListParagraph"/>
        <w:spacing w:line="360" w:lineRule="auto"/>
        <w:rPr>
          <w:rFonts w:asciiTheme="majorBidi" w:hAnsiTheme="majorBidi" w:cstheme="majorBidi"/>
          <w:lang w:val="en-US"/>
        </w:rPr>
      </w:pPr>
    </w:p>
    <w:p w14:paraId="123E364D" w14:textId="77777777" w:rsidR="00F52BBF" w:rsidRDefault="00F52BBF" w:rsidP="00F52BBF">
      <w:pPr>
        <w:pStyle w:val="ListParagraph"/>
        <w:spacing w:line="360" w:lineRule="auto"/>
        <w:rPr>
          <w:rFonts w:asciiTheme="majorBidi" w:hAnsiTheme="majorBidi" w:cstheme="majorBidi"/>
          <w:lang w:val="en-US"/>
        </w:rPr>
      </w:pPr>
    </w:p>
    <w:p w14:paraId="1790D25D" w14:textId="77777777" w:rsidR="00F52BBF" w:rsidRDefault="00F52BBF" w:rsidP="00F52BBF">
      <w:pPr>
        <w:pStyle w:val="ListParagraph"/>
        <w:spacing w:line="360" w:lineRule="auto"/>
        <w:rPr>
          <w:rFonts w:asciiTheme="majorBidi" w:hAnsiTheme="majorBidi" w:cstheme="majorBidi"/>
          <w:lang w:val="en-US"/>
        </w:rPr>
      </w:pPr>
    </w:p>
    <w:p w14:paraId="0535CCAA" w14:textId="77777777" w:rsidR="00F52BBF" w:rsidRDefault="00F52BBF" w:rsidP="00F52BBF">
      <w:pPr>
        <w:pStyle w:val="ListParagraph"/>
        <w:spacing w:line="360" w:lineRule="auto"/>
        <w:rPr>
          <w:rFonts w:asciiTheme="majorBidi" w:hAnsiTheme="majorBidi" w:cstheme="majorBidi"/>
          <w:lang w:val="en-US"/>
        </w:rPr>
      </w:pPr>
    </w:p>
    <w:p w14:paraId="2832F52C" w14:textId="77777777" w:rsidR="00F52BBF" w:rsidRDefault="00F52BBF" w:rsidP="00F52BBF">
      <w:pPr>
        <w:pStyle w:val="ListParagraph"/>
        <w:spacing w:line="360" w:lineRule="auto"/>
        <w:rPr>
          <w:rFonts w:asciiTheme="majorBidi" w:hAnsiTheme="majorBidi" w:cstheme="majorBidi"/>
          <w:lang w:val="en-US"/>
        </w:rPr>
      </w:pPr>
    </w:p>
    <w:p w14:paraId="4DDA5AD7" w14:textId="77777777" w:rsidR="00F52BBF" w:rsidRDefault="00F52BBF" w:rsidP="00F52BBF">
      <w:pPr>
        <w:pStyle w:val="ListParagraph"/>
        <w:spacing w:line="360" w:lineRule="auto"/>
        <w:rPr>
          <w:rFonts w:asciiTheme="majorBidi" w:hAnsiTheme="majorBidi" w:cstheme="majorBidi"/>
          <w:lang w:val="en-US"/>
        </w:rPr>
      </w:pPr>
    </w:p>
    <w:p w14:paraId="286010E9" w14:textId="77777777" w:rsidR="00F52BBF" w:rsidRDefault="00F52BBF" w:rsidP="00F52BBF">
      <w:pPr>
        <w:pStyle w:val="ListParagraph"/>
        <w:spacing w:line="360" w:lineRule="auto"/>
        <w:rPr>
          <w:rFonts w:asciiTheme="majorBidi" w:hAnsiTheme="majorBidi" w:cstheme="majorBidi"/>
          <w:lang w:val="en-US"/>
        </w:rPr>
      </w:pPr>
    </w:p>
    <w:p w14:paraId="21CE2AB9" w14:textId="77777777" w:rsidR="00F52BBF" w:rsidRDefault="00F52BBF" w:rsidP="00F52BBF">
      <w:pPr>
        <w:pStyle w:val="ListParagraph"/>
        <w:spacing w:line="360" w:lineRule="auto"/>
        <w:rPr>
          <w:rFonts w:asciiTheme="majorBidi" w:hAnsiTheme="majorBidi" w:cstheme="majorBidi"/>
          <w:lang w:val="en-US"/>
        </w:rPr>
      </w:pPr>
    </w:p>
    <w:p w14:paraId="0EAE0206" w14:textId="77777777" w:rsidR="00F52BBF" w:rsidRDefault="00F52BBF" w:rsidP="00F52BBF">
      <w:pPr>
        <w:pStyle w:val="ListParagraph"/>
        <w:spacing w:line="360" w:lineRule="auto"/>
        <w:rPr>
          <w:rFonts w:asciiTheme="majorBidi" w:hAnsiTheme="majorBidi" w:cstheme="majorBidi"/>
          <w:lang w:val="en-US"/>
        </w:rPr>
      </w:pPr>
    </w:p>
    <w:p w14:paraId="684EBF0F" w14:textId="77777777" w:rsidR="00F52BBF" w:rsidRDefault="00F52BBF" w:rsidP="00F52BBF">
      <w:pPr>
        <w:pStyle w:val="ListParagraph"/>
        <w:spacing w:line="360" w:lineRule="auto"/>
        <w:rPr>
          <w:rFonts w:asciiTheme="majorBidi" w:hAnsiTheme="majorBidi" w:cstheme="majorBidi"/>
          <w:lang w:val="en-US"/>
        </w:rPr>
      </w:pPr>
    </w:p>
    <w:p w14:paraId="37A24EBC" w14:textId="6149C5AD" w:rsidR="00F52BBF" w:rsidRDefault="00F52BBF" w:rsidP="00F52BBF">
      <w:pPr>
        <w:pStyle w:val="ListParagraph"/>
        <w:spacing w:line="360" w:lineRule="auto"/>
        <w:ind w:left="0"/>
        <w:rPr>
          <w:rFonts w:asciiTheme="majorBidi" w:hAnsiTheme="majorBidi" w:cstheme="majorBidi"/>
          <w:lang w:val="en-US"/>
        </w:rPr>
      </w:pPr>
      <w:r>
        <w:rPr>
          <w:rFonts w:asciiTheme="majorBidi" w:hAnsiTheme="majorBidi" w:cstheme="majorBidi"/>
          <w:lang w:val="en-US"/>
        </w:rPr>
        <w:t xml:space="preserve">References </w:t>
      </w:r>
    </w:p>
    <w:p w14:paraId="100EB4D1" w14:textId="77777777" w:rsidR="00F52BBF" w:rsidRDefault="00F52BBF" w:rsidP="00F52BBF">
      <w:pPr>
        <w:pStyle w:val="ListParagraph"/>
        <w:spacing w:line="360" w:lineRule="auto"/>
        <w:rPr>
          <w:rFonts w:asciiTheme="majorBidi" w:hAnsiTheme="majorBidi" w:cstheme="majorBidi"/>
          <w:lang w:val="en-US"/>
        </w:rPr>
      </w:pPr>
    </w:p>
    <w:p w14:paraId="2878D35C" w14:textId="77777777" w:rsidR="00F52BBF" w:rsidRPr="00F52BBF" w:rsidRDefault="00F52BBF" w:rsidP="00F52BBF">
      <w:pPr>
        <w:pStyle w:val="ListParagraph"/>
        <w:numPr>
          <w:ilvl w:val="0"/>
          <w:numId w:val="6"/>
        </w:numPr>
        <w:spacing w:line="360" w:lineRule="auto"/>
        <w:rPr>
          <w:rFonts w:asciiTheme="majorBidi" w:hAnsiTheme="majorBidi" w:cstheme="majorBidi"/>
          <w:lang w:val="en-GB"/>
        </w:rPr>
      </w:pPr>
      <w:proofErr w:type="spellStart"/>
      <w:r w:rsidRPr="00F52BBF">
        <w:rPr>
          <w:rFonts w:asciiTheme="majorBidi" w:hAnsiTheme="majorBidi" w:cstheme="majorBidi"/>
          <w:lang w:val="en-GB"/>
        </w:rPr>
        <w:lastRenderedPageBreak/>
        <w:t>Abrate</w:t>
      </w:r>
      <w:proofErr w:type="spellEnd"/>
      <w:r w:rsidRPr="00F52BBF">
        <w:rPr>
          <w:rFonts w:asciiTheme="majorBidi" w:hAnsiTheme="majorBidi" w:cstheme="majorBidi"/>
          <w:lang w:val="en-GB"/>
        </w:rPr>
        <w:t xml:space="preserve">, G., Capriello, A., &amp; </w:t>
      </w:r>
      <w:proofErr w:type="spellStart"/>
      <w:r w:rsidRPr="00F52BBF">
        <w:rPr>
          <w:rFonts w:asciiTheme="majorBidi" w:hAnsiTheme="majorBidi" w:cstheme="majorBidi"/>
          <w:lang w:val="en-GB"/>
        </w:rPr>
        <w:t>Fraquelli</w:t>
      </w:r>
      <w:proofErr w:type="spellEnd"/>
      <w:r w:rsidRPr="00F52BBF">
        <w:rPr>
          <w:rFonts w:asciiTheme="majorBidi" w:hAnsiTheme="majorBidi" w:cstheme="majorBidi"/>
          <w:lang w:val="en-GB"/>
        </w:rPr>
        <w:t xml:space="preserve">, G. (2012). When quality signals talk: Evidence from the Turin hotel industry. </w:t>
      </w:r>
      <w:r w:rsidRPr="00F52BBF">
        <w:rPr>
          <w:rFonts w:asciiTheme="majorBidi" w:hAnsiTheme="majorBidi" w:cstheme="majorBidi"/>
          <w:i/>
          <w:iCs/>
          <w:lang w:val="en-GB"/>
        </w:rPr>
        <w:t>Tourism Management, 33</w:t>
      </w:r>
      <w:r w:rsidRPr="00F52BBF">
        <w:rPr>
          <w:rFonts w:asciiTheme="majorBidi" w:hAnsiTheme="majorBidi" w:cstheme="majorBidi"/>
          <w:lang w:val="en-GB"/>
        </w:rPr>
        <w:t>(4), 912–921. https://doi.org/10.1016/j.tourman.2011.10.006</w:t>
      </w:r>
    </w:p>
    <w:p w14:paraId="3E513043" w14:textId="77777777" w:rsidR="00F52BBF" w:rsidRPr="00F52BBF" w:rsidRDefault="00F52BBF" w:rsidP="00F52BBF">
      <w:pPr>
        <w:pStyle w:val="ListParagraph"/>
        <w:numPr>
          <w:ilvl w:val="0"/>
          <w:numId w:val="6"/>
        </w:numPr>
        <w:spacing w:line="360" w:lineRule="auto"/>
        <w:rPr>
          <w:rFonts w:asciiTheme="majorBidi" w:hAnsiTheme="majorBidi" w:cstheme="majorBidi"/>
          <w:lang w:val="en-GB"/>
        </w:rPr>
      </w:pPr>
      <w:r w:rsidRPr="00F52BBF">
        <w:rPr>
          <w:rFonts w:asciiTheme="majorBidi" w:hAnsiTheme="majorBidi" w:cstheme="majorBidi"/>
          <w:lang w:val="en-GB"/>
        </w:rPr>
        <w:t xml:space="preserve">Hung, W.-T., Shang, J.-K., &amp; Wang, F.-C. (2010). Pricing determinants in the hotel industry. </w:t>
      </w:r>
      <w:r w:rsidRPr="00F52BBF">
        <w:rPr>
          <w:rFonts w:asciiTheme="majorBidi" w:hAnsiTheme="majorBidi" w:cstheme="majorBidi"/>
          <w:i/>
          <w:iCs/>
          <w:lang w:val="en-GB"/>
        </w:rPr>
        <w:t>Tourism Economics, 16</w:t>
      </w:r>
      <w:r w:rsidRPr="00F52BBF">
        <w:rPr>
          <w:rFonts w:asciiTheme="majorBidi" w:hAnsiTheme="majorBidi" w:cstheme="majorBidi"/>
          <w:lang w:val="en-GB"/>
        </w:rPr>
        <w:t>(4), 843–861. https://doi.org/10.5367/000000010793227767</w:t>
      </w:r>
    </w:p>
    <w:p w14:paraId="4BB54AE3" w14:textId="77777777" w:rsidR="00F52BBF" w:rsidRPr="00F52BBF" w:rsidRDefault="00F52BBF" w:rsidP="00F52BBF">
      <w:pPr>
        <w:pStyle w:val="ListParagraph"/>
        <w:numPr>
          <w:ilvl w:val="0"/>
          <w:numId w:val="6"/>
        </w:numPr>
        <w:spacing w:line="360" w:lineRule="auto"/>
        <w:rPr>
          <w:rFonts w:asciiTheme="majorBidi" w:hAnsiTheme="majorBidi" w:cstheme="majorBidi"/>
          <w:lang w:val="en-GB"/>
        </w:rPr>
      </w:pPr>
      <w:r w:rsidRPr="00F52BBF">
        <w:rPr>
          <w:rFonts w:asciiTheme="majorBidi" w:hAnsiTheme="majorBidi" w:cstheme="majorBidi"/>
          <w:lang w:val="en-GB"/>
        </w:rPr>
        <w:t xml:space="preserve">Ivanov, S., &amp; Zhechev, V. (2012). Hotel revenue management: A critical literature review. </w:t>
      </w:r>
      <w:r w:rsidRPr="00F52BBF">
        <w:rPr>
          <w:rFonts w:asciiTheme="majorBidi" w:hAnsiTheme="majorBidi" w:cstheme="majorBidi"/>
          <w:i/>
          <w:iCs/>
          <w:lang w:val="en-GB"/>
        </w:rPr>
        <w:t>Tourism Management Perspectives, 2–3</w:t>
      </w:r>
      <w:r w:rsidRPr="00F52BBF">
        <w:rPr>
          <w:rFonts w:asciiTheme="majorBidi" w:hAnsiTheme="majorBidi" w:cstheme="majorBidi"/>
          <w:lang w:val="en-GB"/>
        </w:rPr>
        <w:t>, 66–75. https://doi.org/10.1016/j.tmp.2012.03.005</w:t>
      </w:r>
    </w:p>
    <w:p w14:paraId="0506CA6C" w14:textId="77777777" w:rsidR="00F52BBF" w:rsidRPr="00F52BBF" w:rsidRDefault="00F52BBF" w:rsidP="00F52BBF">
      <w:pPr>
        <w:pStyle w:val="ListParagraph"/>
        <w:numPr>
          <w:ilvl w:val="0"/>
          <w:numId w:val="6"/>
        </w:numPr>
        <w:spacing w:line="360" w:lineRule="auto"/>
        <w:rPr>
          <w:rFonts w:asciiTheme="majorBidi" w:hAnsiTheme="majorBidi" w:cstheme="majorBidi"/>
          <w:lang w:val="en-GB"/>
        </w:rPr>
      </w:pPr>
      <w:r w:rsidRPr="00F52BBF">
        <w:rPr>
          <w:rFonts w:asciiTheme="majorBidi" w:hAnsiTheme="majorBidi" w:cstheme="majorBidi"/>
          <w:lang w:val="en-GB"/>
        </w:rPr>
        <w:t xml:space="preserve">Kimes, S. E. (2011). The future of hotel revenue management. </w:t>
      </w:r>
      <w:r w:rsidRPr="00F52BBF">
        <w:rPr>
          <w:rFonts w:asciiTheme="majorBidi" w:hAnsiTheme="majorBidi" w:cstheme="majorBidi"/>
          <w:i/>
          <w:iCs/>
          <w:lang w:val="en-GB"/>
        </w:rPr>
        <w:t>Journal of Revenue and Pricing Management, 10</w:t>
      </w:r>
      <w:r w:rsidRPr="00F52BBF">
        <w:rPr>
          <w:rFonts w:asciiTheme="majorBidi" w:hAnsiTheme="majorBidi" w:cstheme="majorBidi"/>
          <w:lang w:val="en-GB"/>
        </w:rPr>
        <w:t>(1), 62–72. https://doi.org/10.1057/rpm.2010.47</w:t>
      </w:r>
    </w:p>
    <w:p w14:paraId="7090508C" w14:textId="77777777" w:rsidR="00F52BBF" w:rsidRPr="00F52BBF" w:rsidRDefault="00F52BBF" w:rsidP="00F52BBF">
      <w:pPr>
        <w:pStyle w:val="ListParagraph"/>
        <w:numPr>
          <w:ilvl w:val="0"/>
          <w:numId w:val="6"/>
        </w:numPr>
        <w:spacing w:line="360" w:lineRule="auto"/>
        <w:rPr>
          <w:rFonts w:asciiTheme="majorBidi" w:hAnsiTheme="majorBidi" w:cstheme="majorBidi"/>
          <w:lang w:val="en-GB"/>
        </w:rPr>
      </w:pPr>
      <w:r w:rsidRPr="00F52BBF">
        <w:rPr>
          <w:rFonts w:asciiTheme="majorBidi" w:hAnsiTheme="majorBidi" w:cstheme="majorBidi"/>
          <w:lang w:val="en-GB"/>
        </w:rPr>
        <w:t xml:space="preserve">Noone, B. M., &amp; McGuire, K. A. (2014). Pricing in hotel revenue management. </w:t>
      </w:r>
      <w:r w:rsidRPr="00F52BBF">
        <w:rPr>
          <w:rFonts w:asciiTheme="majorBidi" w:hAnsiTheme="majorBidi" w:cstheme="majorBidi"/>
          <w:i/>
          <w:iCs/>
          <w:lang w:val="en-GB"/>
        </w:rPr>
        <w:t>Cornell Hospitality Quarterly, 55</w:t>
      </w:r>
      <w:r w:rsidRPr="00F52BBF">
        <w:rPr>
          <w:rFonts w:asciiTheme="majorBidi" w:hAnsiTheme="majorBidi" w:cstheme="majorBidi"/>
          <w:lang w:val="en-GB"/>
        </w:rPr>
        <w:t>(2), 123–132. https://doi.org/10.1177/1938965514528322</w:t>
      </w:r>
    </w:p>
    <w:p w14:paraId="468F1759" w14:textId="77777777" w:rsidR="00F52BBF" w:rsidRPr="00F5343E" w:rsidRDefault="00F52BBF" w:rsidP="00F52BBF">
      <w:pPr>
        <w:pStyle w:val="ListParagraph"/>
        <w:spacing w:line="360" w:lineRule="auto"/>
        <w:rPr>
          <w:rFonts w:asciiTheme="majorBidi" w:hAnsiTheme="majorBidi" w:cstheme="majorBidi"/>
          <w:lang w:val="en-US"/>
        </w:rPr>
      </w:pPr>
    </w:p>
    <w:sectPr w:rsidR="00F52BBF" w:rsidRPr="00F534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0B7DC80-E6BC-40C3-A1B1-F2485CA46950}"/>
    <w:embedBold r:id="rId2" w:fontKey="{06880F14-2037-408E-A125-07B54FA6CB9B}"/>
    <w:embedItalic r:id="rId3" w:fontKey="{BBCF5E8B-E23B-4B20-A35D-015186F4002E}"/>
  </w:font>
  <w:font w:name="Cambria">
    <w:panose1 w:val="02040503050406030204"/>
    <w:charset w:val="00"/>
    <w:family w:val="roman"/>
    <w:pitch w:val="variable"/>
    <w:sig w:usb0="E00006FF" w:usb1="420024FF" w:usb2="02000000" w:usb3="00000000" w:csb0="0000019F" w:csb1="00000000"/>
    <w:embedRegular r:id="rId4" w:fontKey="{CB97EB2D-83E7-49D2-82A0-80C847328C60}"/>
  </w:font>
  <w:font w:name="Calibri Light">
    <w:panose1 w:val="020F0302020204030204"/>
    <w:charset w:val="00"/>
    <w:family w:val="swiss"/>
    <w:pitch w:val="variable"/>
    <w:sig w:usb0="E4002EFF" w:usb1="C000247B" w:usb2="00000009" w:usb3="00000000" w:csb0="000001FF" w:csb1="00000000"/>
    <w:embedRegular r:id="rId5" w:fontKey="{DA80E96A-14D9-4AD8-AEC3-63008CB1224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84B4001"/>
    <w:multiLevelType w:val="multilevel"/>
    <w:tmpl w:val="6258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5"/>
  </w:num>
  <w:num w:numId="3" w16cid:durableId="770932124">
    <w:abstractNumId w:val="1"/>
  </w:num>
  <w:num w:numId="4" w16cid:durableId="1109160729">
    <w:abstractNumId w:val="3"/>
  </w:num>
  <w:num w:numId="5" w16cid:durableId="1079014838">
    <w:abstractNumId w:val="0"/>
  </w:num>
  <w:num w:numId="6" w16cid:durableId="4060003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4F45AF"/>
    <w:rsid w:val="00502E29"/>
    <w:rsid w:val="005E458B"/>
    <w:rsid w:val="006069FA"/>
    <w:rsid w:val="00661030"/>
    <w:rsid w:val="00745E56"/>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F7DEA"/>
    <w:rsid w:val="00E53D54"/>
    <w:rsid w:val="00E6778A"/>
    <w:rsid w:val="00EA737F"/>
    <w:rsid w:val="00F25F5B"/>
    <w:rsid w:val="00F52BBF"/>
    <w:rsid w:val="00F5343E"/>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3240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1025</Words>
  <Characters>5847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2026-01-27T09:27:00Z</dcterms:created>
  <dcterms:modified xsi:type="dcterms:W3CDTF">2026-01-27T09:27:00Z</dcterms:modified>
</cp:coreProperties>
</file>