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843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83B7C7" w14:textId="77777777" w:rsidR="00672345" w:rsidRPr="0019504D" w:rsidRDefault="00672345" w:rsidP="00672345">
      <w:pPr>
        <w:rPr>
          <w:b/>
          <w:bCs/>
          <w:lang w:val="en-US"/>
        </w:rPr>
      </w:pPr>
      <w:r>
        <w:rPr>
          <w:b/>
          <w:bCs/>
          <w:lang w:val="en-US"/>
        </w:rPr>
        <w:t xml:space="preserve">Cultural Heritage Management </w:t>
      </w:r>
    </w:p>
    <w:p w14:paraId="5C2E402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756029D3"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0531880E" w14:textId="77777777" w:rsidR="00672345" w:rsidRDefault="00672345"/>
    <w:p w14:paraId="583D3310" w14:textId="77777777" w:rsidR="00672345" w:rsidRDefault="00672345"/>
    <w:p w14:paraId="3EDCCC92" w14:textId="77777777" w:rsidR="00672345" w:rsidRDefault="00672345"/>
    <w:p w14:paraId="37A0DC20" w14:textId="77777777" w:rsidR="00672345" w:rsidRDefault="00672345"/>
    <w:p w14:paraId="31297E5C" w14:textId="77777777" w:rsidR="00672345" w:rsidRDefault="00672345"/>
    <w:p w14:paraId="1FE154E2" w14:textId="77777777" w:rsidR="00672345" w:rsidRDefault="00672345"/>
    <w:p w14:paraId="22822431" w14:textId="77777777" w:rsidR="00672345" w:rsidRDefault="00672345"/>
    <w:p w14:paraId="75B32737" w14:textId="77777777" w:rsidR="00672345" w:rsidRDefault="00672345"/>
    <w:p w14:paraId="74F46AC1" w14:textId="77777777" w:rsidR="00672345" w:rsidRDefault="00672345"/>
    <w:p w14:paraId="5FB05F07" w14:textId="77777777" w:rsidR="00672345" w:rsidRDefault="00672345"/>
    <w:p w14:paraId="0C3A858F" w14:textId="77777777" w:rsidR="00672345" w:rsidRDefault="00672345"/>
    <w:p w14:paraId="3C2275A6" w14:textId="77777777" w:rsidR="00672345" w:rsidRDefault="00672345"/>
    <w:p w14:paraId="11082BB6" w14:textId="77777777" w:rsidR="00672345" w:rsidRDefault="00672345"/>
    <w:p w14:paraId="0181A6C2"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65E71872" w14:textId="77777777" w:rsidR="00016EE8" w:rsidRDefault="00016EE8" w:rsidP="00016EE8">
      <w:pPr>
        <w:rPr>
          <w:lang w:val="en-US"/>
        </w:rPr>
      </w:pPr>
    </w:p>
    <w:p w14:paraId="6DA1C18D"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718B385A"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04FDD7E6" w14:textId="77777777" w:rsidR="005E1FD5" w:rsidRPr="005E1FD5" w:rsidRDefault="005E1FD5" w:rsidP="005E1FD5">
      <w:pPr>
        <w:spacing w:line="276" w:lineRule="auto"/>
        <w:rPr>
          <w:lang w:val="en-US"/>
        </w:rPr>
      </w:pPr>
    </w:p>
    <w:p w14:paraId="19504822"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37EBEEF5"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713B0617"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00659F70"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55A2418F" w14:textId="77777777" w:rsidR="00CF34F8" w:rsidRDefault="005E1FD5" w:rsidP="005E1FD5">
      <w:pPr>
        <w:pStyle w:val="ListParagraph"/>
        <w:numPr>
          <w:ilvl w:val="0"/>
          <w:numId w:val="9"/>
        </w:numPr>
        <w:spacing w:line="276" w:lineRule="auto"/>
        <w:rPr>
          <w:lang w:val="en-US"/>
        </w:rPr>
      </w:pPr>
      <w:r w:rsidRPr="005E1FD5">
        <w:rPr>
          <w:lang w:val="en-US"/>
        </w:rPr>
        <w:t>Possible mitigation measures</w:t>
      </w:r>
    </w:p>
    <w:p w14:paraId="7BFD785E" w14:textId="77777777" w:rsidR="008419A6" w:rsidRDefault="008419A6" w:rsidP="008419A6">
      <w:pPr>
        <w:pStyle w:val="ListParagraph"/>
        <w:spacing w:line="276" w:lineRule="auto"/>
        <w:ind w:left="0"/>
        <w:rPr>
          <w:lang w:val="en-US"/>
        </w:rPr>
      </w:pPr>
    </w:p>
    <w:p w14:paraId="7C970706" w14:textId="77777777" w:rsidR="008419A6" w:rsidRDefault="008419A6" w:rsidP="008419A6">
      <w:pPr>
        <w:pStyle w:val="ListParagraph"/>
        <w:spacing w:line="276" w:lineRule="auto"/>
        <w:ind w:left="0"/>
        <w:rPr>
          <w:lang w:val="en-US"/>
        </w:rPr>
      </w:pPr>
    </w:p>
    <w:p w14:paraId="0CE01959" w14:textId="77777777" w:rsidR="008419A6" w:rsidRDefault="008419A6" w:rsidP="008419A6">
      <w:pPr>
        <w:pStyle w:val="ListParagraph"/>
        <w:spacing w:line="276" w:lineRule="auto"/>
        <w:ind w:left="0"/>
        <w:rPr>
          <w:lang w:val="en-US"/>
        </w:rPr>
      </w:pPr>
    </w:p>
    <w:p w14:paraId="0576E75A" w14:textId="77777777" w:rsidR="008419A6" w:rsidRDefault="008419A6" w:rsidP="008419A6">
      <w:pPr>
        <w:pStyle w:val="ListParagraph"/>
        <w:spacing w:line="276" w:lineRule="auto"/>
        <w:ind w:left="0"/>
        <w:rPr>
          <w:lang w:val="en-US"/>
        </w:rPr>
      </w:pPr>
    </w:p>
    <w:p w14:paraId="40D42D38" w14:textId="77777777" w:rsidR="008419A6" w:rsidRDefault="008419A6" w:rsidP="008419A6">
      <w:pPr>
        <w:pStyle w:val="ListParagraph"/>
        <w:spacing w:line="276" w:lineRule="auto"/>
        <w:ind w:left="0"/>
        <w:rPr>
          <w:lang w:val="en-US"/>
        </w:rPr>
      </w:pPr>
    </w:p>
    <w:p w14:paraId="38345338" w14:textId="77777777" w:rsidR="008419A6" w:rsidRDefault="008419A6" w:rsidP="008419A6">
      <w:pPr>
        <w:pStyle w:val="ListParagraph"/>
        <w:spacing w:line="276" w:lineRule="auto"/>
        <w:ind w:left="0"/>
        <w:rPr>
          <w:lang w:val="en-US"/>
        </w:rPr>
      </w:pPr>
    </w:p>
    <w:p w14:paraId="49ABDE9D" w14:textId="77777777" w:rsidR="008419A6" w:rsidRDefault="008419A6" w:rsidP="008419A6">
      <w:pPr>
        <w:pStyle w:val="ListParagraph"/>
        <w:spacing w:line="276" w:lineRule="auto"/>
        <w:ind w:left="0"/>
        <w:rPr>
          <w:lang w:val="en-US"/>
        </w:rPr>
      </w:pPr>
    </w:p>
    <w:p w14:paraId="3CE6953E" w14:textId="77777777" w:rsidR="008419A6" w:rsidRDefault="008419A6" w:rsidP="008419A6">
      <w:pPr>
        <w:pStyle w:val="ListParagraph"/>
        <w:spacing w:line="276" w:lineRule="auto"/>
        <w:ind w:left="0"/>
        <w:rPr>
          <w:lang w:val="en-US"/>
        </w:rPr>
      </w:pPr>
    </w:p>
    <w:p w14:paraId="72EBB991" w14:textId="77777777" w:rsidR="008419A6" w:rsidRDefault="008419A6" w:rsidP="008419A6">
      <w:pPr>
        <w:pStyle w:val="ListParagraph"/>
        <w:spacing w:line="276" w:lineRule="auto"/>
        <w:ind w:left="0"/>
        <w:rPr>
          <w:lang w:val="en-US"/>
        </w:rPr>
      </w:pPr>
    </w:p>
    <w:p w14:paraId="677BE335" w14:textId="77777777" w:rsidR="008419A6" w:rsidRDefault="008419A6" w:rsidP="008419A6">
      <w:pPr>
        <w:pStyle w:val="ListParagraph"/>
        <w:spacing w:line="276" w:lineRule="auto"/>
        <w:ind w:left="0"/>
        <w:rPr>
          <w:lang w:val="en-US"/>
        </w:rPr>
      </w:pPr>
    </w:p>
    <w:p w14:paraId="1FF4D258" w14:textId="77777777" w:rsidR="008419A6" w:rsidRDefault="008419A6" w:rsidP="008419A6">
      <w:pPr>
        <w:pStyle w:val="ListParagraph"/>
        <w:spacing w:line="276" w:lineRule="auto"/>
        <w:ind w:left="0"/>
        <w:rPr>
          <w:lang w:val="en-US"/>
        </w:rPr>
      </w:pPr>
    </w:p>
    <w:p w14:paraId="51DE848A" w14:textId="77777777" w:rsidR="008419A6" w:rsidRDefault="008419A6" w:rsidP="008419A6">
      <w:pPr>
        <w:pStyle w:val="ListParagraph"/>
        <w:spacing w:line="276" w:lineRule="auto"/>
        <w:ind w:left="0"/>
        <w:rPr>
          <w:lang w:val="en-US"/>
        </w:rPr>
      </w:pPr>
    </w:p>
    <w:p w14:paraId="7C31EA03" w14:textId="77777777" w:rsidR="008419A6" w:rsidRDefault="008419A6" w:rsidP="008419A6">
      <w:pPr>
        <w:pStyle w:val="ListParagraph"/>
        <w:spacing w:line="276" w:lineRule="auto"/>
        <w:ind w:left="0"/>
        <w:rPr>
          <w:lang w:val="en-US"/>
        </w:rPr>
      </w:pPr>
    </w:p>
    <w:p w14:paraId="61756A9D" w14:textId="77777777" w:rsidR="008419A6" w:rsidRDefault="008419A6" w:rsidP="008419A6">
      <w:pPr>
        <w:pStyle w:val="ListParagraph"/>
        <w:spacing w:line="276" w:lineRule="auto"/>
        <w:ind w:left="0"/>
        <w:rPr>
          <w:lang w:val="en-US"/>
        </w:rPr>
      </w:pPr>
    </w:p>
    <w:p w14:paraId="2B72F661" w14:textId="77777777" w:rsidR="008419A6" w:rsidRDefault="008419A6" w:rsidP="008419A6">
      <w:pPr>
        <w:pStyle w:val="ListParagraph"/>
        <w:spacing w:line="276" w:lineRule="auto"/>
        <w:ind w:left="0"/>
        <w:rPr>
          <w:lang w:val="en-US"/>
        </w:rPr>
      </w:pPr>
    </w:p>
    <w:p w14:paraId="0AD8367A" w14:textId="77777777" w:rsidR="008419A6" w:rsidRDefault="008419A6" w:rsidP="008419A6">
      <w:pPr>
        <w:pStyle w:val="ListParagraph"/>
        <w:spacing w:line="276" w:lineRule="auto"/>
        <w:ind w:left="0"/>
        <w:rPr>
          <w:lang w:val="en-US"/>
        </w:rPr>
      </w:pPr>
    </w:p>
    <w:p w14:paraId="7CC1F39B" w14:textId="77777777" w:rsidR="008419A6" w:rsidRDefault="008419A6" w:rsidP="008419A6">
      <w:pPr>
        <w:pStyle w:val="ListParagraph"/>
        <w:spacing w:line="276" w:lineRule="auto"/>
        <w:ind w:left="0"/>
        <w:rPr>
          <w:lang w:val="en-US"/>
        </w:rPr>
      </w:pPr>
    </w:p>
    <w:p w14:paraId="47CE24C5" w14:textId="77777777" w:rsidR="008419A6" w:rsidRDefault="008419A6" w:rsidP="008419A6">
      <w:pPr>
        <w:pStyle w:val="ListParagraph"/>
        <w:spacing w:line="276" w:lineRule="auto"/>
        <w:ind w:left="0"/>
        <w:rPr>
          <w:lang w:val="en-US"/>
        </w:rPr>
      </w:pPr>
    </w:p>
    <w:p w14:paraId="730EF99F" w14:textId="77777777" w:rsidR="008419A6" w:rsidRPr="008419A6" w:rsidRDefault="008419A6" w:rsidP="008419A6">
      <w:pPr>
        <w:pStyle w:val="ListParagraph"/>
        <w:spacing w:line="276" w:lineRule="auto"/>
        <w:rPr>
          <w:b/>
          <w:bCs/>
          <w:lang w:val="en-GB"/>
        </w:rPr>
      </w:pPr>
      <w:r w:rsidRPr="008419A6">
        <w:rPr>
          <w:b/>
          <w:bCs/>
          <w:lang w:val="en-GB"/>
        </w:rPr>
        <w:t>1. Can Different Stakeholders Assign Different Values to the Same Heritage Attribute?</w:t>
      </w:r>
    </w:p>
    <w:p w14:paraId="208B4E36" w14:textId="77777777" w:rsidR="008419A6" w:rsidRPr="008419A6" w:rsidRDefault="008419A6" w:rsidP="008419A6">
      <w:pPr>
        <w:pStyle w:val="ListParagraph"/>
        <w:spacing w:line="276" w:lineRule="auto"/>
        <w:rPr>
          <w:lang w:val="en-GB"/>
        </w:rPr>
      </w:pPr>
      <w:r w:rsidRPr="008419A6">
        <w:rPr>
          <w:lang w:val="en-GB"/>
        </w:rPr>
        <w:t>Yes, stakeholders frequently assign different values to the same heritage attribute because heritage significance is influenced by individual experiences, cultural backgrounds, professional expertise, and economic interests. Heritage is a multidimensional concept, meaning that one attribute can simultaneously possess cultural, social, historical, spiritual, educational, and economic importance.</w:t>
      </w:r>
    </w:p>
    <w:p w14:paraId="1B44346D" w14:textId="77777777" w:rsidR="008419A6" w:rsidRPr="008419A6" w:rsidRDefault="008419A6" w:rsidP="008419A6">
      <w:pPr>
        <w:pStyle w:val="ListParagraph"/>
        <w:spacing w:line="276" w:lineRule="auto"/>
        <w:rPr>
          <w:lang w:val="en-GB"/>
        </w:rPr>
      </w:pPr>
      <w:r w:rsidRPr="008419A6">
        <w:rPr>
          <w:lang w:val="en-GB"/>
        </w:rPr>
        <w:t xml:space="preserve">For example, a historic castle may be viewed by archaeologists as a valuable source of evidence about medieval architecture and construction techniques. </w:t>
      </w:r>
      <w:proofErr w:type="gramStart"/>
      <w:r w:rsidRPr="008419A6">
        <w:rPr>
          <w:lang w:val="en-GB"/>
        </w:rPr>
        <w:t>Local residents</w:t>
      </w:r>
      <w:proofErr w:type="gramEnd"/>
      <w:r w:rsidRPr="008419A6">
        <w:rPr>
          <w:lang w:val="en-GB"/>
        </w:rPr>
        <w:t xml:space="preserve"> may value the same castle because it symbolizes regional identity and community pride. Tourists may appreciate its visual appeal and recreational opportunities, while government authorities may focus on its contribution to tourism revenue and national heritage promotion. Businesses operating nearby may regard the site as an economic asset that attracts customers and investment.</w:t>
      </w:r>
    </w:p>
    <w:p w14:paraId="229C0607" w14:textId="77777777" w:rsidR="008419A6" w:rsidRPr="008419A6" w:rsidRDefault="008419A6" w:rsidP="008419A6">
      <w:pPr>
        <w:pStyle w:val="ListParagraph"/>
        <w:spacing w:line="276" w:lineRule="auto"/>
        <w:rPr>
          <w:lang w:val="en-GB"/>
        </w:rPr>
      </w:pPr>
      <w:r w:rsidRPr="008419A6">
        <w:rPr>
          <w:lang w:val="en-GB"/>
        </w:rPr>
        <w:t>These varying perspectives can create challenges when development proposals are introduced. Conservation professionals may advocate strict preservation to maintain authenticity, whereas local authorities may support adaptive reuse projects that generate economic benefits. Communities may seek greater public access, while heritage managers may impose restrictions to prevent damage. As a result, heritage decision-making often involves balancing competing priorities.</w:t>
      </w:r>
    </w:p>
    <w:p w14:paraId="569FF882" w14:textId="77777777" w:rsidR="008419A6" w:rsidRPr="008419A6" w:rsidRDefault="008419A6" w:rsidP="008419A6">
      <w:pPr>
        <w:pStyle w:val="ListParagraph"/>
        <w:spacing w:line="276" w:lineRule="auto"/>
        <w:rPr>
          <w:lang w:val="en-GB"/>
        </w:rPr>
      </w:pPr>
      <w:r w:rsidRPr="008419A6">
        <w:rPr>
          <w:lang w:val="en-GB"/>
        </w:rPr>
        <w:t>To address these issues, contemporary heritage management promotes stakeholder engagement and collaborative planning. Through public consultation, community participation, and Heritage Impact Assessments (HIAs), decision-makers can better understand the range of values attached to heritage resources. This process helps identify potential conflicts and develop solutions that support both conservation and sustainable development.</w:t>
      </w:r>
    </w:p>
    <w:p w14:paraId="520D7562" w14:textId="77777777" w:rsidR="008419A6" w:rsidRPr="008419A6" w:rsidRDefault="008419A6" w:rsidP="008419A6">
      <w:pPr>
        <w:pStyle w:val="ListParagraph"/>
        <w:spacing w:line="276" w:lineRule="auto"/>
        <w:rPr>
          <w:lang w:val="en-GB"/>
        </w:rPr>
      </w:pPr>
      <w:r w:rsidRPr="008419A6">
        <w:rPr>
          <w:lang w:val="en-GB"/>
        </w:rPr>
        <w:t>Therefore, heritage attributes rarely possess a single, universally accepted value. Their significance depends on the perspectives of those interacting with them. Recognizing and integrating these diverse viewpoints is essential for effective and sustainable heritage management.</w:t>
      </w:r>
    </w:p>
    <w:p w14:paraId="06FE5945" w14:textId="17834E7C" w:rsidR="008419A6" w:rsidRDefault="008419A6" w:rsidP="008419A6">
      <w:pPr>
        <w:pStyle w:val="ListParagraph"/>
        <w:spacing w:line="276" w:lineRule="auto"/>
        <w:rPr>
          <w:b/>
          <w:bCs/>
          <w:lang w:val="en-GB"/>
        </w:rPr>
      </w:pPr>
    </w:p>
    <w:p w14:paraId="32FBEAEE" w14:textId="77777777" w:rsidR="008419A6" w:rsidRDefault="008419A6" w:rsidP="008419A6">
      <w:pPr>
        <w:pStyle w:val="ListParagraph"/>
        <w:spacing w:line="276" w:lineRule="auto"/>
        <w:rPr>
          <w:b/>
          <w:bCs/>
          <w:lang w:val="en-GB"/>
        </w:rPr>
      </w:pPr>
    </w:p>
    <w:p w14:paraId="47C07673" w14:textId="77777777" w:rsidR="008419A6" w:rsidRDefault="008419A6" w:rsidP="008419A6">
      <w:pPr>
        <w:pStyle w:val="ListParagraph"/>
        <w:spacing w:line="276" w:lineRule="auto"/>
        <w:rPr>
          <w:b/>
          <w:bCs/>
          <w:lang w:val="en-GB"/>
        </w:rPr>
      </w:pPr>
    </w:p>
    <w:p w14:paraId="613FFF07" w14:textId="77777777" w:rsidR="008419A6" w:rsidRDefault="008419A6" w:rsidP="008419A6">
      <w:pPr>
        <w:pStyle w:val="ListParagraph"/>
        <w:spacing w:line="276" w:lineRule="auto"/>
        <w:rPr>
          <w:b/>
          <w:bCs/>
          <w:lang w:val="en-GB"/>
        </w:rPr>
      </w:pPr>
    </w:p>
    <w:p w14:paraId="5EF2F68D" w14:textId="77777777" w:rsidR="008419A6" w:rsidRDefault="008419A6" w:rsidP="008419A6">
      <w:pPr>
        <w:pStyle w:val="ListParagraph"/>
        <w:spacing w:line="276" w:lineRule="auto"/>
        <w:rPr>
          <w:b/>
          <w:bCs/>
          <w:lang w:val="en-GB"/>
        </w:rPr>
      </w:pPr>
    </w:p>
    <w:p w14:paraId="7A0FF534" w14:textId="77777777" w:rsidR="008419A6" w:rsidRDefault="008419A6" w:rsidP="008419A6">
      <w:pPr>
        <w:pStyle w:val="ListParagraph"/>
        <w:spacing w:line="276" w:lineRule="auto"/>
        <w:rPr>
          <w:b/>
          <w:bCs/>
          <w:lang w:val="en-GB"/>
        </w:rPr>
      </w:pPr>
    </w:p>
    <w:p w14:paraId="6F28DD7C" w14:textId="77777777" w:rsidR="008419A6" w:rsidRDefault="008419A6" w:rsidP="008419A6">
      <w:pPr>
        <w:pStyle w:val="ListParagraph"/>
        <w:spacing w:line="276" w:lineRule="auto"/>
        <w:rPr>
          <w:b/>
          <w:bCs/>
          <w:lang w:val="en-GB"/>
        </w:rPr>
      </w:pPr>
    </w:p>
    <w:p w14:paraId="76D89DDD" w14:textId="77777777" w:rsidR="008419A6" w:rsidRDefault="008419A6" w:rsidP="008419A6">
      <w:pPr>
        <w:pStyle w:val="ListParagraph"/>
        <w:spacing w:line="276" w:lineRule="auto"/>
        <w:rPr>
          <w:b/>
          <w:bCs/>
          <w:lang w:val="en-GB"/>
        </w:rPr>
      </w:pPr>
    </w:p>
    <w:p w14:paraId="3236D966" w14:textId="77777777" w:rsidR="008419A6" w:rsidRPr="008419A6" w:rsidRDefault="008419A6" w:rsidP="008419A6">
      <w:pPr>
        <w:pStyle w:val="ListParagraph"/>
        <w:spacing w:line="276" w:lineRule="auto"/>
        <w:rPr>
          <w:lang w:val="en-GB"/>
        </w:rPr>
      </w:pPr>
    </w:p>
    <w:p w14:paraId="66B357AC" w14:textId="77777777" w:rsidR="008419A6" w:rsidRPr="008419A6" w:rsidRDefault="008419A6" w:rsidP="008419A6">
      <w:pPr>
        <w:pStyle w:val="ListParagraph"/>
        <w:spacing w:line="276" w:lineRule="auto"/>
        <w:rPr>
          <w:b/>
          <w:bCs/>
          <w:lang w:val="en-GB"/>
        </w:rPr>
      </w:pPr>
      <w:r w:rsidRPr="008419A6">
        <w:rPr>
          <w:b/>
          <w:bCs/>
          <w:lang w:val="en-GB"/>
        </w:rPr>
        <w:lastRenderedPageBreak/>
        <w:t>2. Evaluation of Five Attributes from the Historic Centre of Prague, Czech Republic</w:t>
      </w:r>
    </w:p>
    <w:p w14:paraId="093756C0" w14:textId="77777777" w:rsidR="008419A6" w:rsidRPr="008419A6" w:rsidRDefault="008419A6" w:rsidP="008419A6">
      <w:pPr>
        <w:pStyle w:val="ListParagraph"/>
        <w:spacing w:line="276" w:lineRule="auto"/>
        <w:rPr>
          <w:lang w:val="en-GB"/>
        </w:rPr>
      </w:pPr>
      <w:r w:rsidRPr="008419A6">
        <w:rPr>
          <w:lang w:val="en-GB"/>
        </w:rPr>
        <w:t xml:space="preserve">The </w:t>
      </w:r>
      <w:r w:rsidRPr="008419A6">
        <w:rPr>
          <w:b/>
          <w:bCs/>
          <w:lang w:val="en-GB"/>
        </w:rPr>
        <w:t>Historic Centre of Prague</w:t>
      </w:r>
      <w:r w:rsidRPr="008419A6">
        <w:rPr>
          <w:lang w:val="en-GB"/>
        </w:rPr>
        <w:t>, a UNESCO World Heritage Site, is renowned for its exceptional architectural heritage, urban development, and cultural significance. The city reflects over a thousand years of European history and contains numerous monuments representing Gothic, Renaissance, Baroque, and modern architectural styles.</w:t>
      </w:r>
    </w:p>
    <w:tbl>
      <w:tblPr>
        <w:tblStyle w:val="GridTable1Light-Accent6"/>
        <w:tblW w:w="0" w:type="auto"/>
        <w:tblLook w:val="04A0" w:firstRow="1" w:lastRow="0" w:firstColumn="1" w:lastColumn="0" w:noHBand="0" w:noVBand="1"/>
      </w:tblPr>
      <w:tblGrid>
        <w:gridCol w:w="1742"/>
        <w:gridCol w:w="1724"/>
        <w:gridCol w:w="1632"/>
        <w:gridCol w:w="2152"/>
        <w:gridCol w:w="1766"/>
      </w:tblGrid>
      <w:tr w:rsidR="008419A6" w:rsidRPr="008419A6" w14:paraId="6034FBE1" w14:textId="77777777" w:rsidTr="008419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7C17E" w14:textId="77777777" w:rsidR="008419A6" w:rsidRPr="008419A6" w:rsidRDefault="008419A6" w:rsidP="008419A6">
            <w:pPr>
              <w:pStyle w:val="ListParagraph"/>
              <w:spacing w:line="276" w:lineRule="auto"/>
              <w:rPr>
                <w:lang w:val="en-GB"/>
              </w:rPr>
            </w:pPr>
            <w:r w:rsidRPr="008419A6">
              <w:rPr>
                <w:lang w:val="en-GB"/>
              </w:rPr>
              <w:t>Heritage Attribute</w:t>
            </w:r>
          </w:p>
        </w:tc>
        <w:tc>
          <w:tcPr>
            <w:tcW w:w="0" w:type="auto"/>
            <w:hideMark/>
          </w:tcPr>
          <w:p w14:paraId="6396CC06" w14:textId="77777777" w:rsidR="008419A6" w:rsidRPr="008419A6" w:rsidRDefault="008419A6" w:rsidP="008419A6">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8419A6">
              <w:rPr>
                <w:lang w:val="en-GB"/>
              </w:rPr>
              <w:t>Heritage Value Conveyed</w:t>
            </w:r>
          </w:p>
        </w:tc>
        <w:tc>
          <w:tcPr>
            <w:tcW w:w="0" w:type="auto"/>
            <w:hideMark/>
          </w:tcPr>
          <w:p w14:paraId="2B1DE66F" w14:textId="77777777" w:rsidR="008419A6" w:rsidRPr="008419A6" w:rsidRDefault="008419A6" w:rsidP="008419A6">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8419A6">
              <w:rPr>
                <w:lang w:val="en-GB"/>
              </w:rPr>
              <w:t>Significance Level</w:t>
            </w:r>
          </w:p>
        </w:tc>
        <w:tc>
          <w:tcPr>
            <w:tcW w:w="0" w:type="auto"/>
            <w:hideMark/>
          </w:tcPr>
          <w:p w14:paraId="351E0B83" w14:textId="77777777" w:rsidR="008419A6" w:rsidRPr="008419A6" w:rsidRDefault="008419A6" w:rsidP="008419A6">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8419A6">
              <w:rPr>
                <w:lang w:val="en-GB"/>
              </w:rPr>
              <w:t>Potential Impacts from Development</w:t>
            </w:r>
          </w:p>
        </w:tc>
        <w:tc>
          <w:tcPr>
            <w:tcW w:w="0" w:type="auto"/>
            <w:hideMark/>
          </w:tcPr>
          <w:p w14:paraId="5CAC7C9A" w14:textId="77777777" w:rsidR="008419A6" w:rsidRPr="008419A6" w:rsidRDefault="008419A6" w:rsidP="008419A6">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8419A6">
              <w:rPr>
                <w:lang w:val="en-GB"/>
              </w:rPr>
              <w:t>Mitigation Measures</w:t>
            </w:r>
          </w:p>
        </w:tc>
      </w:tr>
      <w:tr w:rsidR="008419A6" w:rsidRPr="008419A6" w14:paraId="06F11168" w14:textId="77777777" w:rsidTr="008419A6">
        <w:tc>
          <w:tcPr>
            <w:cnfStyle w:val="001000000000" w:firstRow="0" w:lastRow="0" w:firstColumn="1" w:lastColumn="0" w:oddVBand="0" w:evenVBand="0" w:oddHBand="0" w:evenHBand="0" w:firstRowFirstColumn="0" w:firstRowLastColumn="0" w:lastRowFirstColumn="0" w:lastRowLastColumn="0"/>
            <w:tcW w:w="0" w:type="auto"/>
            <w:hideMark/>
          </w:tcPr>
          <w:p w14:paraId="6BAFE211" w14:textId="77777777" w:rsidR="008419A6" w:rsidRPr="008419A6" w:rsidRDefault="008419A6" w:rsidP="008419A6">
            <w:pPr>
              <w:pStyle w:val="ListParagraph"/>
              <w:spacing w:line="276" w:lineRule="auto"/>
              <w:rPr>
                <w:lang w:val="en-GB"/>
              </w:rPr>
            </w:pPr>
            <w:r w:rsidRPr="008419A6">
              <w:rPr>
                <w:lang w:val="en-GB"/>
              </w:rPr>
              <w:t>Prague Castle Complex</w:t>
            </w:r>
          </w:p>
        </w:tc>
        <w:tc>
          <w:tcPr>
            <w:tcW w:w="0" w:type="auto"/>
            <w:hideMark/>
          </w:tcPr>
          <w:p w14:paraId="5580A5A1"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Historical, political, and architectural value</w:t>
            </w:r>
          </w:p>
        </w:tc>
        <w:tc>
          <w:tcPr>
            <w:tcW w:w="0" w:type="auto"/>
            <w:hideMark/>
          </w:tcPr>
          <w:p w14:paraId="435EEA47"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Very High</w:t>
            </w:r>
          </w:p>
        </w:tc>
        <w:tc>
          <w:tcPr>
            <w:tcW w:w="0" w:type="auto"/>
            <w:hideMark/>
          </w:tcPr>
          <w:p w14:paraId="2B4E8900"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Visual intrusion from new buildings, tourism pressure</w:t>
            </w:r>
          </w:p>
        </w:tc>
        <w:tc>
          <w:tcPr>
            <w:tcW w:w="0" w:type="auto"/>
            <w:hideMark/>
          </w:tcPr>
          <w:p w14:paraId="7EEA8B5B"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Height controls, visitor management plans, conservation monitoring</w:t>
            </w:r>
          </w:p>
        </w:tc>
      </w:tr>
      <w:tr w:rsidR="008419A6" w:rsidRPr="008419A6" w14:paraId="599473D9" w14:textId="77777777" w:rsidTr="008419A6">
        <w:tc>
          <w:tcPr>
            <w:cnfStyle w:val="001000000000" w:firstRow="0" w:lastRow="0" w:firstColumn="1" w:lastColumn="0" w:oddVBand="0" w:evenVBand="0" w:oddHBand="0" w:evenHBand="0" w:firstRowFirstColumn="0" w:firstRowLastColumn="0" w:lastRowFirstColumn="0" w:lastRowLastColumn="0"/>
            <w:tcW w:w="0" w:type="auto"/>
            <w:hideMark/>
          </w:tcPr>
          <w:p w14:paraId="69357342" w14:textId="77777777" w:rsidR="008419A6" w:rsidRPr="008419A6" w:rsidRDefault="008419A6" w:rsidP="008419A6">
            <w:pPr>
              <w:pStyle w:val="ListParagraph"/>
              <w:spacing w:line="276" w:lineRule="auto"/>
              <w:rPr>
                <w:lang w:val="en-GB"/>
              </w:rPr>
            </w:pPr>
            <w:r w:rsidRPr="008419A6">
              <w:rPr>
                <w:lang w:val="en-GB"/>
              </w:rPr>
              <w:t>Charles Bridge</w:t>
            </w:r>
          </w:p>
        </w:tc>
        <w:tc>
          <w:tcPr>
            <w:tcW w:w="0" w:type="auto"/>
            <w:hideMark/>
          </w:tcPr>
          <w:p w14:paraId="429398D2"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Cultural, engineering, and symbolic value</w:t>
            </w:r>
          </w:p>
        </w:tc>
        <w:tc>
          <w:tcPr>
            <w:tcW w:w="0" w:type="auto"/>
            <w:hideMark/>
          </w:tcPr>
          <w:p w14:paraId="335A9512"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Very High</w:t>
            </w:r>
          </w:p>
        </w:tc>
        <w:tc>
          <w:tcPr>
            <w:tcW w:w="0" w:type="auto"/>
            <w:hideMark/>
          </w:tcPr>
          <w:p w14:paraId="351592C8"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Overcrowding, structural wear, vibration from nearby activities</w:t>
            </w:r>
          </w:p>
        </w:tc>
        <w:tc>
          <w:tcPr>
            <w:tcW w:w="0" w:type="auto"/>
            <w:hideMark/>
          </w:tcPr>
          <w:p w14:paraId="17ACC1D3"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Visitor flow management, routine structural assessments</w:t>
            </w:r>
          </w:p>
        </w:tc>
      </w:tr>
      <w:tr w:rsidR="008419A6" w:rsidRPr="008419A6" w14:paraId="46237197" w14:textId="77777777" w:rsidTr="008419A6">
        <w:tc>
          <w:tcPr>
            <w:cnfStyle w:val="001000000000" w:firstRow="0" w:lastRow="0" w:firstColumn="1" w:lastColumn="0" w:oddVBand="0" w:evenVBand="0" w:oddHBand="0" w:evenHBand="0" w:firstRowFirstColumn="0" w:firstRowLastColumn="0" w:lastRowFirstColumn="0" w:lastRowLastColumn="0"/>
            <w:tcW w:w="0" w:type="auto"/>
            <w:hideMark/>
          </w:tcPr>
          <w:p w14:paraId="2F2D2E84" w14:textId="77777777" w:rsidR="008419A6" w:rsidRPr="008419A6" w:rsidRDefault="008419A6" w:rsidP="008419A6">
            <w:pPr>
              <w:pStyle w:val="ListParagraph"/>
              <w:spacing w:line="276" w:lineRule="auto"/>
              <w:rPr>
                <w:lang w:val="en-GB"/>
              </w:rPr>
            </w:pPr>
            <w:r w:rsidRPr="008419A6">
              <w:rPr>
                <w:lang w:val="en-GB"/>
              </w:rPr>
              <w:t>Old Town Square</w:t>
            </w:r>
          </w:p>
        </w:tc>
        <w:tc>
          <w:tcPr>
            <w:tcW w:w="0" w:type="auto"/>
            <w:hideMark/>
          </w:tcPr>
          <w:p w14:paraId="735E39E5"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Civic, social, and historical value</w:t>
            </w:r>
          </w:p>
        </w:tc>
        <w:tc>
          <w:tcPr>
            <w:tcW w:w="0" w:type="auto"/>
            <w:hideMark/>
          </w:tcPr>
          <w:p w14:paraId="00DFEC06"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High</w:t>
            </w:r>
          </w:p>
        </w:tc>
        <w:tc>
          <w:tcPr>
            <w:tcW w:w="0" w:type="auto"/>
            <w:hideMark/>
          </w:tcPr>
          <w:p w14:paraId="296E4FF6"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Commercialization, event-related damage, congestion</w:t>
            </w:r>
          </w:p>
        </w:tc>
        <w:tc>
          <w:tcPr>
            <w:tcW w:w="0" w:type="auto"/>
            <w:hideMark/>
          </w:tcPr>
          <w:p w14:paraId="07FE6989"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Event regulations, public space management strategies</w:t>
            </w:r>
          </w:p>
        </w:tc>
      </w:tr>
      <w:tr w:rsidR="008419A6" w:rsidRPr="008419A6" w14:paraId="4228F68C" w14:textId="77777777" w:rsidTr="008419A6">
        <w:tc>
          <w:tcPr>
            <w:cnfStyle w:val="001000000000" w:firstRow="0" w:lastRow="0" w:firstColumn="1" w:lastColumn="0" w:oddVBand="0" w:evenVBand="0" w:oddHBand="0" w:evenHBand="0" w:firstRowFirstColumn="0" w:firstRowLastColumn="0" w:lastRowFirstColumn="0" w:lastRowLastColumn="0"/>
            <w:tcW w:w="0" w:type="auto"/>
            <w:hideMark/>
          </w:tcPr>
          <w:p w14:paraId="58C9949E" w14:textId="77777777" w:rsidR="008419A6" w:rsidRPr="008419A6" w:rsidRDefault="008419A6" w:rsidP="008419A6">
            <w:pPr>
              <w:pStyle w:val="ListParagraph"/>
              <w:spacing w:line="276" w:lineRule="auto"/>
              <w:rPr>
                <w:lang w:val="en-GB"/>
              </w:rPr>
            </w:pPr>
            <w:r w:rsidRPr="008419A6">
              <w:rPr>
                <w:lang w:val="en-GB"/>
              </w:rPr>
              <w:lastRenderedPageBreak/>
              <w:t>Astronomical Clock</w:t>
            </w:r>
          </w:p>
        </w:tc>
        <w:tc>
          <w:tcPr>
            <w:tcW w:w="0" w:type="auto"/>
            <w:hideMark/>
          </w:tcPr>
          <w:p w14:paraId="485762FD"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Scientific, artistic, and technological value</w:t>
            </w:r>
          </w:p>
        </w:tc>
        <w:tc>
          <w:tcPr>
            <w:tcW w:w="0" w:type="auto"/>
            <w:hideMark/>
          </w:tcPr>
          <w:p w14:paraId="5B7D6BD6"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High</w:t>
            </w:r>
          </w:p>
        </w:tc>
        <w:tc>
          <w:tcPr>
            <w:tcW w:w="0" w:type="auto"/>
            <w:hideMark/>
          </w:tcPr>
          <w:p w14:paraId="759EC81B"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Physical deterioration due to environmental exposure and tourism</w:t>
            </w:r>
          </w:p>
        </w:tc>
        <w:tc>
          <w:tcPr>
            <w:tcW w:w="0" w:type="auto"/>
            <w:hideMark/>
          </w:tcPr>
          <w:p w14:paraId="676FAC11"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Preventive conservation and controlled visitor access</w:t>
            </w:r>
          </w:p>
        </w:tc>
      </w:tr>
      <w:tr w:rsidR="008419A6" w:rsidRPr="008419A6" w14:paraId="31BE04F5" w14:textId="77777777" w:rsidTr="008419A6">
        <w:tc>
          <w:tcPr>
            <w:cnfStyle w:val="001000000000" w:firstRow="0" w:lastRow="0" w:firstColumn="1" w:lastColumn="0" w:oddVBand="0" w:evenVBand="0" w:oddHBand="0" w:evenHBand="0" w:firstRowFirstColumn="0" w:firstRowLastColumn="0" w:lastRowFirstColumn="0" w:lastRowLastColumn="0"/>
            <w:tcW w:w="0" w:type="auto"/>
            <w:hideMark/>
          </w:tcPr>
          <w:p w14:paraId="388721B1" w14:textId="77777777" w:rsidR="008419A6" w:rsidRPr="008419A6" w:rsidRDefault="008419A6" w:rsidP="008419A6">
            <w:pPr>
              <w:pStyle w:val="ListParagraph"/>
              <w:spacing w:line="276" w:lineRule="auto"/>
              <w:rPr>
                <w:lang w:val="en-GB"/>
              </w:rPr>
            </w:pPr>
            <w:r w:rsidRPr="008419A6">
              <w:rPr>
                <w:lang w:val="en-GB"/>
              </w:rPr>
              <w:t>Historic Urban Skyline</w:t>
            </w:r>
          </w:p>
        </w:tc>
        <w:tc>
          <w:tcPr>
            <w:tcW w:w="0" w:type="auto"/>
            <w:hideMark/>
          </w:tcPr>
          <w:p w14:paraId="33244C0F"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Visual and landscape value</w:t>
            </w:r>
          </w:p>
        </w:tc>
        <w:tc>
          <w:tcPr>
            <w:tcW w:w="0" w:type="auto"/>
            <w:hideMark/>
          </w:tcPr>
          <w:p w14:paraId="12869D3D"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Very High</w:t>
            </w:r>
          </w:p>
        </w:tc>
        <w:tc>
          <w:tcPr>
            <w:tcW w:w="0" w:type="auto"/>
            <w:hideMark/>
          </w:tcPr>
          <w:p w14:paraId="514AF311"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High-rise construction and inappropriate urban development</w:t>
            </w:r>
          </w:p>
        </w:tc>
        <w:tc>
          <w:tcPr>
            <w:tcW w:w="0" w:type="auto"/>
            <w:hideMark/>
          </w:tcPr>
          <w:p w14:paraId="435BBF13" w14:textId="77777777" w:rsidR="008419A6" w:rsidRPr="008419A6" w:rsidRDefault="008419A6" w:rsidP="008419A6">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8419A6">
              <w:rPr>
                <w:lang w:val="en-GB"/>
              </w:rPr>
              <w:t>Protected view corridors and strict planning regulations</w:t>
            </w:r>
          </w:p>
        </w:tc>
      </w:tr>
    </w:tbl>
    <w:p w14:paraId="61D108AA" w14:textId="77777777" w:rsidR="008419A6" w:rsidRPr="008419A6" w:rsidRDefault="008419A6" w:rsidP="008419A6">
      <w:pPr>
        <w:pStyle w:val="ListParagraph"/>
        <w:spacing w:line="276" w:lineRule="auto"/>
        <w:rPr>
          <w:lang w:val="en-GB"/>
        </w:rPr>
      </w:pPr>
      <w:r w:rsidRPr="008419A6">
        <w:rPr>
          <w:lang w:val="en-GB"/>
        </w:rPr>
        <w:t xml:space="preserve">The </w:t>
      </w:r>
      <w:r w:rsidRPr="008419A6">
        <w:rPr>
          <w:b/>
          <w:bCs/>
          <w:lang w:val="en-GB"/>
        </w:rPr>
        <w:t>Prague Castle Complex</w:t>
      </w:r>
      <w:r w:rsidRPr="008419A6">
        <w:rPr>
          <w:lang w:val="en-GB"/>
        </w:rPr>
        <w:t xml:space="preserve"> is one of the most important attributes of the city, representing centuries of political and cultural development. New developments that alter the surrounding skyline could negatively affect its visual prominence. Therefore, planning authorities should maintain strict controls over building heights in nearby areas.</w:t>
      </w:r>
    </w:p>
    <w:p w14:paraId="2B463D8C" w14:textId="77777777" w:rsidR="008419A6" w:rsidRPr="008419A6" w:rsidRDefault="008419A6" w:rsidP="008419A6">
      <w:pPr>
        <w:pStyle w:val="ListParagraph"/>
        <w:spacing w:line="276" w:lineRule="auto"/>
        <w:rPr>
          <w:lang w:val="en-GB"/>
        </w:rPr>
      </w:pPr>
      <w:r w:rsidRPr="008419A6">
        <w:rPr>
          <w:lang w:val="en-GB"/>
        </w:rPr>
        <w:t xml:space="preserve">The </w:t>
      </w:r>
      <w:r w:rsidRPr="008419A6">
        <w:rPr>
          <w:b/>
          <w:bCs/>
          <w:lang w:val="en-GB"/>
        </w:rPr>
        <w:t>Charles Bridge</w:t>
      </w:r>
      <w:r w:rsidRPr="008419A6">
        <w:rPr>
          <w:lang w:val="en-GB"/>
        </w:rPr>
        <w:t xml:space="preserve"> serves as both a historic transportation route and a cultural symbol of Prague. Its popularity attracts millions of visitors annually, creating concerns regarding overcrowding and long-term structural wear. Visitor management strategies can help reduce pressure on the monument.</w:t>
      </w:r>
    </w:p>
    <w:p w14:paraId="40B3EAE4" w14:textId="77777777" w:rsidR="008419A6" w:rsidRPr="008419A6" w:rsidRDefault="008419A6" w:rsidP="008419A6">
      <w:pPr>
        <w:pStyle w:val="ListParagraph"/>
        <w:spacing w:line="276" w:lineRule="auto"/>
        <w:rPr>
          <w:lang w:val="en-GB"/>
        </w:rPr>
      </w:pPr>
      <w:r w:rsidRPr="008419A6">
        <w:rPr>
          <w:lang w:val="en-GB"/>
        </w:rPr>
        <w:t xml:space="preserve">The </w:t>
      </w:r>
      <w:r w:rsidRPr="008419A6">
        <w:rPr>
          <w:b/>
          <w:bCs/>
          <w:lang w:val="en-GB"/>
        </w:rPr>
        <w:t>Old Town Square</w:t>
      </w:r>
      <w:r w:rsidRPr="008419A6">
        <w:rPr>
          <w:lang w:val="en-GB"/>
        </w:rPr>
        <w:t xml:space="preserve"> is valued as a gathering place that reflects Prague’s historical and social development. Commercial activities and large public events may threaten its authenticity if not carefully regulated. Effective public space management is therefore essential.</w:t>
      </w:r>
    </w:p>
    <w:p w14:paraId="51470E29" w14:textId="77777777" w:rsidR="008419A6" w:rsidRPr="008419A6" w:rsidRDefault="008419A6" w:rsidP="008419A6">
      <w:pPr>
        <w:pStyle w:val="ListParagraph"/>
        <w:spacing w:line="276" w:lineRule="auto"/>
        <w:rPr>
          <w:lang w:val="en-GB"/>
        </w:rPr>
      </w:pPr>
      <w:r w:rsidRPr="008419A6">
        <w:rPr>
          <w:lang w:val="en-GB"/>
        </w:rPr>
        <w:t xml:space="preserve">The </w:t>
      </w:r>
      <w:r w:rsidRPr="008419A6">
        <w:rPr>
          <w:b/>
          <w:bCs/>
          <w:lang w:val="en-GB"/>
        </w:rPr>
        <w:t>Astronomical Clock</w:t>
      </w:r>
      <w:r w:rsidRPr="008419A6">
        <w:rPr>
          <w:lang w:val="en-GB"/>
        </w:rPr>
        <w:t>, one of the world's oldest functioning astronomical clocks, demonstrates outstanding craftsmanship and scientific achievement. Continuous maintenance and conservation are necessary to preserve its delicate mechanisms and artistic features.</w:t>
      </w:r>
    </w:p>
    <w:p w14:paraId="2DF712DD" w14:textId="77777777" w:rsidR="008419A6" w:rsidRPr="008419A6" w:rsidRDefault="008419A6" w:rsidP="008419A6">
      <w:pPr>
        <w:pStyle w:val="ListParagraph"/>
        <w:spacing w:line="276" w:lineRule="auto"/>
        <w:rPr>
          <w:lang w:val="en-GB"/>
        </w:rPr>
      </w:pPr>
      <w:r w:rsidRPr="008419A6">
        <w:rPr>
          <w:lang w:val="en-GB"/>
        </w:rPr>
        <w:t xml:space="preserve">Finally, the </w:t>
      </w:r>
      <w:r w:rsidRPr="008419A6">
        <w:rPr>
          <w:b/>
          <w:bCs/>
          <w:lang w:val="en-GB"/>
        </w:rPr>
        <w:t>historic urban skyline</w:t>
      </w:r>
      <w:r w:rsidRPr="008419A6">
        <w:rPr>
          <w:lang w:val="en-GB"/>
        </w:rPr>
        <w:t xml:space="preserve"> contributes significantly to Prague’s identity and Outstanding Universal Value. Modern high-rise developments could disrupt historic views and alter the city's character. Heritage-sensitive urban planning and visual impact assessments are critical to protecting this attribute.</w:t>
      </w:r>
    </w:p>
    <w:p w14:paraId="7A9B6533" w14:textId="77777777" w:rsidR="008419A6" w:rsidRPr="008419A6" w:rsidRDefault="008419A6" w:rsidP="008419A6">
      <w:pPr>
        <w:pStyle w:val="ListParagraph"/>
        <w:spacing w:line="276" w:lineRule="auto"/>
        <w:rPr>
          <w:lang w:val="en-GB"/>
        </w:rPr>
      </w:pPr>
      <w:r w:rsidRPr="008419A6">
        <w:rPr>
          <w:lang w:val="en-GB"/>
        </w:rPr>
        <w:t xml:space="preserve">Overall, sustainable management of Prague's heritage requires balancing tourism growth, urban development, and conservation objectives. Through careful planning, </w:t>
      </w:r>
      <w:r w:rsidRPr="008419A6">
        <w:rPr>
          <w:lang w:val="en-GB"/>
        </w:rPr>
        <w:lastRenderedPageBreak/>
        <w:t>stakeholder engagement, and ongoing monitoring, the city can preserve its unique cultural significance for future generations.</w:t>
      </w:r>
    </w:p>
    <w:p w14:paraId="19AC2B7C" w14:textId="77777777" w:rsidR="008419A6" w:rsidRDefault="008419A6" w:rsidP="008419A6">
      <w:pPr>
        <w:pStyle w:val="ListParagraph"/>
        <w:spacing w:line="276" w:lineRule="auto"/>
        <w:rPr>
          <w:b/>
          <w:bCs/>
          <w:lang w:val="en-GB"/>
        </w:rPr>
      </w:pPr>
    </w:p>
    <w:p w14:paraId="36864938" w14:textId="1EF0DF1D" w:rsidR="008419A6" w:rsidRPr="008419A6" w:rsidRDefault="008419A6" w:rsidP="008419A6">
      <w:pPr>
        <w:pStyle w:val="ListParagraph"/>
        <w:spacing w:line="276" w:lineRule="auto"/>
        <w:rPr>
          <w:b/>
          <w:bCs/>
          <w:lang w:val="en-GB"/>
        </w:rPr>
      </w:pPr>
      <w:r w:rsidRPr="008419A6">
        <w:rPr>
          <w:b/>
          <w:bCs/>
          <w:lang w:val="en-GB"/>
        </w:rPr>
        <w:t>References</w:t>
      </w:r>
    </w:p>
    <w:p w14:paraId="58B3AE34" w14:textId="77777777" w:rsidR="008419A6" w:rsidRPr="008419A6" w:rsidRDefault="008419A6" w:rsidP="008419A6">
      <w:pPr>
        <w:pStyle w:val="ListParagraph"/>
        <w:spacing w:line="276" w:lineRule="auto"/>
        <w:rPr>
          <w:lang w:val="en-GB"/>
        </w:rPr>
      </w:pPr>
      <w:proofErr w:type="spellStart"/>
      <w:r w:rsidRPr="008419A6">
        <w:rPr>
          <w:lang w:val="en-GB"/>
        </w:rPr>
        <w:t>Patiwael</w:t>
      </w:r>
      <w:proofErr w:type="spellEnd"/>
      <w:r w:rsidRPr="008419A6">
        <w:rPr>
          <w:lang w:val="en-GB"/>
        </w:rPr>
        <w:t xml:space="preserve">, P. R., Groote, P., &amp; </w:t>
      </w:r>
      <w:proofErr w:type="spellStart"/>
      <w:r w:rsidRPr="008419A6">
        <w:rPr>
          <w:lang w:val="en-GB"/>
        </w:rPr>
        <w:t>Vanclay</w:t>
      </w:r>
      <w:proofErr w:type="spellEnd"/>
      <w:r w:rsidRPr="008419A6">
        <w:rPr>
          <w:lang w:val="en-GB"/>
        </w:rPr>
        <w:t xml:space="preserve">, F. (2019). Improving heritage impact assessment: An analytical critique of the ICOMOS guidelines. </w:t>
      </w:r>
      <w:r w:rsidRPr="008419A6">
        <w:rPr>
          <w:i/>
          <w:iCs/>
          <w:lang w:val="en-GB"/>
        </w:rPr>
        <w:t>International Journal of Heritage Studies, 25</w:t>
      </w:r>
      <w:r w:rsidRPr="008419A6">
        <w:rPr>
          <w:lang w:val="en-GB"/>
        </w:rPr>
        <w:t xml:space="preserve">(4), 333–347. </w:t>
      </w:r>
      <w:hyperlink r:id="rId6" w:tgtFrame="_new" w:history="1">
        <w:r w:rsidRPr="008419A6">
          <w:rPr>
            <w:rStyle w:val="Hyperlink"/>
            <w:lang w:val="en-GB"/>
          </w:rPr>
          <w:t>https://doi.org/10.1080/13527258.2018.1477057</w:t>
        </w:r>
      </w:hyperlink>
    </w:p>
    <w:p w14:paraId="002ED7F6" w14:textId="77777777" w:rsidR="008419A6" w:rsidRPr="008419A6" w:rsidRDefault="008419A6" w:rsidP="008419A6">
      <w:pPr>
        <w:pStyle w:val="ListParagraph"/>
        <w:spacing w:line="276" w:lineRule="auto"/>
        <w:rPr>
          <w:lang w:val="en-GB"/>
        </w:rPr>
      </w:pPr>
      <w:r w:rsidRPr="008419A6">
        <w:rPr>
          <w:lang w:val="en-GB"/>
        </w:rPr>
        <w:t xml:space="preserve">Jones, S. (2017). Wrestling with the social value of heritage: Problems, dilemmas and opportunities. </w:t>
      </w:r>
      <w:r w:rsidRPr="008419A6">
        <w:rPr>
          <w:i/>
          <w:iCs/>
          <w:lang w:val="en-GB"/>
        </w:rPr>
        <w:t>Journal of Community Archaeology &amp; Heritage, 4</w:t>
      </w:r>
      <w:r w:rsidRPr="008419A6">
        <w:rPr>
          <w:lang w:val="en-GB"/>
        </w:rPr>
        <w:t xml:space="preserve">(1), 21–37. </w:t>
      </w:r>
      <w:hyperlink r:id="rId7" w:tgtFrame="_new" w:history="1">
        <w:r w:rsidRPr="008419A6">
          <w:rPr>
            <w:rStyle w:val="Hyperlink"/>
            <w:lang w:val="en-GB"/>
          </w:rPr>
          <w:t>https://doi.org/10.1080/20518196.2016.1193996</w:t>
        </w:r>
      </w:hyperlink>
    </w:p>
    <w:p w14:paraId="201FAE65" w14:textId="77777777" w:rsidR="008419A6" w:rsidRPr="008419A6" w:rsidRDefault="008419A6" w:rsidP="008419A6">
      <w:pPr>
        <w:pStyle w:val="ListParagraph"/>
        <w:spacing w:line="276" w:lineRule="auto"/>
        <w:rPr>
          <w:b/>
          <w:bCs/>
          <w:lang w:val="en-GB"/>
        </w:rPr>
      </w:pPr>
      <w:r w:rsidRPr="008419A6">
        <w:rPr>
          <w:b/>
          <w:bCs/>
          <w:lang w:val="en-GB"/>
        </w:rPr>
        <w:t>Website References</w:t>
      </w:r>
    </w:p>
    <w:p w14:paraId="7A720ABE" w14:textId="77777777" w:rsidR="008419A6" w:rsidRPr="008419A6" w:rsidRDefault="008419A6" w:rsidP="008419A6">
      <w:pPr>
        <w:pStyle w:val="ListParagraph"/>
        <w:spacing w:line="276" w:lineRule="auto"/>
        <w:rPr>
          <w:lang w:val="en-GB"/>
        </w:rPr>
      </w:pPr>
      <w:r w:rsidRPr="008419A6">
        <w:rPr>
          <w:lang w:val="en-GB"/>
        </w:rPr>
        <w:t xml:space="preserve">UNESCO World Heritage Centre. </w:t>
      </w:r>
      <w:r w:rsidRPr="008419A6">
        <w:rPr>
          <w:i/>
          <w:iCs/>
          <w:lang w:val="en-GB"/>
        </w:rPr>
        <w:t>Historic Centre of Prague</w:t>
      </w:r>
      <w:r w:rsidRPr="008419A6">
        <w:rPr>
          <w:lang w:val="en-GB"/>
        </w:rPr>
        <w:t xml:space="preserve">. </w:t>
      </w:r>
      <w:hyperlink r:id="rId8" w:tgtFrame="_new" w:history="1">
        <w:r w:rsidRPr="008419A6">
          <w:rPr>
            <w:rStyle w:val="Hyperlink"/>
            <w:lang w:val="en-GB"/>
          </w:rPr>
          <w:t>https://whc.unesco.org/en/list/616/</w:t>
        </w:r>
      </w:hyperlink>
    </w:p>
    <w:p w14:paraId="04131024" w14:textId="77777777" w:rsidR="008419A6" w:rsidRPr="008419A6" w:rsidRDefault="008419A6" w:rsidP="008419A6">
      <w:pPr>
        <w:pStyle w:val="ListParagraph"/>
        <w:spacing w:line="276" w:lineRule="auto"/>
        <w:rPr>
          <w:lang w:val="en-GB"/>
        </w:rPr>
      </w:pPr>
      <w:r w:rsidRPr="008419A6">
        <w:rPr>
          <w:lang w:val="en-GB"/>
        </w:rPr>
        <w:t xml:space="preserve">ICOMOS. </w:t>
      </w:r>
      <w:r w:rsidRPr="008419A6">
        <w:rPr>
          <w:i/>
          <w:iCs/>
          <w:lang w:val="en-GB"/>
        </w:rPr>
        <w:t>Guidance on Heritage Impact Assessments for Cultural World Heritage Properties</w:t>
      </w:r>
      <w:r w:rsidRPr="008419A6">
        <w:rPr>
          <w:lang w:val="en-GB"/>
        </w:rPr>
        <w:t xml:space="preserve">. </w:t>
      </w:r>
      <w:hyperlink r:id="rId9" w:tgtFrame="_new" w:history="1">
        <w:r w:rsidRPr="008419A6">
          <w:rPr>
            <w:rStyle w:val="Hyperlink"/>
            <w:lang w:val="en-GB"/>
          </w:rPr>
          <w:t>https://www.icomos.org</w:t>
        </w:r>
      </w:hyperlink>
    </w:p>
    <w:p w14:paraId="6A5EE4F4" w14:textId="77777777" w:rsidR="008419A6" w:rsidRPr="008419A6" w:rsidRDefault="008419A6" w:rsidP="008419A6">
      <w:pPr>
        <w:pStyle w:val="ListParagraph"/>
        <w:spacing w:line="276" w:lineRule="auto"/>
        <w:rPr>
          <w:lang w:val="en-GB"/>
        </w:rPr>
      </w:pPr>
      <w:r w:rsidRPr="008419A6">
        <w:rPr>
          <w:lang w:val="en-GB"/>
        </w:rPr>
        <w:t xml:space="preserve">City of Prague Heritage Department. </w:t>
      </w:r>
      <w:hyperlink r:id="rId10" w:tgtFrame="_new" w:history="1">
        <w:r w:rsidRPr="008419A6">
          <w:rPr>
            <w:rStyle w:val="Hyperlink"/>
            <w:lang w:val="en-GB"/>
          </w:rPr>
          <w:t>https://www.praha.eu</w:t>
        </w:r>
      </w:hyperlink>
    </w:p>
    <w:p w14:paraId="55826777" w14:textId="77777777" w:rsidR="008419A6" w:rsidRPr="008419A6" w:rsidRDefault="008419A6" w:rsidP="008419A6">
      <w:pPr>
        <w:pStyle w:val="ListParagraph"/>
        <w:spacing w:line="276" w:lineRule="auto"/>
        <w:rPr>
          <w:lang w:val="en-GB"/>
        </w:rPr>
      </w:pPr>
      <w:r w:rsidRPr="008419A6">
        <w:rPr>
          <w:lang w:val="en-GB"/>
        </w:rPr>
        <w:t xml:space="preserve">UNESCO Sustainable Development and Heritage Programme. </w:t>
      </w:r>
      <w:hyperlink r:id="rId11" w:tgtFrame="_new" w:history="1">
        <w:r w:rsidRPr="008419A6">
          <w:rPr>
            <w:rStyle w:val="Hyperlink"/>
            <w:lang w:val="en-GB"/>
          </w:rPr>
          <w:t>https://whc.unesco.org/en/sustainabledevelopment/</w:t>
        </w:r>
      </w:hyperlink>
    </w:p>
    <w:p w14:paraId="3BE14075" w14:textId="77777777" w:rsidR="008419A6" w:rsidRPr="005E1FD5" w:rsidRDefault="008419A6" w:rsidP="008419A6">
      <w:pPr>
        <w:pStyle w:val="ListParagraph"/>
        <w:spacing w:line="276" w:lineRule="auto"/>
        <w:ind w:left="0"/>
        <w:rPr>
          <w:lang w:val="en-US"/>
        </w:rPr>
      </w:pPr>
    </w:p>
    <w:sectPr w:rsidR="008419A6" w:rsidRPr="005E1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1E5AF8E-4E19-4A00-9500-212491C84804}"/>
    <w:embedBold r:id="rId2" w:fontKey="{75D3A35A-14F6-4B6F-AE84-78B1D3650351}"/>
    <w:embedItalic r:id="rId3" w:fontKey="{D8849D0B-9990-4C63-B204-17BB769EB46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10CD91A-A49D-423F-A77D-DE239C42B643}"/>
  </w:font>
  <w:font w:name="Calibri Light">
    <w:panose1 w:val="020F0302020204030204"/>
    <w:charset w:val="00"/>
    <w:family w:val="swiss"/>
    <w:pitch w:val="variable"/>
    <w:sig w:usb0="E4002EFF" w:usb1="C000247B" w:usb2="00000009" w:usb3="00000000" w:csb0="000001FF" w:csb1="00000000"/>
    <w:embedRegular r:id="rId5" w:fontKey="{3A01F801-01EF-4CC1-8501-A6DCAC2BAC6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8"/>
  </w:num>
  <w:num w:numId="3" w16cid:durableId="1544052912">
    <w:abstractNumId w:val="0"/>
  </w:num>
  <w:num w:numId="4" w16cid:durableId="746540664">
    <w:abstractNumId w:val="1"/>
  </w:num>
  <w:num w:numId="5" w16cid:durableId="1108088842">
    <w:abstractNumId w:val="3"/>
  </w:num>
  <w:num w:numId="6" w16cid:durableId="1713579031">
    <w:abstractNumId w:val="7"/>
  </w:num>
  <w:num w:numId="7" w16cid:durableId="612253008">
    <w:abstractNumId w:val="6"/>
  </w:num>
  <w:num w:numId="8" w16cid:durableId="314267375">
    <w:abstractNumId w:val="4"/>
  </w:num>
  <w:num w:numId="9" w16cid:durableId="327443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3CA"/>
    <w:rsid w:val="00502E29"/>
    <w:rsid w:val="005E1FD5"/>
    <w:rsid w:val="005E458B"/>
    <w:rsid w:val="00672345"/>
    <w:rsid w:val="00705037"/>
    <w:rsid w:val="007C7917"/>
    <w:rsid w:val="008419A6"/>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1CCD"/>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8419A6"/>
    <w:rPr>
      <w:color w:val="0563C1" w:themeColor="hyperlink"/>
      <w:u w:val="single"/>
    </w:rPr>
  </w:style>
  <w:style w:type="character" w:styleId="UnresolvedMention">
    <w:name w:val="Unresolved Mention"/>
    <w:basedOn w:val="DefaultParagraphFont"/>
    <w:uiPriority w:val="99"/>
    <w:semiHidden/>
    <w:unhideWhenUsed/>
    <w:rsid w:val="008419A6"/>
    <w:rPr>
      <w:color w:val="605E5C"/>
      <w:shd w:val="clear" w:color="auto" w:fill="E1DFDD"/>
    </w:rPr>
  </w:style>
  <w:style w:type="table" w:styleId="GridTable1Light-Accent6">
    <w:name w:val="Grid Table 1 Light Accent 6"/>
    <w:basedOn w:val="TableNormal"/>
    <w:uiPriority w:val="46"/>
    <w:rsid w:val="008419A6"/>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list/6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20518196.2016.119399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8.1477057" TargetMode="External"/><Relationship Id="rId11" Type="http://schemas.openxmlformats.org/officeDocument/2006/relationships/hyperlink" Target="https://whc.unesco.org/en/sustainabledevelopment/" TargetMode="External"/><Relationship Id="rId5" Type="http://schemas.openxmlformats.org/officeDocument/2006/relationships/image" Target="media/image1.png"/><Relationship Id="rId10" Type="http://schemas.openxmlformats.org/officeDocument/2006/relationships/hyperlink" Target="https://www.praha.eu" TargetMode="External"/><Relationship Id="rId4" Type="http://schemas.openxmlformats.org/officeDocument/2006/relationships/webSettings" Target="webSettings.xml"/><Relationship Id="rId9" Type="http://schemas.openxmlformats.org/officeDocument/2006/relationships/hyperlink" Target="https://www.icomos.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1068</Words>
  <Characters>6094</Characters>
  <Application>Microsoft Office Word</Application>
  <DocSecurity>0</DocSecurity>
  <Lines>50</Lines>
  <Paragraphs>14</Paragraphs>
  <ScaleCrop>false</ScaleCrop>
  <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2026-06-16T15:23:00Z</dcterms:created>
  <dcterms:modified xsi:type="dcterms:W3CDTF">2026-06-16T15:23:00Z</dcterms:modified>
</cp:coreProperties>
</file>