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97FABA8" w14:textId="01E90581" w:rsidR="003B5A51" w:rsidRPr="003B5A51" w:rsidRDefault="00E53D54" w:rsidP="003B5A51">
      <w:pPr>
        <w:rPr>
          <w:rFonts w:ascii="Aptos Narrow" w:eastAsia="Times New Roman" w:hAnsi="Aptos Narrow" w:cs="Times New Roman"/>
          <w:color w:val="000000"/>
          <w:kern w:val="0"/>
          <w:sz w:val="22"/>
          <w:szCs w:val="22"/>
          <w:lang w:val="en-GB" w:eastAsia="en-GB" w:bidi="hi-IN"/>
          <w14:ligatures w14:val="none"/>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w:t>
      </w:r>
      <w:r w:rsidR="003B5A51" w:rsidRPr="003B5A51">
        <w:rPr>
          <w:rFonts w:ascii="Aptos Narrow" w:eastAsia="Times New Roman" w:hAnsi="Aptos Narrow" w:cs="Times New Roman"/>
          <w:color w:val="000000"/>
          <w:kern w:val="0"/>
          <w:sz w:val="22"/>
          <w:szCs w:val="22"/>
          <w:lang w:val="en-GB" w:eastAsia="en-GB" w:bidi="hi-IN"/>
          <w14:ligatures w14:val="none"/>
        </w:rPr>
        <w:t xml:space="preserve">Aashish Aashish </w:t>
      </w:r>
    </w:p>
    <w:p w14:paraId="03C8425E" w14:textId="74BB80B2" w:rsidR="00AB19F4" w:rsidRPr="00AB19F4" w:rsidRDefault="00AB19F4" w:rsidP="00AB19F4">
      <w:pPr>
        <w:rPr>
          <w:rFonts w:ascii="Aptos Narrow" w:eastAsia="Times New Roman" w:hAnsi="Aptos Narrow" w:cs="Times New Roman"/>
          <w:color w:val="000000"/>
          <w:kern w:val="0"/>
          <w:sz w:val="22"/>
          <w:szCs w:val="22"/>
          <w:lang w:val="en-GB" w:eastAsia="en-GB" w:bidi="hi-IN"/>
          <w14:ligatures w14:val="none"/>
        </w:rPr>
      </w:pPr>
    </w:p>
    <w:p w14:paraId="0DE84DDA" w14:textId="62430BB8" w:rsidR="0019504D" w:rsidRPr="00FC3CE9" w:rsidRDefault="0019504D">
      <w:pPr>
        <w:rPr>
          <w:lang w:val="en-US"/>
        </w:rPr>
      </w:pP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17F2C1DF" w14:textId="77777777" w:rsidR="003B5A51" w:rsidRPr="003B5A51" w:rsidRDefault="003B5A51" w:rsidP="003B5A51">
      <w:pPr>
        <w:ind w:left="360"/>
        <w:rPr>
          <w:lang w:val="en-GB"/>
        </w:rPr>
      </w:pPr>
      <w:r w:rsidRPr="003B5A51">
        <w:rPr>
          <w:lang w:val="en-GB"/>
        </w:rPr>
        <w:t>Revenue Management in hotels refers to the application of analytical techniques and market intelligence to optimise room pricing, capacity utilisation, and revenue streams. It is rooted in demand forecasting, customer segmentation, and competitive analysis, allowing hotels to respond dynamically to changing market conditions. Given the fixed capacity and perishable nature of hotel rooms, revenue management plays a crucial role in achieving both revenue growth and operational efficiency.</w:t>
      </w:r>
    </w:p>
    <w:p w14:paraId="57045184" w14:textId="77777777" w:rsidR="003B5A51" w:rsidRPr="003B5A51" w:rsidRDefault="003B5A51" w:rsidP="003B5A51">
      <w:pPr>
        <w:ind w:left="360"/>
        <w:rPr>
          <w:lang w:val="en-GB"/>
        </w:rPr>
      </w:pPr>
      <w:r w:rsidRPr="003B5A51">
        <w:rPr>
          <w:lang w:val="en-GB"/>
        </w:rPr>
        <w:t>Performance metrics are indispensable to revenue management because they convert operational data into meaningful managerial insights. These metrics help managers assess the effectiveness of pricing strategies, identify trends in customer behaviour, and measure financial performance. By systematically tracking key indicators, hotels can improve forecasting accuracy, optimise distribution strategies, and enhance overall profitability.</w:t>
      </w: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3E8ED596" w14:textId="77777777" w:rsidR="003B5A51" w:rsidRPr="003B5A51" w:rsidRDefault="003B5A51" w:rsidP="003B5A51">
      <w:pPr>
        <w:pStyle w:val="ListParagraph"/>
        <w:rPr>
          <w:b/>
          <w:bCs/>
          <w:lang w:val="en-GB"/>
        </w:rPr>
      </w:pPr>
      <w:r w:rsidRPr="003B5A51">
        <w:rPr>
          <w:b/>
          <w:bCs/>
          <w:lang w:val="en-GB"/>
        </w:rPr>
        <w:t>Key Revenue Management Metrics and Their Managerial Significance</w:t>
      </w:r>
    </w:p>
    <w:p w14:paraId="08A4A4A0" w14:textId="77777777" w:rsidR="003B5A51" w:rsidRPr="003B5A51" w:rsidRDefault="003B5A51" w:rsidP="003B5A51">
      <w:pPr>
        <w:pStyle w:val="ListParagraph"/>
        <w:rPr>
          <w:lang w:val="en-GB"/>
        </w:rPr>
      </w:pPr>
      <w:r w:rsidRPr="003B5A51">
        <w:rPr>
          <w:b/>
          <w:bCs/>
          <w:lang w:val="en-GB"/>
        </w:rPr>
        <w:lastRenderedPageBreak/>
        <w:t>Average Daily Rate (ADR)</w:t>
      </w:r>
      <w:r w:rsidRPr="003B5A51">
        <w:rPr>
          <w:lang w:val="en-GB"/>
        </w:rPr>
        <w:br/>
        <w:t>ADR measures the average income generated per sold room and is a primary indicator of pricing performance. Managers use ADR to assess the success of rate strategies and to evaluate how customers perceive value. However, ADR should always be analysed alongside occupancy to ensure balanced decision-making.</w:t>
      </w:r>
    </w:p>
    <w:p w14:paraId="2F4C4C64" w14:textId="77777777" w:rsidR="003B5A51" w:rsidRPr="003B5A51" w:rsidRDefault="003B5A51" w:rsidP="003B5A51">
      <w:pPr>
        <w:pStyle w:val="ListParagraph"/>
        <w:rPr>
          <w:lang w:val="en-GB"/>
        </w:rPr>
      </w:pPr>
      <w:r w:rsidRPr="003B5A51">
        <w:rPr>
          <w:b/>
          <w:bCs/>
          <w:lang w:val="en-GB"/>
        </w:rPr>
        <w:t>Occupancy Rate</w:t>
      </w:r>
      <w:r w:rsidRPr="003B5A51">
        <w:rPr>
          <w:lang w:val="en-GB"/>
        </w:rPr>
        <w:br/>
        <w:t>Occupancy Rate indicates the proportion of available rooms that are occupied. It provides insight into demand levels and the effectiveness of sales and marketing initiatives. Managers rely on this metric to identify periods of underutilisation and adjust pricing or promotional activities accordingly.</w:t>
      </w:r>
    </w:p>
    <w:p w14:paraId="1D1B6FFF" w14:textId="77777777" w:rsidR="003B5A51" w:rsidRPr="003B5A51" w:rsidRDefault="003B5A51" w:rsidP="003B5A51">
      <w:pPr>
        <w:pStyle w:val="ListParagraph"/>
        <w:rPr>
          <w:lang w:val="en-GB"/>
        </w:rPr>
      </w:pPr>
      <w:r w:rsidRPr="003B5A51">
        <w:rPr>
          <w:b/>
          <w:bCs/>
          <w:lang w:val="en-GB"/>
        </w:rPr>
        <w:t>Revenue per Available Room (RevPAR)</w:t>
      </w:r>
      <w:r w:rsidRPr="003B5A51">
        <w:rPr>
          <w:lang w:val="en-GB"/>
        </w:rPr>
        <w:br/>
        <w:t>RevPAR is a comprehensive metric that reflects both pricing and occupancy performance. It enables hotels to assess how well they are utilising their room inventory and is commonly used for competitive benchmarking within the industry.</w:t>
      </w:r>
    </w:p>
    <w:p w14:paraId="40A4510B" w14:textId="77777777" w:rsidR="003B5A51" w:rsidRPr="003B5A51" w:rsidRDefault="003B5A51" w:rsidP="003B5A51">
      <w:pPr>
        <w:pStyle w:val="ListParagraph"/>
        <w:rPr>
          <w:lang w:val="en-GB"/>
        </w:rPr>
      </w:pPr>
      <w:r w:rsidRPr="003B5A51">
        <w:rPr>
          <w:b/>
          <w:bCs/>
          <w:lang w:val="en-GB"/>
        </w:rPr>
        <w:t>Gross Operating Profit per Available Room (GOPPAR)</w:t>
      </w:r>
      <w:r w:rsidRPr="003B5A51">
        <w:rPr>
          <w:lang w:val="en-GB"/>
        </w:rPr>
        <w:br/>
        <w:t>GOPPAR offers a profitability-focused perspective by incorporating operating expenses into performance evaluation. This metric is particularly valuable for strategic decision-making, as it highlights the relationship between revenue growth and cost efficiency.</w:t>
      </w:r>
    </w:p>
    <w:p w14:paraId="7AC5F0CE" w14:textId="77777777" w:rsidR="003B5A51" w:rsidRDefault="003B5A51" w:rsidP="003B5A51">
      <w:pPr>
        <w:pStyle w:val="ListParagraph"/>
        <w:rPr>
          <w:lang w:val="en-GB"/>
        </w:rPr>
      </w:pPr>
      <w:r w:rsidRPr="003B5A51">
        <w:rPr>
          <w:lang w:val="en-GB"/>
        </w:rPr>
        <w:t>Overall, performance metrics are fundamental to effective revenue management, supporting informed decisions that enhance financial sustainability and competitive advantage.</w:t>
      </w:r>
    </w:p>
    <w:p w14:paraId="1058E3C5" w14:textId="77777777" w:rsidR="003B5A51" w:rsidRDefault="003B5A51" w:rsidP="003B5A51">
      <w:pPr>
        <w:pStyle w:val="ListParagraph"/>
        <w:rPr>
          <w:lang w:val="en-GB"/>
        </w:rPr>
      </w:pPr>
    </w:p>
    <w:p w14:paraId="134A447F" w14:textId="77777777" w:rsidR="003B5A51" w:rsidRPr="003B5A51" w:rsidRDefault="003B5A51" w:rsidP="003B5A51">
      <w:pPr>
        <w:pStyle w:val="ListParagraph"/>
        <w:rPr>
          <w:lang w:val="en-GB"/>
        </w:rPr>
      </w:pPr>
    </w:p>
    <w:p w14:paraId="16B3F890" w14:textId="0D675B0A" w:rsidR="003B5A51" w:rsidRPr="003B5A51" w:rsidRDefault="003B5A51" w:rsidP="003B5A51">
      <w:pPr>
        <w:pStyle w:val="ListParagraph"/>
        <w:rPr>
          <w:b/>
          <w:bCs/>
          <w:lang w:val="en-GB"/>
        </w:rPr>
      </w:pPr>
      <w:r w:rsidRPr="003B5A51">
        <w:rPr>
          <w:b/>
          <w:bCs/>
          <w:lang w:val="en-GB"/>
        </w:rPr>
        <w:t xml:space="preserve">References </w:t>
      </w:r>
    </w:p>
    <w:p w14:paraId="11536B2E" w14:textId="77777777" w:rsidR="003B5A51" w:rsidRPr="003B5A51" w:rsidRDefault="003B5A51" w:rsidP="003B5A51">
      <w:pPr>
        <w:pStyle w:val="ListParagraph"/>
        <w:numPr>
          <w:ilvl w:val="0"/>
          <w:numId w:val="8"/>
        </w:numPr>
        <w:rPr>
          <w:lang w:val="en-GB"/>
        </w:rPr>
      </w:pPr>
      <w:r w:rsidRPr="003B5A51">
        <w:rPr>
          <w:lang w:val="en-GB"/>
        </w:rPr>
        <w:t xml:space="preserve">Anderson, C. K., &amp; Xie, X. (2010). Improving hospitality industry sales: Twenty-five years of revenue management. </w:t>
      </w:r>
      <w:r w:rsidRPr="003B5A51">
        <w:rPr>
          <w:i/>
          <w:iCs/>
          <w:lang w:val="en-GB"/>
        </w:rPr>
        <w:t>Cornell Hospitality Quarterly, 51</w:t>
      </w:r>
      <w:r w:rsidRPr="003B5A51">
        <w:rPr>
          <w:lang w:val="en-GB"/>
        </w:rPr>
        <w:t>(1), 53–67. https://doi.org/10.1177/1938965509354697</w:t>
      </w:r>
    </w:p>
    <w:p w14:paraId="48438666" w14:textId="77777777" w:rsidR="003B5A51" w:rsidRPr="003B5A51" w:rsidRDefault="003B5A51" w:rsidP="003B5A51">
      <w:pPr>
        <w:pStyle w:val="ListParagraph"/>
        <w:numPr>
          <w:ilvl w:val="0"/>
          <w:numId w:val="8"/>
        </w:numPr>
        <w:rPr>
          <w:lang w:val="en-GB"/>
        </w:rPr>
      </w:pPr>
      <w:r w:rsidRPr="003B5A51">
        <w:rPr>
          <w:lang w:val="en-GB"/>
        </w:rPr>
        <w:t xml:space="preserve">Chen, M. H., &amp; Schwartz, Z. (2008). Room rate dynamics and strategic pricing. </w:t>
      </w:r>
      <w:r w:rsidRPr="003B5A51">
        <w:rPr>
          <w:i/>
          <w:iCs/>
          <w:lang w:val="en-GB"/>
        </w:rPr>
        <w:t>International Journal of Hospitality Management, 27</w:t>
      </w:r>
      <w:r w:rsidRPr="003B5A51">
        <w:rPr>
          <w:lang w:val="en-GB"/>
        </w:rPr>
        <w:t>(3), 355–364. https://doi.org/10.1016/j.ijhm.2007.07.008</w:t>
      </w:r>
    </w:p>
    <w:p w14:paraId="6187C3DB" w14:textId="77777777" w:rsidR="003B5A51" w:rsidRPr="003B5A51" w:rsidRDefault="003B5A51" w:rsidP="003B5A51">
      <w:pPr>
        <w:pStyle w:val="ListParagraph"/>
        <w:numPr>
          <w:ilvl w:val="0"/>
          <w:numId w:val="8"/>
        </w:numPr>
        <w:rPr>
          <w:lang w:val="en-GB"/>
        </w:rPr>
      </w:pPr>
      <w:r w:rsidRPr="003B5A51">
        <w:rPr>
          <w:lang w:val="en-GB"/>
        </w:rPr>
        <w:t xml:space="preserve">Jones, P., &amp; Lockwood, A. (2004). </w:t>
      </w:r>
      <w:r w:rsidRPr="003B5A51">
        <w:rPr>
          <w:i/>
          <w:iCs/>
          <w:lang w:val="en-GB"/>
        </w:rPr>
        <w:t>The management of hotel operations</w:t>
      </w:r>
      <w:r w:rsidRPr="003B5A51">
        <w:rPr>
          <w:lang w:val="en-GB"/>
        </w:rPr>
        <w:t>. Thomson Learning.</w:t>
      </w:r>
    </w:p>
    <w:p w14:paraId="3071895E" w14:textId="77777777" w:rsidR="003B5A51" w:rsidRPr="003B5A51" w:rsidRDefault="003B5A51" w:rsidP="003B5A51">
      <w:pPr>
        <w:pStyle w:val="ListParagraph"/>
        <w:numPr>
          <w:ilvl w:val="0"/>
          <w:numId w:val="8"/>
        </w:numPr>
        <w:rPr>
          <w:lang w:val="en-GB"/>
        </w:rPr>
      </w:pPr>
      <w:r w:rsidRPr="003B5A51">
        <w:rPr>
          <w:lang w:val="en-GB"/>
        </w:rPr>
        <w:t xml:space="preserve">Okumus, F. (2004). Implementation of revenue management systems. </w:t>
      </w:r>
      <w:r w:rsidRPr="003B5A51">
        <w:rPr>
          <w:i/>
          <w:iCs/>
          <w:lang w:val="en-GB"/>
        </w:rPr>
        <w:t>International Journal of Contemporary Hospitality Management, 16</w:t>
      </w:r>
      <w:r w:rsidRPr="003B5A51">
        <w:rPr>
          <w:lang w:val="en-GB"/>
        </w:rPr>
        <w:t>(7), 408–419. https://doi.org/10.1108/09596110410559005</w:t>
      </w:r>
    </w:p>
    <w:p w14:paraId="0482C2A7" w14:textId="6603A859" w:rsidR="00EE7C80" w:rsidRPr="00EE7C80" w:rsidRDefault="00EE7C80" w:rsidP="003B5A51">
      <w:pPr>
        <w:pStyle w:val="ListParagraph"/>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5A593BA-A29C-4B77-9A05-8C048BB1D6C7}"/>
    <w:embedBold r:id="rId2" w:fontKey="{4F625B31-78D1-4F6D-8E4F-15CDD0C3E095}"/>
    <w:embedItalic r:id="rId3" w:fontKey="{C634F7F5-B23B-4119-92CD-8C2B300CE620}"/>
  </w:font>
  <w:font w:name="Cambria">
    <w:panose1 w:val="02040503050406030204"/>
    <w:charset w:val="00"/>
    <w:family w:val="roman"/>
    <w:pitch w:val="variable"/>
    <w:sig w:usb0="E00006FF" w:usb1="420024FF" w:usb2="02000000" w:usb3="00000000" w:csb0="0000019F" w:csb1="00000000"/>
    <w:embedRegular r:id="rId4" w:fontKey="{C91543D1-994A-4DC0-A842-86D034576FF9}"/>
  </w:font>
  <w:font w:name="Aptos Narrow">
    <w:charset w:val="00"/>
    <w:family w:val="swiss"/>
    <w:pitch w:val="variable"/>
    <w:sig w:usb0="20000287" w:usb1="00000003" w:usb2="00000000" w:usb3="00000000" w:csb0="0000019F" w:csb1="00000000"/>
    <w:embedRegular r:id="rId5" w:fontKey="{34AA224C-123A-44DA-8CF6-AF75462F4908}"/>
  </w:font>
  <w:font w:name="Calibri Light">
    <w:panose1 w:val="020F0302020204030204"/>
    <w:charset w:val="00"/>
    <w:family w:val="swiss"/>
    <w:pitch w:val="variable"/>
    <w:sig w:usb0="E4002EFF" w:usb1="C000247B" w:usb2="00000009" w:usb3="00000000" w:csb0="000001FF" w:csb1="00000000"/>
    <w:embedRegular r:id="rId6" w:fontKey="{04CCC302-2134-4820-8E8C-64ADF8EC96C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A3"/>
    <w:multiLevelType w:val="multilevel"/>
    <w:tmpl w:val="F778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D750A4"/>
    <w:multiLevelType w:val="multilevel"/>
    <w:tmpl w:val="DDE6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4"/>
  </w:num>
  <w:num w:numId="2" w16cid:durableId="561453694">
    <w:abstractNumId w:val="6"/>
  </w:num>
  <w:num w:numId="3" w16cid:durableId="770932124">
    <w:abstractNumId w:val="3"/>
  </w:num>
  <w:num w:numId="4" w16cid:durableId="1109160729">
    <w:abstractNumId w:val="5"/>
  </w:num>
  <w:num w:numId="5" w16cid:durableId="1079014838">
    <w:abstractNumId w:val="1"/>
  </w:num>
  <w:num w:numId="6" w16cid:durableId="803473690">
    <w:abstractNumId w:val="2"/>
  </w:num>
  <w:num w:numId="7" w16cid:durableId="2067993043">
    <w:abstractNumId w:val="0"/>
  </w:num>
  <w:num w:numId="8" w16cid:durableId="6891415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80E1C"/>
    <w:rsid w:val="002F4AE0"/>
    <w:rsid w:val="00314E57"/>
    <w:rsid w:val="00384E8A"/>
    <w:rsid w:val="003B5A51"/>
    <w:rsid w:val="003D1074"/>
    <w:rsid w:val="00426865"/>
    <w:rsid w:val="00477CAA"/>
    <w:rsid w:val="00494D6C"/>
    <w:rsid w:val="00502E29"/>
    <w:rsid w:val="005B6817"/>
    <w:rsid w:val="005E458B"/>
    <w:rsid w:val="006215AD"/>
    <w:rsid w:val="00634FEB"/>
    <w:rsid w:val="00661030"/>
    <w:rsid w:val="00844EC2"/>
    <w:rsid w:val="008516FE"/>
    <w:rsid w:val="008E3539"/>
    <w:rsid w:val="00903466"/>
    <w:rsid w:val="009122A2"/>
    <w:rsid w:val="009942AA"/>
    <w:rsid w:val="009C1D0A"/>
    <w:rsid w:val="009C5AB2"/>
    <w:rsid w:val="009E74CE"/>
    <w:rsid w:val="009F1099"/>
    <w:rsid w:val="00A044F7"/>
    <w:rsid w:val="00A8150E"/>
    <w:rsid w:val="00AB19F4"/>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2026-01-20T15:39:00Z</dcterms:created>
  <dcterms:modified xsi:type="dcterms:W3CDTF">2026-01-20T15:39:00Z</dcterms:modified>
</cp:coreProperties>
</file>