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BCA4" w14:textId="77777777" w:rsidR="00426865" w:rsidRPr="00215386" w:rsidRDefault="00672345" w:rsidP="009969E1">
      <w:pPr>
        <w:spacing w:line="480" w:lineRule="auto"/>
        <w:rPr>
          <w:rFonts w:asciiTheme="majorBidi" w:hAnsiTheme="majorBidi" w:cstheme="majorBidi"/>
        </w:rPr>
      </w:pPr>
      <w:r w:rsidRPr="00215386">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E63A02A" w14:textId="77777777" w:rsidR="00672345" w:rsidRPr="00215386" w:rsidRDefault="003C5D74"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Structure of Tourism Markets</w:t>
      </w:r>
    </w:p>
    <w:p w14:paraId="4F045B20" w14:textId="77777777" w:rsidR="00672345" w:rsidRPr="00215386" w:rsidRDefault="00672345"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Assignment </w:t>
      </w:r>
      <w:r w:rsidR="00762633" w:rsidRPr="00215386">
        <w:rPr>
          <w:rFonts w:asciiTheme="majorBidi" w:hAnsiTheme="majorBidi" w:cstheme="majorBidi"/>
          <w:lang w:val="en-US"/>
        </w:rPr>
        <w:t>3</w:t>
      </w:r>
    </w:p>
    <w:p w14:paraId="7528BBCE" w14:textId="77777777" w:rsidR="00672345" w:rsidRPr="00215386" w:rsidRDefault="00762633" w:rsidP="009969E1">
      <w:pPr>
        <w:spacing w:line="480" w:lineRule="auto"/>
        <w:rPr>
          <w:rFonts w:asciiTheme="majorBidi" w:hAnsiTheme="majorBidi" w:cstheme="majorBidi"/>
          <w:lang w:val="en-US"/>
        </w:rPr>
      </w:pPr>
      <w:r w:rsidRPr="00215386">
        <w:rPr>
          <w:rFonts w:asciiTheme="majorBidi" w:hAnsiTheme="majorBidi" w:cstheme="majorBidi"/>
          <w:lang w:val="en-US"/>
        </w:rPr>
        <w:t>26</w:t>
      </w:r>
      <w:r w:rsidR="00672345" w:rsidRPr="00215386">
        <w:rPr>
          <w:rFonts w:asciiTheme="majorBidi" w:hAnsiTheme="majorBidi" w:cstheme="majorBidi"/>
          <w:lang w:val="en-US"/>
        </w:rPr>
        <w:t>.0</w:t>
      </w:r>
      <w:r w:rsidRPr="00215386">
        <w:rPr>
          <w:rFonts w:asciiTheme="majorBidi" w:hAnsiTheme="majorBidi" w:cstheme="majorBidi"/>
          <w:lang w:val="en-US"/>
        </w:rPr>
        <w:t>8</w:t>
      </w:r>
      <w:r w:rsidR="00672345" w:rsidRPr="00215386">
        <w:rPr>
          <w:rFonts w:asciiTheme="majorBidi" w:hAnsiTheme="majorBidi" w:cstheme="majorBidi"/>
          <w:lang w:val="en-US"/>
        </w:rPr>
        <w:t>.2026</w:t>
      </w:r>
    </w:p>
    <w:p w14:paraId="36B9BE3B" w14:textId="77777777" w:rsidR="00672345" w:rsidRPr="00215386" w:rsidRDefault="00672345" w:rsidP="009969E1">
      <w:pPr>
        <w:spacing w:line="480" w:lineRule="auto"/>
        <w:rPr>
          <w:rFonts w:asciiTheme="majorBidi" w:hAnsiTheme="majorBidi" w:cstheme="majorBidi"/>
        </w:rPr>
      </w:pPr>
    </w:p>
    <w:p w14:paraId="0EC3A299" w14:textId="77777777" w:rsidR="00672345" w:rsidRPr="00215386" w:rsidRDefault="00672345" w:rsidP="009969E1">
      <w:pPr>
        <w:spacing w:line="480" w:lineRule="auto"/>
        <w:rPr>
          <w:rFonts w:asciiTheme="majorBidi" w:hAnsiTheme="majorBidi" w:cstheme="majorBidi"/>
        </w:rPr>
      </w:pPr>
    </w:p>
    <w:p w14:paraId="02416DCD" w14:textId="77777777" w:rsidR="00672345" w:rsidRPr="00215386" w:rsidRDefault="00672345" w:rsidP="009969E1">
      <w:pPr>
        <w:spacing w:line="480" w:lineRule="auto"/>
        <w:rPr>
          <w:rFonts w:asciiTheme="majorBidi" w:hAnsiTheme="majorBidi" w:cstheme="majorBidi"/>
        </w:rPr>
      </w:pPr>
    </w:p>
    <w:p w14:paraId="231DF704" w14:textId="77777777" w:rsidR="00672345" w:rsidRPr="00215386" w:rsidRDefault="00672345" w:rsidP="009969E1">
      <w:pPr>
        <w:spacing w:line="480" w:lineRule="auto"/>
        <w:rPr>
          <w:rFonts w:asciiTheme="majorBidi" w:hAnsiTheme="majorBidi" w:cstheme="majorBidi"/>
        </w:rPr>
      </w:pPr>
    </w:p>
    <w:p w14:paraId="4F9A0801" w14:textId="77777777" w:rsidR="00672345" w:rsidRPr="00215386" w:rsidRDefault="00672345" w:rsidP="009969E1">
      <w:pPr>
        <w:spacing w:line="480" w:lineRule="auto"/>
        <w:rPr>
          <w:rFonts w:asciiTheme="majorBidi" w:hAnsiTheme="majorBidi" w:cstheme="majorBidi"/>
        </w:rPr>
      </w:pPr>
    </w:p>
    <w:p w14:paraId="6331FE01" w14:textId="77777777" w:rsidR="00672345" w:rsidRPr="00215386" w:rsidRDefault="00672345" w:rsidP="009969E1">
      <w:pPr>
        <w:spacing w:line="480" w:lineRule="auto"/>
        <w:rPr>
          <w:rFonts w:asciiTheme="majorBidi" w:hAnsiTheme="majorBidi" w:cstheme="majorBidi"/>
        </w:rPr>
      </w:pPr>
    </w:p>
    <w:p w14:paraId="0FEA5EEF" w14:textId="77777777" w:rsidR="00672345" w:rsidRPr="00215386" w:rsidRDefault="00672345" w:rsidP="009969E1">
      <w:pPr>
        <w:spacing w:line="480" w:lineRule="auto"/>
        <w:rPr>
          <w:rFonts w:asciiTheme="majorBidi" w:hAnsiTheme="majorBidi" w:cstheme="majorBidi"/>
        </w:rPr>
      </w:pPr>
    </w:p>
    <w:p w14:paraId="2D489FE3" w14:textId="77777777" w:rsidR="00672345" w:rsidRPr="00215386" w:rsidRDefault="00672345" w:rsidP="009969E1">
      <w:pPr>
        <w:spacing w:line="480" w:lineRule="auto"/>
        <w:rPr>
          <w:rFonts w:asciiTheme="majorBidi" w:hAnsiTheme="majorBidi" w:cstheme="majorBidi"/>
        </w:rPr>
      </w:pPr>
    </w:p>
    <w:p w14:paraId="562A8F9F" w14:textId="77777777" w:rsidR="00672345" w:rsidRPr="00215386" w:rsidRDefault="00672345" w:rsidP="009969E1">
      <w:pPr>
        <w:spacing w:line="480" w:lineRule="auto"/>
        <w:rPr>
          <w:rFonts w:asciiTheme="majorBidi" w:hAnsiTheme="majorBidi" w:cstheme="majorBidi"/>
        </w:rPr>
      </w:pPr>
    </w:p>
    <w:p w14:paraId="39D49D88" w14:textId="77777777" w:rsidR="00672345" w:rsidRPr="00215386" w:rsidRDefault="00672345" w:rsidP="009969E1">
      <w:pPr>
        <w:spacing w:line="480" w:lineRule="auto"/>
        <w:rPr>
          <w:rFonts w:asciiTheme="majorBidi" w:hAnsiTheme="majorBidi" w:cstheme="majorBidi"/>
        </w:rPr>
      </w:pPr>
    </w:p>
    <w:p w14:paraId="2CAC2AEC" w14:textId="77777777" w:rsidR="00672345" w:rsidRPr="00215386" w:rsidRDefault="00672345" w:rsidP="009969E1">
      <w:pPr>
        <w:spacing w:line="480" w:lineRule="auto"/>
        <w:rPr>
          <w:rFonts w:asciiTheme="majorBidi" w:hAnsiTheme="majorBidi" w:cstheme="majorBidi"/>
        </w:rPr>
      </w:pPr>
    </w:p>
    <w:p w14:paraId="63F76245" w14:textId="77777777" w:rsidR="00672345" w:rsidRPr="00215386" w:rsidRDefault="00672345" w:rsidP="009969E1">
      <w:pPr>
        <w:spacing w:line="480" w:lineRule="auto"/>
        <w:rPr>
          <w:rFonts w:asciiTheme="majorBidi" w:hAnsiTheme="majorBidi" w:cstheme="majorBidi"/>
        </w:rPr>
      </w:pPr>
    </w:p>
    <w:p w14:paraId="2481D64C" w14:textId="77777777" w:rsidR="00672345" w:rsidRPr="00215386" w:rsidRDefault="00672345" w:rsidP="009969E1">
      <w:pPr>
        <w:spacing w:line="480" w:lineRule="auto"/>
        <w:rPr>
          <w:rFonts w:asciiTheme="majorBidi" w:hAnsiTheme="majorBidi" w:cstheme="majorBidi"/>
        </w:rPr>
      </w:pPr>
    </w:p>
    <w:p w14:paraId="2406E44C" w14:textId="77777777" w:rsidR="00672345" w:rsidRPr="00215386" w:rsidRDefault="00672345" w:rsidP="009969E1">
      <w:pPr>
        <w:spacing w:line="480" w:lineRule="auto"/>
        <w:rPr>
          <w:rFonts w:asciiTheme="majorBidi" w:hAnsiTheme="majorBidi" w:cstheme="majorBidi"/>
          <w:b/>
          <w:bCs/>
          <w:lang w:val="en-US"/>
        </w:rPr>
      </w:pPr>
      <w:r w:rsidRPr="00215386">
        <w:rPr>
          <w:rFonts w:asciiTheme="majorBidi" w:hAnsiTheme="majorBidi" w:cstheme="majorBidi"/>
          <w:b/>
          <w:bCs/>
          <w:lang w:val="en-US"/>
        </w:rPr>
        <w:t>In no more than 500 words, each explain and 2-4 references:</w:t>
      </w:r>
    </w:p>
    <w:p w14:paraId="37710469" w14:textId="77777777" w:rsidR="00672345" w:rsidRPr="00215386" w:rsidRDefault="00672345" w:rsidP="009969E1">
      <w:pPr>
        <w:spacing w:line="480" w:lineRule="auto"/>
        <w:rPr>
          <w:rFonts w:asciiTheme="majorBidi" w:hAnsiTheme="majorBidi" w:cstheme="majorBidi"/>
          <w:b/>
          <w:bCs/>
          <w:lang w:val="en-US"/>
        </w:rPr>
      </w:pPr>
    </w:p>
    <w:p w14:paraId="05C310F5" w14:textId="77777777" w:rsidR="00672345" w:rsidRPr="00215386" w:rsidRDefault="00672345" w:rsidP="009969E1">
      <w:pPr>
        <w:spacing w:line="480" w:lineRule="auto"/>
        <w:rPr>
          <w:rFonts w:asciiTheme="majorBidi" w:hAnsiTheme="majorBidi" w:cstheme="majorBidi"/>
          <w:b/>
          <w:bCs/>
          <w:lang w:val="en-US"/>
        </w:rPr>
      </w:pPr>
    </w:p>
    <w:p w14:paraId="276E2E31" w14:textId="77777777" w:rsidR="00672345" w:rsidRPr="00215386" w:rsidRDefault="00672345" w:rsidP="009969E1">
      <w:pPr>
        <w:spacing w:line="480" w:lineRule="auto"/>
        <w:rPr>
          <w:rFonts w:asciiTheme="majorBidi" w:hAnsiTheme="majorBidi" w:cstheme="majorBidi"/>
          <w:lang w:val="en-US"/>
        </w:rPr>
      </w:pPr>
    </w:p>
    <w:p w14:paraId="48EEE791" w14:textId="77777777" w:rsidR="006E036E" w:rsidRPr="00215386" w:rsidRDefault="003C5D74" w:rsidP="009969E1">
      <w:pPr>
        <w:spacing w:line="480" w:lineRule="auto"/>
        <w:rPr>
          <w:rFonts w:asciiTheme="majorBidi" w:hAnsiTheme="majorBidi" w:cstheme="majorBidi"/>
          <w:lang w:val="en-US"/>
        </w:rPr>
      </w:pPr>
      <w:r w:rsidRPr="00215386">
        <w:rPr>
          <w:rFonts w:asciiTheme="majorBidi" w:hAnsiTheme="majorBidi" w:cstheme="majorBidi"/>
          <w:lang w:val="en-US"/>
        </w:rPr>
        <w:t xml:space="preserve">1- </w:t>
      </w:r>
      <w:r w:rsidR="006E036E" w:rsidRPr="00215386">
        <w:rPr>
          <w:rFonts w:asciiTheme="majorBidi" w:hAnsiTheme="majorBidi" w:cstheme="majorBidi"/>
          <w:lang w:val="en-US"/>
        </w:rPr>
        <w:t xml:space="preserve">Explain the concept of tourist consumer </w:t>
      </w:r>
      <w:proofErr w:type="spellStart"/>
      <w:r w:rsidR="006E036E" w:rsidRPr="00215386">
        <w:rPr>
          <w:rFonts w:asciiTheme="majorBidi" w:hAnsiTheme="majorBidi" w:cstheme="majorBidi"/>
          <w:lang w:val="en-US"/>
        </w:rPr>
        <w:t>behaviour</w:t>
      </w:r>
      <w:proofErr w:type="spellEnd"/>
      <w:r w:rsidR="006E036E" w:rsidRPr="00215386">
        <w:rPr>
          <w:rFonts w:asciiTheme="majorBidi" w:hAnsiTheme="majorBidi" w:cstheme="majorBidi"/>
          <w:lang w:val="en-US"/>
        </w:rPr>
        <w:t>.</w:t>
      </w:r>
    </w:p>
    <w:p w14:paraId="10367062" w14:textId="77777777" w:rsidR="006E036E" w:rsidRPr="00215386" w:rsidRDefault="006E036E" w:rsidP="009969E1">
      <w:pPr>
        <w:spacing w:line="480" w:lineRule="auto"/>
        <w:rPr>
          <w:rFonts w:asciiTheme="majorBidi" w:hAnsiTheme="majorBidi" w:cstheme="majorBidi"/>
          <w:lang w:val="en-US"/>
        </w:rPr>
      </w:pPr>
    </w:p>
    <w:p w14:paraId="138216C0" w14:textId="77777777" w:rsidR="006E036E" w:rsidRPr="00215386"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2- Explain the difference between institutionalized and non-institutionalized tourists.</w:t>
      </w:r>
    </w:p>
    <w:p w14:paraId="5B78863B" w14:textId="39C275C0" w:rsidR="008C4360" w:rsidRDefault="006E036E" w:rsidP="009969E1">
      <w:pPr>
        <w:spacing w:line="480" w:lineRule="auto"/>
        <w:rPr>
          <w:rFonts w:asciiTheme="majorBidi" w:hAnsiTheme="majorBidi" w:cstheme="majorBidi"/>
          <w:lang w:val="en-US"/>
        </w:rPr>
      </w:pPr>
      <w:r w:rsidRPr="00215386">
        <w:rPr>
          <w:rFonts w:asciiTheme="majorBidi" w:hAnsiTheme="majorBidi" w:cstheme="majorBidi"/>
          <w:lang w:val="en-US"/>
        </w:rPr>
        <w:t>Give one example of each type.</w:t>
      </w:r>
    </w:p>
    <w:p w14:paraId="0170E470" w14:textId="77777777" w:rsidR="00795910" w:rsidRPr="00795910" w:rsidRDefault="00795910" w:rsidP="00795910">
      <w:pPr>
        <w:spacing w:line="480" w:lineRule="auto"/>
        <w:rPr>
          <w:rFonts w:asciiTheme="majorBidi" w:hAnsiTheme="majorBidi" w:cstheme="majorBidi"/>
          <w:b/>
          <w:bCs/>
          <w:lang w:val="en-GB"/>
        </w:rPr>
      </w:pPr>
      <w:r w:rsidRPr="00795910">
        <w:rPr>
          <w:rFonts w:asciiTheme="majorBidi" w:hAnsiTheme="majorBidi" w:cstheme="majorBidi"/>
          <w:b/>
          <w:bCs/>
          <w:lang w:val="en-GB"/>
        </w:rPr>
        <w:lastRenderedPageBreak/>
        <w:t>1. Explain the Concept of Tourist Consumer Behaviour</w:t>
      </w:r>
    </w:p>
    <w:p w14:paraId="62F848AB"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Tourist consumer behaviour concerns the factors and processes that determine </w:t>
      </w:r>
      <w:r w:rsidRPr="00795910">
        <w:rPr>
          <w:rFonts w:asciiTheme="majorBidi" w:hAnsiTheme="majorBidi" w:cstheme="majorBidi"/>
          <w:b/>
          <w:bCs/>
          <w:lang w:val="en-GB"/>
        </w:rPr>
        <w:t>what people purchase, where they travel, how they behave during a journey and how they evaluate their experiences afterwards</w:t>
      </w:r>
      <w:r w:rsidRPr="00795910">
        <w:rPr>
          <w:rFonts w:asciiTheme="majorBidi" w:hAnsiTheme="majorBidi" w:cstheme="majorBidi"/>
          <w:lang w:val="en-GB"/>
        </w:rPr>
        <w:t>. Tourism businesses study consumer behaviour because two travellers visiting the same destination can have completely different expectations, motivations and purchasing patterns.</w:t>
      </w:r>
    </w:p>
    <w:p w14:paraId="6A08B9DC"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One major influence is </w:t>
      </w:r>
      <w:proofErr w:type="gramStart"/>
      <w:r w:rsidRPr="00795910">
        <w:rPr>
          <w:rFonts w:asciiTheme="majorBidi" w:hAnsiTheme="majorBidi" w:cstheme="majorBidi"/>
          <w:b/>
          <w:bCs/>
          <w:lang w:val="en-GB"/>
        </w:rPr>
        <w:t>travel</w:t>
      </w:r>
      <w:proofErr w:type="gramEnd"/>
      <w:r w:rsidRPr="00795910">
        <w:rPr>
          <w:rFonts w:asciiTheme="majorBidi" w:hAnsiTheme="majorBidi" w:cstheme="majorBidi"/>
          <w:b/>
          <w:bCs/>
          <w:lang w:val="en-GB"/>
        </w:rPr>
        <w:t xml:space="preserve"> motivation</w:t>
      </w:r>
      <w:r w:rsidRPr="00795910">
        <w:rPr>
          <w:rFonts w:asciiTheme="majorBidi" w:hAnsiTheme="majorBidi" w:cstheme="majorBidi"/>
          <w:lang w:val="en-GB"/>
        </w:rPr>
        <w:t xml:space="preserve">. A traveller may seek relaxation, cultural enrichment, adventure, social status, family bonding or escape from everyday life. These motivations interact with practical considerations such as disposable income, available time, transport costs and destination accessibility. Tourist choice is consequently multidimensional. Recent research by Türk et al. (2025) shows that several consumption values can contribute to tourists' destination preferences rather than decisions being based on one factor alone. </w:t>
      </w:r>
    </w:p>
    <w:p w14:paraId="6BCF2E3F"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Risk perception can also alter travel decisions. A destination may be attractive and affordable but still be rejected if a traveller considers it unsafe. Research examining tourists' decision processes has identified health, crime, political instability, terrorism and natural hazards as relevant forms of travel risk (Karl et al., 2020).</w:t>
      </w:r>
    </w:p>
    <w:p w14:paraId="062E145C"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Information has become equally influential. Before digital technology became widespread, tourists relied heavily on brochures, travel agents and personal recommendations. Today, consumers can immediately compare hotels, transportation and attractions and examine user-generated content. Armutcu et al. (2023) found that the quality and accessibility of online destination information can affect behavioural intentions and that satisfaction plays an important role in future intentions.</w:t>
      </w:r>
    </w:p>
    <w:p w14:paraId="30CFCF6F"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Tourist behaviour also changes according to characteristics of the trip itself. Research using social-media data shows that tourists travelling different distances can display different spatial and consumption patterns (Xu et al., 2020). This demonstrates that consumer </w:t>
      </w:r>
      <w:r w:rsidRPr="00795910">
        <w:rPr>
          <w:rFonts w:asciiTheme="majorBidi" w:hAnsiTheme="majorBidi" w:cstheme="majorBidi"/>
          <w:lang w:val="en-GB"/>
        </w:rPr>
        <w:lastRenderedPageBreak/>
        <w:t>behaviour is influenced by the interaction between personal characteristics and journey conditions.</w:t>
      </w:r>
    </w:p>
    <w:p w14:paraId="2F55B023"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Understanding these influences enables destinations and tourism companies to segment their markets, communicate effectively, improve visitor experiences and encourage repeat visitation.</w:t>
      </w:r>
    </w:p>
    <w:p w14:paraId="05530E41" w14:textId="77777777" w:rsidR="00795910" w:rsidRPr="00795910" w:rsidRDefault="00795910" w:rsidP="00795910">
      <w:pPr>
        <w:spacing w:line="480" w:lineRule="auto"/>
        <w:rPr>
          <w:rFonts w:asciiTheme="majorBidi" w:hAnsiTheme="majorBidi" w:cstheme="majorBidi"/>
          <w:b/>
          <w:bCs/>
          <w:lang w:val="en-GB"/>
        </w:rPr>
      </w:pPr>
      <w:r w:rsidRPr="00795910">
        <w:rPr>
          <w:rFonts w:asciiTheme="majorBidi" w:hAnsiTheme="majorBidi" w:cstheme="majorBidi"/>
          <w:b/>
          <w:bCs/>
          <w:lang w:val="en-GB"/>
        </w:rPr>
        <w:t>2. Explain the Difference Between Institutionalized and Non-Institutionalized Tourists</w:t>
      </w:r>
    </w:p>
    <w:p w14:paraId="5E56776D"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Institutionalized and non-institutionalized tourism represent different approaches to experiencing destinations. The distinction centres on the extent to which travellers use </w:t>
      </w:r>
      <w:r w:rsidRPr="00795910">
        <w:rPr>
          <w:rFonts w:asciiTheme="majorBidi" w:hAnsiTheme="majorBidi" w:cstheme="majorBidi"/>
          <w:b/>
          <w:bCs/>
          <w:lang w:val="en-GB"/>
        </w:rPr>
        <w:t>pre-established tourism structures</w:t>
      </w:r>
      <w:r w:rsidRPr="00795910">
        <w:rPr>
          <w:rFonts w:asciiTheme="majorBidi" w:hAnsiTheme="majorBidi" w:cstheme="majorBidi"/>
          <w:lang w:val="en-GB"/>
        </w:rPr>
        <w:t>.</w:t>
      </w:r>
    </w:p>
    <w:p w14:paraId="36308A0F"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Institutionalized tourists rely heavily on recognised tourism businesses. Their journey is often organised before departure and may include scheduled flights, major hotels, transfers and guided attractions. They generally experience destinations through established tourist routes and services.</w:t>
      </w:r>
    </w:p>
    <w:p w14:paraId="7F2D25C8"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For example, a family purchasing an </w:t>
      </w:r>
      <w:r w:rsidRPr="00795910">
        <w:rPr>
          <w:rFonts w:asciiTheme="majorBidi" w:hAnsiTheme="majorBidi" w:cstheme="majorBidi"/>
          <w:b/>
          <w:bCs/>
          <w:lang w:val="en-GB"/>
        </w:rPr>
        <w:t>all-inclusive seven-night resort holiday in Cancun</w:t>
      </w:r>
      <w:r w:rsidRPr="00795910">
        <w:rPr>
          <w:rFonts w:asciiTheme="majorBidi" w:hAnsiTheme="majorBidi" w:cstheme="majorBidi"/>
          <w:lang w:val="en-GB"/>
        </w:rPr>
        <w:t xml:space="preserve"> is an institutionalized tourism example. Flights, airport transfers, accommodation and meals have been arranged beforehand. The family therefore benefits from convenience and predictability but has less need to engage independently with local tourism arrangements.</w:t>
      </w:r>
    </w:p>
    <w:p w14:paraId="020F5CAD"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Non-institutionalized tourists exercise greater personal control and often avoid highly standardised packages. They may organise transport themselves, stay in locally operated accommodation and alter their itinerary according to experiences encountered during the trip.</w:t>
      </w:r>
    </w:p>
    <w:p w14:paraId="2263056F"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A solo traveller spending a month travelling through rural Japan, booking small guesthouses independently, using regional trains and selecting destinations during the journey, provides an example. Such travel allows greater flexibility and potentially greater interaction with local places.</w:t>
      </w:r>
    </w:p>
    <w:p w14:paraId="4BD429B9"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lastRenderedPageBreak/>
        <w:t>This distinction should nevertheless be viewed critically because contemporary tourists can combine both styles. A backpacker may independently design an entire itinerary but use a commercial booking platform and take an organised tour for one day. McCabe et al. (2012) show that tourist decision-making remains dynamic during a journey rather than being completely fixed beforehand.</w:t>
      </w:r>
    </w:p>
    <w:p w14:paraId="25518A1B"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Therefore, institutionalized and non-institutionalized tourism are best regarded as ends of a spectrum. The former prioritises </w:t>
      </w:r>
      <w:r w:rsidRPr="00795910">
        <w:rPr>
          <w:rFonts w:asciiTheme="majorBidi" w:hAnsiTheme="majorBidi" w:cstheme="majorBidi"/>
          <w:b/>
          <w:bCs/>
          <w:lang w:val="en-GB"/>
        </w:rPr>
        <w:t>organisation and predictability</w:t>
      </w:r>
      <w:r w:rsidRPr="00795910">
        <w:rPr>
          <w:rFonts w:asciiTheme="majorBidi" w:hAnsiTheme="majorBidi" w:cstheme="majorBidi"/>
          <w:lang w:val="en-GB"/>
        </w:rPr>
        <w:t xml:space="preserve">, while the latter generally emphasises </w:t>
      </w:r>
      <w:r w:rsidRPr="00795910">
        <w:rPr>
          <w:rFonts w:asciiTheme="majorBidi" w:hAnsiTheme="majorBidi" w:cstheme="majorBidi"/>
          <w:b/>
          <w:bCs/>
          <w:lang w:val="en-GB"/>
        </w:rPr>
        <w:t>freedom, flexibility and independent exploration</w:t>
      </w:r>
      <w:r w:rsidRPr="00795910">
        <w:rPr>
          <w:rFonts w:asciiTheme="majorBidi" w:hAnsiTheme="majorBidi" w:cstheme="majorBidi"/>
          <w:lang w:val="en-GB"/>
        </w:rPr>
        <w:t>.</w:t>
      </w:r>
    </w:p>
    <w:p w14:paraId="442BF6DD" w14:textId="4549AF28" w:rsidR="00795910" w:rsidRPr="00795910" w:rsidRDefault="00795910" w:rsidP="00795910">
      <w:pPr>
        <w:spacing w:line="480" w:lineRule="auto"/>
        <w:rPr>
          <w:rFonts w:asciiTheme="majorBidi" w:hAnsiTheme="majorBidi" w:cstheme="majorBidi"/>
          <w:b/>
          <w:bCs/>
          <w:lang w:val="en-GB"/>
        </w:rPr>
      </w:pPr>
      <w:r w:rsidRPr="00795910">
        <w:rPr>
          <w:rFonts w:asciiTheme="majorBidi" w:hAnsiTheme="majorBidi" w:cstheme="majorBidi"/>
          <w:b/>
          <w:bCs/>
          <w:lang w:val="en-GB"/>
        </w:rPr>
        <w:t xml:space="preserve">References </w:t>
      </w:r>
    </w:p>
    <w:p w14:paraId="65AA59F2"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Armutcu, B., Tan, A., Amponsah, M., Parida, S., &amp; Ramkissoon, H. (2023). Tourist behaviour: The role of digital marketing and social media. </w:t>
      </w:r>
      <w:r w:rsidRPr="00795910">
        <w:rPr>
          <w:rFonts w:asciiTheme="majorBidi" w:hAnsiTheme="majorBidi" w:cstheme="majorBidi"/>
          <w:i/>
          <w:iCs/>
          <w:lang w:val="en-GB"/>
        </w:rPr>
        <w:t xml:space="preserve">Acta </w:t>
      </w:r>
      <w:proofErr w:type="spellStart"/>
      <w:r w:rsidRPr="00795910">
        <w:rPr>
          <w:rFonts w:asciiTheme="majorBidi" w:hAnsiTheme="majorBidi" w:cstheme="majorBidi"/>
          <w:i/>
          <w:iCs/>
          <w:lang w:val="en-GB"/>
        </w:rPr>
        <w:t>Psychologica</w:t>
      </w:r>
      <w:proofErr w:type="spellEnd"/>
      <w:r w:rsidRPr="00795910">
        <w:rPr>
          <w:rFonts w:asciiTheme="majorBidi" w:hAnsiTheme="majorBidi" w:cstheme="majorBidi"/>
          <w:i/>
          <w:iCs/>
          <w:lang w:val="en-GB"/>
        </w:rPr>
        <w:t>, 240</w:t>
      </w:r>
      <w:r w:rsidRPr="00795910">
        <w:rPr>
          <w:rFonts w:asciiTheme="majorBidi" w:hAnsiTheme="majorBidi" w:cstheme="majorBidi"/>
          <w:lang w:val="en-GB"/>
        </w:rPr>
        <w:t xml:space="preserve">, 104025. </w:t>
      </w:r>
      <w:hyperlink r:id="rId6" w:tgtFrame="_new" w:history="1">
        <w:r w:rsidRPr="00795910">
          <w:rPr>
            <w:rStyle w:val="Hyperlink"/>
            <w:rFonts w:asciiTheme="majorBidi" w:hAnsiTheme="majorBidi" w:cstheme="majorBidi"/>
            <w:lang w:val="en-GB"/>
          </w:rPr>
          <w:t>https://doi.org/10.1016/j.actpsy.2023.104025</w:t>
        </w:r>
      </w:hyperlink>
      <w:r w:rsidRPr="00795910">
        <w:rPr>
          <w:rFonts w:asciiTheme="majorBidi" w:hAnsiTheme="majorBidi" w:cstheme="majorBidi"/>
          <w:lang w:val="en-GB"/>
        </w:rPr>
        <w:t xml:space="preserve"> </w:t>
      </w:r>
    </w:p>
    <w:p w14:paraId="534974B3"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Karl, M., Muskat, B., &amp; Ritchie, B. W. (2020). Which travel risks are more salient for destination choice? An examination of the tourist's decision-making process. </w:t>
      </w:r>
      <w:r w:rsidRPr="00795910">
        <w:rPr>
          <w:rFonts w:asciiTheme="majorBidi" w:hAnsiTheme="majorBidi" w:cstheme="majorBidi"/>
          <w:i/>
          <w:iCs/>
          <w:lang w:val="en-GB"/>
        </w:rPr>
        <w:t>Journal of Destination Marketing &amp; Management, 18</w:t>
      </w:r>
      <w:r w:rsidRPr="00795910">
        <w:rPr>
          <w:rFonts w:asciiTheme="majorBidi" w:hAnsiTheme="majorBidi" w:cstheme="majorBidi"/>
          <w:lang w:val="en-GB"/>
        </w:rPr>
        <w:t xml:space="preserve">, 100487. https://doi.org/10.1016/j.jdmm.2020.100487 </w:t>
      </w:r>
    </w:p>
    <w:p w14:paraId="440EE46C"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McCabe, S., Li, C., &amp; Chen, Z. (2012). Dynamic in-destination decision-making: An adjustment model. </w:t>
      </w:r>
      <w:r w:rsidRPr="00795910">
        <w:rPr>
          <w:rFonts w:asciiTheme="majorBidi" w:hAnsiTheme="majorBidi" w:cstheme="majorBidi"/>
          <w:i/>
          <w:iCs/>
          <w:lang w:val="en-GB"/>
        </w:rPr>
        <w:t>Tourism Management, 33</w:t>
      </w:r>
      <w:r w:rsidRPr="00795910">
        <w:rPr>
          <w:rFonts w:asciiTheme="majorBidi" w:hAnsiTheme="majorBidi" w:cstheme="majorBidi"/>
          <w:lang w:val="en-GB"/>
        </w:rPr>
        <w:t xml:space="preserve">(3), 635–645. </w:t>
      </w:r>
      <w:hyperlink r:id="rId7" w:tgtFrame="_new" w:history="1">
        <w:r w:rsidRPr="00795910">
          <w:rPr>
            <w:rStyle w:val="Hyperlink"/>
            <w:rFonts w:asciiTheme="majorBidi" w:hAnsiTheme="majorBidi" w:cstheme="majorBidi"/>
            <w:lang w:val="en-GB"/>
          </w:rPr>
          <w:t>https://doi.org/10.1016/j.tourman.2011.07.005</w:t>
        </w:r>
      </w:hyperlink>
      <w:r w:rsidRPr="00795910">
        <w:rPr>
          <w:rFonts w:asciiTheme="majorBidi" w:hAnsiTheme="majorBidi" w:cstheme="majorBidi"/>
          <w:lang w:val="en-GB"/>
        </w:rPr>
        <w:t xml:space="preserve"> </w:t>
      </w:r>
    </w:p>
    <w:p w14:paraId="0A5DE492" w14:textId="77777777" w:rsidR="00795910" w:rsidRPr="00795910" w:rsidRDefault="00795910" w:rsidP="00795910">
      <w:pPr>
        <w:spacing w:line="480" w:lineRule="auto"/>
        <w:rPr>
          <w:rFonts w:asciiTheme="majorBidi" w:hAnsiTheme="majorBidi" w:cstheme="majorBidi"/>
          <w:lang w:val="en-GB"/>
        </w:rPr>
      </w:pPr>
      <w:r w:rsidRPr="00795910">
        <w:rPr>
          <w:rFonts w:asciiTheme="majorBidi" w:hAnsiTheme="majorBidi" w:cstheme="majorBidi"/>
          <w:lang w:val="en-GB"/>
        </w:rPr>
        <w:t xml:space="preserve">Türk, B., Yıldız, T., &amp; Dursun, M. T. (2025). Tourist decision-making when selecting a destination: An analytical hierarchy process analysis of consumption values. </w:t>
      </w:r>
      <w:r w:rsidRPr="00795910">
        <w:rPr>
          <w:rFonts w:asciiTheme="majorBidi" w:hAnsiTheme="majorBidi" w:cstheme="majorBidi"/>
          <w:i/>
          <w:iCs/>
          <w:lang w:val="en-GB"/>
        </w:rPr>
        <w:t>International Journal of Management Studies, 32</w:t>
      </w:r>
      <w:r w:rsidRPr="00795910">
        <w:rPr>
          <w:rFonts w:asciiTheme="majorBidi" w:hAnsiTheme="majorBidi" w:cstheme="majorBidi"/>
          <w:lang w:val="en-GB"/>
        </w:rPr>
        <w:t>(2). https://doi.org/10.32890/ijms2025.32.2.1</w:t>
      </w:r>
    </w:p>
    <w:p w14:paraId="5C65C786" w14:textId="77777777" w:rsidR="00795910" w:rsidRPr="00215386" w:rsidRDefault="00795910" w:rsidP="009969E1">
      <w:pPr>
        <w:spacing w:line="480" w:lineRule="auto"/>
        <w:rPr>
          <w:rFonts w:asciiTheme="majorBidi" w:hAnsiTheme="majorBidi" w:cstheme="majorBidi"/>
        </w:rPr>
      </w:pPr>
    </w:p>
    <w:sectPr w:rsidR="00795910" w:rsidRPr="002153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5724E9D-0B47-47E7-9459-7E73156D6068}"/>
    <w:embedBold r:id="rId2" w:fontKey="{1B3B9B7A-6B56-44EB-B342-D2DBB34CB531}"/>
    <w:embedItalic r:id="rId3" w:fontKey="{85D28702-E3EA-493E-9EA3-0E0BAF5ED20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9AE181E3-2185-499F-96A5-4360F8AAC122}"/>
  </w:font>
  <w:font w:name="Calibri Light">
    <w:panose1 w:val="020F0302020204030204"/>
    <w:charset w:val="00"/>
    <w:family w:val="swiss"/>
    <w:pitch w:val="variable"/>
    <w:sig w:usb0="E4002EFF" w:usb1="C000247B" w:usb2="00000009" w:usb3="00000000" w:csb0="000001FF" w:csb1="00000000"/>
    <w:embedRegular r:id="rId5" w:fontKey="{C7EF215B-0BB8-4C5A-AAA5-7C9CB97B9F8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15386"/>
    <w:rsid w:val="00224FD9"/>
    <w:rsid w:val="002F4AE0"/>
    <w:rsid w:val="00372BBE"/>
    <w:rsid w:val="00384E8A"/>
    <w:rsid w:val="003C5D74"/>
    <w:rsid w:val="003D1074"/>
    <w:rsid w:val="00426865"/>
    <w:rsid w:val="00477CAA"/>
    <w:rsid w:val="00502E29"/>
    <w:rsid w:val="00507879"/>
    <w:rsid w:val="005E458B"/>
    <w:rsid w:val="00672345"/>
    <w:rsid w:val="006E036E"/>
    <w:rsid w:val="00762633"/>
    <w:rsid w:val="00795910"/>
    <w:rsid w:val="00844EC2"/>
    <w:rsid w:val="008516FE"/>
    <w:rsid w:val="008C4360"/>
    <w:rsid w:val="00965EED"/>
    <w:rsid w:val="0099651A"/>
    <w:rsid w:val="009969E1"/>
    <w:rsid w:val="009C1D0A"/>
    <w:rsid w:val="00A044F7"/>
    <w:rsid w:val="00A505F4"/>
    <w:rsid w:val="00A8150E"/>
    <w:rsid w:val="00B20343"/>
    <w:rsid w:val="00B85EA7"/>
    <w:rsid w:val="00BE65DD"/>
    <w:rsid w:val="00C612A4"/>
    <w:rsid w:val="00CC6AD1"/>
    <w:rsid w:val="00DB7416"/>
    <w:rsid w:val="00E6778A"/>
    <w:rsid w:val="00F25F5B"/>
    <w:rsid w:val="00F837B1"/>
    <w:rsid w:val="00FE711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AF24E"/>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8C4360"/>
    <w:rPr>
      <w:color w:val="0563C1" w:themeColor="hyperlink"/>
      <w:u w:val="single"/>
    </w:rPr>
  </w:style>
  <w:style w:type="character" w:styleId="UnresolvedMention">
    <w:name w:val="Unresolved Mention"/>
    <w:basedOn w:val="DefaultParagraphFont"/>
    <w:uiPriority w:val="99"/>
    <w:semiHidden/>
    <w:unhideWhenUsed/>
    <w:rsid w:val="008C43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tourman.2011.07.00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actpsy.2023.104025?utm_source=chatgpt.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2026-09-04T15:48:00Z</dcterms:created>
  <dcterms:modified xsi:type="dcterms:W3CDTF">2026-09-04T15:48:00Z</dcterms:modified>
</cp:coreProperties>
</file>