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23DF0" w14:textId="77777777" w:rsidR="00426865" w:rsidRDefault="00672345" w:rsidP="007A4B0D">
      <w:pPr>
        <w:spacing w:line="360" w:lineRule="auto"/>
      </w:pPr>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C6ED815" w14:textId="77777777" w:rsidR="00672345" w:rsidRPr="0019504D" w:rsidRDefault="00672345" w:rsidP="007A4B0D">
      <w:pPr>
        <w:spacing w:line="360" w:lineRule="auto"/>
        <w:rPr>
          <w:b/>
          <w:bCs/>
          <w:lang w:val="en-US"/>
        </w:rPr>
      </w:pPr>
      <w:r>
        <w:rPr>
          <w:b/>
          <w:bCs/>
          <w:lang w:val="en-US"/>
        </w:rPr>
        <w:t xml:space="preserve">Cultural Heritage Management </w:t>
      </w:r>
    </w:p>
    <w:p w14:paraId="23648ACD" w14:textId="77777777" w:rsidR="00672345" w:rsidRDefault="00672345" w:rsidP="007A4B0D">
      <w:pPr>
        <w:spacing w:line="360" w:lineRule="auto"/>
        <w:rPr>
          <w:lang w:val="en-US"/>
        </w:rPr>
      </w:pPr>
      <w:r w:rsidRPr="0019504D">
        <w:rPr>
          <w:lang w:val="en-US"/>
        </w:rPr>
        <w:t>Ass</w:t>
      </w:r>
      <w:r>
        <w:rPr>
          <w:lang w:val="en-US"/>
        </w:rPr>
        <w:t xml:space="preserve">ignment </w:t>
      </w:r>
      <w:r w:rsidR="00CF34F8">
        <w:rPr>
          <w:lang w:val="en-US"/>
        </w:rPr>
        <w:t>3</w:t>
      </w:r>
    </w:p>
    <w:p w14:paraId="632DA6E6" w14:textId="77777777" w:rsidR="00672345" w:rsidRPr="0019504D" w:rsidRDefault="00CF34F8" w:rsidP="007A4B0D">
      <w:pPr>
        <w:spacing w:line="360" w:lineRule="auto"/>
        <w:rPr>
          <w:lang w:val="en-US"/>
        </w:rPr>
      </w:pPr>
      <w:r>
        <w:rPr>
          <w:lang w:val="en-US"/>
        </w:rPr>
        <w:t>22</w:t>
      </w:r>
      <w:r w:rsidR="00672345">
        <w:rPr>
          <w:lang w:val="en-US"/>
        </w:rPr>
        <w:t>.0</w:t>
      </w:r>
      <w:r w:rsidR="00942251">
        <w:rPr>
          <w:lang w:val="en-US"/>
        </w:rPr>
        <w:t>4</w:t>
      </w:r>
      <w:r w:rsidR="00672345">
        <w:rPr>
          <w:lang w:val="en-US"/>
        </w:rPr>
        <w:t>.2026</w:t>
      </w:r>
    </w:p>
    <w:p w14:paraId="6968A9E2" w14:textId="77777777" w:rsidR="00672345" w:rsidRDefault="00672345" w:rsidP="007A4B0D">
      <w:pPr>
        <w:spacing w:line="360" w:lineRule="auto"/>
      </w:pPr>
    </w:p>
    <w:p w14:paraId="6F4A2541" w14:textId="77777777" w:rsidR="00672345" w:rsidRDefault="00672345" w:rsidP="007A4B0D">
      <w:pPr>
        <w:spacing w:line="360" w:lineRule="auto"/>
      </w:pPr>
    </w:p>
    <w:p w14:paraId="0A842CDF" w14:textId="77777777" w:rsidR="00672345" w:rsidRDefault="00672345" w:rsidP="007A4B0D">
      <w:pPr>
        <w:spacing w:line="360" w:lineRule="auto"/>
      </w:pPr>
    </w:p>
    <w:p w14:paraId="0BBA1D0A" w14:textId="77777777" w:rsidR="00672345" w:rsidRDefault="00672345" w:rsidP="007A4B0D">
      <w:pPr>
        <w:spacing w:line="360" w:lineRule="auto"/>
      </w:pPr>
    </w:p>
    <w:p w14:paraId="7DF8BAAE" w14:textId="77777777" w:rsidR="00672345" w:rsidRDefault="00672345" w:rsidP="007A4B0D">
      <w:pPr>
        <w:spacing w:line="360" w:lineRule="auto"/>
      </w:pPr>
    </w:p>
    <w:p w14:paraId="4A1EB24D" w14:textId="77777777" w:rsidR="00672345" w:rsidRDefault="00672345" w:rsidP="007A4B0D">
      <w:pPr>
        <w:spacing w:line="360" w:lineRule="auto"/>
      </w:pPr>
    </w:p>
    <w:p w14:paraId="16AB0F03" w14:textId="77777777" w:rsidR="00672345" w:rsidRDefault="00672345" w:rsidP="007A4B0D">
      <w:pPr>
        <w:spacing w:line="360" w:lineRule="auto"/>
      </w:pPr>
    </w:p>
    <w:p w14:paraId="3B6BB42A" w14:textId="77777777" w:rsidR="00672345" w:rsidRDefault="00672345" w:rsidP="007A4B0D">
      <w:pPr>
        <w:spacing w:line="360" w:lineRule="auto"/>
      </w:pPr>
    </w:p>
    <w:p w14:paraId="2DEB9370" w14:textId="77777777" w:rsidR="00672345" w:rsidRDefault="00672345" w:rsidP="007A4B0D">
      <w:pPr>
        <w:spacing w:line="360" w:lineRule="auto"/>
      </w:pPr>
    </w:p>
    <w:p w14:paraId="418403E8" w14:textId="77777777" w:rsidR="00672345" w:rsidRDefault="00672345" w:rsidP="007A4B0D">
      <w:pPr>
        <w:spacing w:line="360" w:lineRule="auto"/>
      </w:pPr>
    </w:p>
    <w:p w14:paraId="0096BB6B" w14:textId="77777777" w:rsidR="00672345" w:rsidRDefault="00672345" w:rsidP="007A4B0D">
      <w:pPr>
        <w:spacing w:line="360" w:lineRule="auto"/>
      </w:pPr>
    </w:p>
    <w:p w14:paraId="31A0AD12" w14:textId="77777777" w:rsidR="00672345" w:rsidRDefault="00672345" w:rsidP="007A4B0D">
      <w:pPr>
        <w:spacing w:line="360" w:lineRule="auto"/>
      </w:pPr>
    </w:p>
    <w:p w14:paraId="7C1C6407" w14:textId="77777777" w:rsidR="00672345" w:rsidRDefault="00672345" w:rsidP="007A4B0D">
      <w:pPr>
        <w:spacing w:line="360" w:lineRule="auto"/>
      </w:pPr>
    </w:p>
    <w:p w14:paraId="683659BD" w14:textId="77777777" w:rsidR="00016EE8" w:rsidRDefault="00016EE8" w:rsidP="007A4B0D">
      <w:pPr>
        <w:spacing w:line="360" w:lineRule="auto"/>
        <w:rPr>
          <w:b/>
          <w:bCs/>
          <w:lang w:val="en-US"/>
        </w:rPr>
      </w:pPr>
      <w:r w:rsidRPr="00EA737F">
        <w:rPr>
          <w:b/>
          <w:bCs/>
          <w:lang w:val="en-US"/>
        </w:rPr>
        <w:t>In no more than 500 words</w:t>
      </w:r>
      <w:r>
        <w:rPr>
          <w:b/>
          <w:bCs/>
          <w:lang w:val="en-US"/>
        </w:rPr>
        <w:t xml:space="preserve"> each, explain and 2-4 references:</w:t>
      </w:r>
    </w:p>
    <w:p w14:paraId="081D8D31" w14:textId="77777777" w:rsidR="00016EE8" w:rsidRDefault="00016EE8" w:rsidP="007A4B0D">
      <w:pPr>
        <w:spacing w:line="360" w:lineRule="auto"/>
        <w:rPr>
          <w:lang w:val="en-US"/>
        </w:rPr>
      </w:pPr>
    </w:p>
    <w:p w14:paraId="70BE48FF" w14:textId="77777777" w:rsidR="00016EE8" w:rsidRPr="004C5A76" w:rsidRDefault="00016EE8" w:rsidP="007A4B0D">
      <w:pPr>
        <w:spacing w:line="360" w:lineRule="auto"/>
        <w:rPr>
          <w:b/>
          <w:bCs/>
          <w:lang w:val="en-US"/>
        </w:rPr>
      </w:pPr>
      <w:r>
        <w:rPr>
          <w:b/>
          <w:bCs/>
          <w:lang w:val="en-US"/>
        </w:rPr>
        <w:t xml:space="preserve">1- </w:t>
      </w:r>
      <w:r w:rsidRPr="004C5A76">
        <w:rPr>
          <w:b/>
          <w:bCs/>
          <w:lang w:val="en-US"/>
        </w:rPr>
        <w:t>Choose a World Heritage Site and:</w:t>
      </w:r>
    </w:p>
    <w:p w14:paraId="4F034151" w14:textId="77777777" w:rsidR="00016EE8" w:rsidRPr="004C5A76" w:rsidRDefault="00016EE8" w:rsidP="007A4B0D">
      <w:pPr>
        <w:pStyle w:val="ListParagraph"/>
        <w:numPr>
          <w:ilvl w:val="0"/>
          <w:numId w:val="2"/>
        </w:numPr>
        <w:spacing w:line="360" w:lineRule="auto"/>
        <w:rPr>
          <w:lang w:val="en-US"/>
        </w:rPr>
      </w:pPr>
      <w:r w:rsidRPr="004C5A76">
        <w:rPr>
          <w:lang w:val="en-US"/>
        </w:rPr>
        <w:t>Identify its key heritage values</w:t>
      </w:r>
    </w:p>
    <w:p w14:paraId="4AEDA2CE" w14:textId="77777777" w:rsidR="00016EE8" w:rsidRPr="004C5A76" w:rsidRDefault="00016EE8" w:rsidP="007A4B0D">
      <w:pPr>
        <w:pStyle w:val="ListParagraph"/>
        <w:numPr>
          <w:ilvl w:val="0"/>
          <w:numId w:val="2"/>
        </w:numPr>
        <w:spacing w:line="360" w:lineRule="auto"/>
        <w:rPr>
          <w:lang w:val="en-US"/>
        </w:rPr>
      </w:pPr>
      <w:r w:rsidRPr="004C5A76">
        <w:rPr>
          <w:lang w:val="en-US"/>
        </w:rPr>
        <w:t>Describe the attributes that express these values</w:t>
      </w:r>
    </w:p>
    <w:p w14:paraId="198BA5A2" w14:textId="77777777" w:rsidR="00016EE8" w:rsidRPr="004C5A76" w:rsidRDefault="00016EE8" w:rsidP="007A4B0D">
      <w:pPr>
        <w:pStyle w:val="ListParagraph"/>
        <w:numPr>
          <w:ilvl w:val="0"/>
          <w:numId w:val="2"/>
        </w:numPr>
        <w:spacing w:line="360" w:lineRule="auto"/>
        <w:rPr>
          <w:lang w:val="en-US"/>
        </w:rPr>
      </w:pPr>
      <w:r w:rsidRPr="004C5A76">
        <w:rPr>
          <w:lang w:val="en-US"/>
        </w:rPr>
        <w:t>Assess its authenticity and integrity</w:t>
      </w:r>
    </w:p>
    <w:p w14:paraId="1D5E07CD" w14:textId="77777777" w:rsidR="00016EE8" w:rsidRPr="004C5A76" w:rsidRDefault="00016EE8" w:rsidP="007A4B0D">
      <w:pPr>
        <w:spacing w:line="360" w:lineRule="auto"/>
        <w:rPr>
          <w:lang w:val="en-US"/>
        </w:rPr>
      </w:pPr>
    </w:p>
    <w:p w14:paraId="3B5E160B" w14:textId="77777777" w:rsidR="00016EE8" w:rsidRDefault="00016EE8" w:rsidP="007A4B0D">
      <w:pPr>
        <w:spacing w:line="360" w:lineRule="auto"/>
        <w:rPr>
          <w:lang w:val="en-US"/>
        </w:rPr>
      </w:pPr>
      <w:r>
        <w:rPr>
          <w:lang w:val="en-US"/>
        </w:rPr>
        <w:t xml:space="preserve">2- </w:t>
      </w:r>
      <w:r w:rsidRPr="004C5A76">
        <w:rPr>
          <w:lang w:val="en-US"/>
        </w:rPr>
        <w:t>Using the example of Ise Grand Shrine,</w:t>
      </w:r>
    </w:p>
    <w:p w14:paraId="23808448" w14:textId="77777777" w:rsidR="00016EE8" w:rsidRPr="004C5A76" w:rsidRDefault="00016EE8" w:rsidP="007A4B0D">
      <w:pPr>
        <w:pStyle w:val="ListParagraph"/>
        <w:numPr>
          <w:ilvl w:val="0"/>
          <w:numId w:val="3"/>
        </w:numPr>
        <w:spacing w:line="360" w:lineRule="auto"/>
        <w:rPr>
          <w:lang w:val="en-US"/>
        </w:rPr>
      </w:pPr>
      <w:r w:rsidRPr="004C5A76">
        <w:rPr>
          <w:lang w:val="en-US"/>
        </w:rPr>
        <w:t>discuss how authenticity can be understood beyond material originality.</w:t>
      </w:r>
    </w:p>
    <w:p w14:paraId="145F814C" w14:textId="77777777" w:rsidR="00CF34F8" w:rsidRDefault="00CF34F8" w:rsidP="007A4B0D">
      <w:pPr>
        <w:spacing w:line="360" w:lineRule="auto"/>
        <w:rPr>
          <w:lang w:val="en-US"/>
        </w:rPr>
      </w:pPr>
    </w:p>
    <w:p w14:paraId="676FF549" w14:textId="77777777" w:rsidR="00DC27AB" w:rsidRDefault="00DC27AB" w:rsidP="007A4B0D">
      <w:pPr>
        <w:spacing w:line="360" w:lineRule="auto"/>
        <w:rPr>
          <w:lang w:val="en-US"/>
        </w:rPr>
      </w:pPr>
    </w:p>
    <w:p w14:paraId="260768A3" w14:textId="77777777" w:rsidR="00DC27AB" w:rsidRDefault="00DC27AB" w:rsidP="007A4B0D">
      <w:pPr>
        <w:spacing w:line="360" w:lineRule="auto"/>
        <w:rPr>
          <w:lang w:val="en-US"/>
        </w:rPr>
      </w:pPr>
    </w:p>
    <w:p w14:paraId="7D9BCDFC" w14:textId="77777777" w:rsidR="00DC27AB" w:rsidRDefault="00DC27AB" w:rsidP="007A4B0D">
      <w:pPr>
        <w:spacing w:line="360" w:lineRule="auto"/>
        <w:rPr>
          <w:lang w:val="en-US"/>
        </w:rPr>
      </w:pPr>
    </w:p>
    <w:p w14:paraId="6C935889" w14:textId="77777777" w:rsidR="007A4B0D" w:rsidRDefault="007A4B0D" w:rsidP="007A4B0D">
      <w:pPr>
        <w:spacing w:line="360" w:lineRule="auto"/>
        <w:rPr>
          <w:lang w:val="en-US"/>
        </w:rPr>
      </w:pPr>
    </w:p>
    <w:p w14:paraId="391E3BD5" w14:textId="77777777" w:rsidR="005E7CB5" w:rsidRPr="005E7CB5" w:rsidRDefault="005E7CB5" w:rsidP="005E7CB5">
      <w:pPr>
        <w:spacing w:line="360" w:lineRule="auto"/>
        <w:rPr>
          <w:b/>
          <w:bCs/>
        </w:rPr>
      </w:pPr>
      <w:r w:rsidRPr="005E7CB5">
        <w:rPr>
          <w:b/>
          <w:bCs/>
        </w:rPr>
        <w:lastRenderedPageBreak/>
        <w:t>World Heritage Sites and Cultural Authenticity</w:t>
      </w:r>
    </w:p>
    <w:p w14:paraId="19EFEC77" w14:textId="77777777" w:rsidR="00BB4599" w:rsidRPr="00BB4599" w:rsidRDefault="00BB4599" w:rsidP="00BB4599">
      <w:pPr>
        <w:spacing w:line="360" w:lineRule="auto"/>
      </w:pPr>
      <w:r w:rsidRPr="00BB4599">
        <w:t>1. The Historic Centre of Florence, Italy as a World Heritage Site</w:t>
      </w:r>
    </w:p>
    <w:p w14:paraId="244F4A67" w14:textId="77777777" w:rsidR="00BB4599" w:rsidRPr="00BB4599" w:rsidRDefault="00BB4599" w:rsidP="00BB4599">
      <w:pPr>
        <w:spacing w:line="360" w:lineRule="auto"/>
      </w:pPr>
      <w:r w:rsidRPr="00BB4599">
        <w:t>The Historic Centre of Florence in Italy is one of the most important cultural heritage sites in Europe and was inscribed on the UNESCO World Heritage List in 1982. Florence is widely known as the birthplace of the Renaissance, a cultural movement that transformed art, architecture, literature, and science across Europe between the fourteenth and sixteenth centuries. The city contains exceptional examples of Renaissance architecture, sculpture, and urban planning, making it a site of outstanding universal value.</w:t>
      </w:r>
    </w:p>
    <w:p w14:paraId="10E61B9A" w14:textId="77777777" w:rsidR="00BB4599" w:rsidRPr="00BB4599" w:rsidRDefault="00BB4599" w:rsidP="00BB4599">
      <w:pPr>
        <w:spacing w:line="360" w:lineRule="auto"/>
      </w:pPr>
      <w:r w:rsidRPr="00BB4599">
        <w:t>One of the key heritage values of Florence is its artistic and architectural significance. The city is home to masterpieces created by famous artists and architects such as Michelangelo, Leonardo da Vinci, Brunelleschi, and Donatello. Buildings including the Florence Cathedral, Palazzo Vecchio, and the Uffizi Gallery demonstrate the creativity and innovation of Renaissance culture (</w:t>
      </w:r>
      <w:proofErr w:type="spellStart"/>
      <w:r w:rsidRPr="00BB4599">
        <w:t>Borsook</w:t>
      </w:r>
      <w:proofErr w:type="spellEnd"/>
      <w:r w:rsidRPr="00BB4599">
        <w:t>, 1980). Brunelleschi’s dome on the Cathedral of Santa Maria del Fiore is considered one of the greatest engineering achievements in architectural history. The city’s urban layout, public squares, churches, and palaces reflect the intellectual and artistic achievements of the Renaissance period.</w:t>
      </w:r>
    </w:p>
    <w:p w14:paraId="66BD8FAD" w14:textId="77777777" w:rsidR="00BB4599" w:rsidRPr="00BB4599" w:rsidRDefault="00BB4599" w:rsidP="00BB4599">
      <w:pPr>
        <w:spacing w:line="360" w:lineRule="auto"/>
      </w:pPr>
      <w:r w:rsidRPr="00BB4599">
        <w:t xml:space="preserve">Florence also possesses strong historical and cultural value. During the Renaissance, the city became an important </w:t>
      </w:r>
      <w:proofErr w:type="spellStart"/>
      <w:r w:rsidRPr="00BB4599">
        <w:t>center</w:t>
      </w:r>
      <w:proofErr w:type="spellEnd"/>
      <w:r w:rsidRPr="00BB4599">
        <w:t xml:space="preserve"> of trade, finance, education, and politics under the influence of powerful families such as the Medici. The development of humanist ideas in Florence contributed significantly to European cultural history. Furthermore, Florence continues to influence modern art, architecture, and education, making it an enduring symbol of creativity and cultural heritage.</w:t>
      </w:r>
    </w:p>
    <w:p w14:paraId="113DCA8C" w14:textId="77777777" w:rsidR="00BB4599" w:rsidRPr="00BB4599" w:rsidRDefault="00BB4599" w:rsidP="00BB4599">
      <w:pPr>
        <w:spacing w:line="360" w:lineRule="auto"/>
      </w:pPr>
      <w:r w:rsidRPr="00BB4599">
        <w:t>Several attributes express these heritage values. The cathedral complex, medieval streets, bridges, public buildings, and museums together demonstrate the city’s historical continuity and artistic richness. The Ponte Vecchio, with its historic shops and unique structure, reflects the city’s commercial history. Frescoes, sculptures, and decorative artworks across the city illustrate the artistic excellence of Renaissance Florence. In addition, the relationship between architecture and urban spaces creates a harmonious cityscape that communicates the ideals of Renaissance planning.</w:t>
      </w:r>
    </w:p>
    <w:p w14:paraId="0A902984" w14:textId="77777777" w:rsidR="00BB4599" w:rsidRPr="00BB4599" w:rsidRDefault="00BB4599" w:rsidP="00BB4599">
      <w:pPr>
        <w:spacing w:line="360" w:lineRule="auto"/>
      </w:pPr>
      <w:r w:rsidRPr="00BB4599">
        <w:t xml:space="preserve">Authenticity and integrity are essential in understanding Florence as a heritage property. Authenticity refers to the ability of a heritage site to truthfully express its cultural significance through its materials, design, workmanship, and setting (Pendlebury, 2013). </w:t>
      </w:r>
      <w:r w:rsidRPr="00BB4599">
        <w:lastRenderedPageBreak/>
        <w:t>Florence maintains a high level of authenticity because many original buildings, artworks, and urban spaces have been preserved over centuries. Conservation projects have generally respected the city’s historical character and architectural traditions.</w:t>
      </w:r>
    </w:p>
    <w:p w14:paraId="57955976" w14:textId="77777777" w:rsidR="00BB4599" w:rsidRPr="00BB4599" w:rsidRDefault="00BB4599" w:rsidP="00BB4599">
      <w:pPr>
        <w:spacing w:line="360" w:lineRule="auto"/>
      </w:pPr>
      <w:r w:rsidRPr="00BB4599">
        <w:t xml:space="preserve">Integrity refers to the completeness and intactness of the heritage property. Florence possesses strong integrity because its major monuments, urban structure, and cultural landscape remain largely intact. However, the city faces challenges from mass tourism, urban development, and environmental pollution. Large numbers of </w:t>
      </w:r>
      <w:proofErr w:type="gramStart"/>
      <w:r w:rsidRPr="00BB4599">
        <w:t>tourists</w:t>
      </w:r>
      <w:proofErr w:type="gramEnd"/>
      <w:r w:rsidRPr="00BB4599">
        <w:t xml:space="preserve"> place pressure on historic buildings and infrastructure, while climate-related issues threaten the preservation of artworks and stone structures (UNESCO, 2023). Conservation authorities continue to implement management strategies to balance tourism with heritage protection.</w:t>
      </w:r>
    </w:p>
    <w:p w14:paraId="1795D9AA" w14:textId="77777777" w:rsidR="00BB4599" w:rsidRPr="00BB4599" w:rsidRDefault="00BB4599" w:rsidP="00BB4599">
      <w:pPr>
        <w:spacing w:line="360" w:lineRule="auto"/>
      </w:pPr>
      <w:r w:rsidRPr="00BB4599">
        <w:t>In conclusion, the Historic Centre of Florence is an outstanding example of cultural heritage that reflects the artistic and intellectual achievements of the Renaissance. Its preserved authenticity and integrity allow people around the world to appreciate its historical and artistic importance. The site demonstrates the importance of protecting historic urban environments from modern pressures while maintaining their cultural significance.</w:t>
      </w:r>
    </w:p>
    <w:p w14:paraId="6ACC0168" w14:textId="77777777" w:rsidR="00BB4599" w:rsidRPr="00BB4599" w:rsidRDefault="00BB4599" w:rsidP="00BB4599">
      <w:pPr>
        <w:spacing w:line="360" w:lineRule="auto"/>
        <w:rPr>
          <w:b/>
          <w:bCs/>
        </w:rPr>
      </w:pPr>
      <w:r w:rsidRPr="00BB4599">
        <w:rPr>
          <w:b/>
          <w:bCs/>
        </w:rPr>
        <w:t>2. Authenticity Beyond Material Originality: The Example of Ise Grand Shrine</w:t>
      </w:r>
    </w:p>
    <w:p w14:paraId="2F5EEAE5" w14:textId="77777777" w:rsidR="00BB4599" w:rsidRPr="00BB4599" w:rsidRDefault="00BB4599" w:rsidP="00BB4599">
      <w:pPr>
        <w:spacing w:line="360" w:lineRule="auto"/>
      </w:pPr>
      <w:r w:rsidRPr="00BB4599">
        <w:t>The Ise Grand Shrine in Japan presents an alternative understanding of authenticity in heritage conservation. Traditional Western conservation approaches often emphasize preserving original physical materials as the main indicator of authenticity. However, the Ise Shrine demonstrates that authenticity can also be preserved through cultural continuity, craftsmanship, rituals, and spiritual traditions.</w:t>
      </w:r>
    </w:p>
    <w:p w14:paraId="67660D42" w14:textId="77777777" w:rsidR="00BB4599" w:rsidRPr="00BB4599" w:rsidRDefault="00BB4599" w:rsidP="00BB4599">
      <w:pPr>
        <w:spacing w:line="360" w:lineRule="auto"/>
      </w:pPr>
      <w:r w:rsidRPr="00BB4599">
        <w:t xml:space="preserve">The Ise Grand Shrine is one of the holiest sites in Shinto religion and has existed for more than thirteen centuries. Every twenty years, the shrine undergoes a ritual rebuilding process known as </w:t>
      </w:r>
      <w:proofErr w:type="spellStart"/>
      <w:r w:rsidRPr="00BB4599">
        <w:rPr>
          <w:i/>
          <w:iCs/>
        </w:rPr>
        <w:t>Shikinen</w:t>
      </w:r>
      <w:proofErr w:type="spellEnd"/>
      <w:r w:rsidRPr="00BB4599">
        <w:rPr>
          <w:i/>
          <w:iCs/>
        </w:rPr>
        <w:t xml:space="preserve"> </w:t>
      </w:r>
      <w:proofErr w:type="spellStart"/>
      <w:r w:rsidRPr="00BB4599">
        <w:rPr>
          <w:i/>
          <w:iCs/>
        </w:rPr>
        <w:t>Sengu</w:t>
      </w:r>
      <w:proofErr w:type="spellEnd"/>
      <w:r w:rsidRPr="00BB4599">
        <w:t>. During this ceremony, a new shrine is constructed beside the old one using traditional materials and techniques. Sacred objects are then transferred to the new structure, and the old building is dismantled (Rots, 2017). Although the physical structure changes over time, the shrine’s religious meaning and cultural identity remain continuous.</w:t>
      </w:r>
    </w:p>
    <w:p w14:paraId="51179469" w14:textId="77777777" w:rsidR="00BB4599" w:rsidRPr="00BB4599" w:rsidRDefault="00BB4599" w:rsidP="00BB4599">
      <w:pPr>
        <w:spacing w:line="360" w:lineRule="auto"/>
      </w:pPr>
      <w:r w:rsidRPr="00BB4599">
        <w:t xml:space="preserve">This rebuilding tradition challenges the idea that authenticity depends only on original materials. The Nara Document on Authenticity (1994) states that authenticity should be understood within cultural context and may involve traditions, spirit, craftsmanship, and function. At Ise Shrine, authenticity is preserved through the transmission of carpentry skills, </w:t>
      </w:r>
      <w:r w:rsidRPr="00BB4599">
        <w:lastRenderedPageBreak/>
        <w:t>ritual ceremonies, and spiritual practices across generations. The rebuilding process itself is considered authentic because it sustains living heritage and cultural continuity (Holtorf &amp; Fairclough, 2013).</w:t>
      </w:r>
    </w:p>
    <w:p w14:paraId="10A56E84" w14:textId="77777777" w:rsidR="00BB4599" w:rsidRPr="00BB4599" w:rsidRDefault="00BB4599" w:rsidP="00BB4599">
      <w:pPr>
        <w:spacing w:line="360" w:lineRule="auto"/>
      </w:pPr>
      <w:r w:rsidRPr="00BB4599">
        <w:t>The shrine also highlights the importance of intangible cultural heritage. Traditional woodworking techniques and sacred rituals are passed from experienced craftsmen to younger generations. These living traditions are essential to the shrine’s significance. Therefore, the cultural process surrounding reconstruction becomes more important than preserving ancient building materials.</w:t>
      </w:r>
    </w:p>
    <w:p w14:paraId="358D86C9" w14:textId="77777777" w:rsidR="00BB4599" w:rsidRPr="00BB4599" w:rsidRDefault="00BB4599" w:rsidP="00BB4599">
      <w:pPr>
        <w:spacing w:line="360" w:lineRule="auto"/>
      </w:pPr>
      <w:r w:rsidRPr="00BB4599">
        <w:t>Furthermore, the Ise Shrine demonstrates that ideas of authenticity vary between cultures. Western conservation theories often oppose reconstruction because it may reduce historical originality. In contrast, Japanese traditions influenced by Shinto beliefs value renewal, continuity, and impermanence. Authenticity at the Ise Shrine is therefore rooted in maintaining cultural identity and spiritual continuity rather than preserving old physical fabric.</w:t>
      </w:r>
    </w:p>
    <w:p w14:paraId="117895C7" w14:textId="77777777" w:rsidR="00BB4599" w:rsidRPr="00BB4599" w:rsidRDefault="00BB4599" w:rsidP="00BB4599">
      <w:pPr>
        <w:spacing w:line="360" w:lineRule="auto"/>
      </w:pPr>
      <w:r w:rsidRPr="00BB4599">
        <w:t>In conclusion, the Ise Grand Shrine broadens global understanding of authenticity in heritage conservation. It shows that authenticity can exist through traditions, rituals, craftsmanship, and cultural continuity even when physical structures are rebuilt. The shrine emphasizes the importance of recognizing cultural diversity in international heritage conservation practices.</w:t>
      </w:r>
    </w:p>
    <w:p w14:paraId="5A16B514" w14:textId="504C3B0E" w:rsidR="00BB4599" w:rsidRDefault="00BB4599" w:rsidP="00BB4599">
      <w:pPr>
        <w:spacing w:line="360" w:lineRule="auto"/>
        <w:rPr>
          <w:b/>
          <w:bCs/>
        </w:rPr>
      </w:pPr>
    </w:p>
    <w:p w14:paraId="7E19481B" w14:textId="77777777" w:rsidR="00BB4599" w:rsidRDefault="00BB4599" w:rsidP="00BB4599">
      <w:pPr>
        <w:spacing w:line="360" w:lineRule="auto"/>
        <w:rPr>
          <w:b/>
          <w:bCs/>
        </w:rPr>
      </w:pPr>
    </w:p>
    <w:p w14:paraId="5A619BC5" w14:textId="77777777" w:rsidR="00BB4599" w:rsidRDefault="00BB4599" w:rsidP="00BB4599">
      <w:pPr>
        <w:spacing w:line="360" w:lineRule="auto"/>
        <w:rPr>
          <w:b/>
          <w:bCs/>
        </w:rPr>
      </w:pPr>
    </w:p>
    <w:p w14:paraId="732789D9" w14:textId="77777777" w:rsidR="00BB4599" w:rsidRDefault="00BB4599" w:rsidP="00BB4599">
      <w:pPr>
        <w:spacing w:line="360" w:lineRule="auto"/>
        <w:rPr>
          <w:b/>
          <w:bCs/>
        </w:rPr>
      </w:pPr>
    </w:p>
    <w:p w14:paraId="0E42C47C" w14:textId="77777777" w:rsidR="00BB4599" w:rsidRDefault="00BB4599" w:rsidP="00BB4599">
      <w:pPr>
        <w:spacing w:line="360" w:lineRule="auto"/>
        <w:rPr>
          <w:b/>
          <w:bCs/>
        </w:rPr>
      </w:pPr>
    </w:p>
    <w:p w14:paraId="53C3CD0C" w14:textId="77777777" w:rsidR="00BB4599" w:rsidRDefault="00BB4599" w:rsidP="00BB4599">
      <w:pPr>
        <w:spacing w:line="360" w:lineRule="auto"/>
        <w:rPr>
          <w:b/>
          <w:bCs/>
        </w:rPr>
      </w:pPr>
    </w:p>
    <w:p w14:paraId="657B3287" w14:textId="77777777" w:rsidR="00BB4599" w:rsidRDefault="00BB4599" w:rsidP="00BB4599">
      <w:pPr>
        <w:spacing w:line="360" w:lineRule="auto"/>
        <w:rPr>
          <w:b/>
          <w:bCs/>
        </w:rPr>
      </w:pPr>
    </w:p>
    <w:p w14:paraId="53CE5C39" w14:textId="77777777" w:rsidR="00BB4599" w:rsidRDefault="00BB4599" w:rsidP="00BB4599">
      <w:pPr>
        <w:spacing w:line="360" w:lineRule="auto"/>
        <w:rPr>
          <w:b/>
          <w:bCs/>
        </w:rPr>
      </w:pPr>
    </w:p>
    <w:p w14:paraId="2F587199" w14:textId="77777777" w:rsidR="00BB4599" w:rsidRDefault="00BB4599" w:rsidP="00BB4599">
      <w:pPr>
        <w:spacing w:line="360" w:lineRule="auto"/>
        <w:rPr>
          <w:b/>
          <w:bCs/>
        </w:rPr>
      </w:pPr>
    </w:p>
    <w:p w14:paraId="2FE2323B" w14:textId="77777777" w:rsidR="00BB4599" w:rsidRDefault="00BB4599" w:rsidP="00BB4599">
      <w:pPr>
        <w:spacing w:line="360" w:lineRule="auto"/>
        <w:rPr>
          <w:b/>
          <w:bCs/>
        </w:rPr>
      </w:pPr>
    </w:p>
    <w:p w14:paraId="0F5A62C3" w14:textId="77777777" w:rsidR="00BB4599" w:rsidRDefault="00BB4599" w:rsidP="00BB4599">
      <w:pPr>
        <w:spacing w:line="360" w:lineRule="auto"/>
        <w:rPr>
          <w:b/>
          <w:bCs/>
        </w:rPr>
      </w:pPr>
    </w:p>
    <w:p w14:paraId="17D7ECAC" w14:textId="77777777" w:rsidR="00BB4599" w:rsidRDefault="00BB4599" w:rsidP="00BB4599">
      <w:pPr>
        <w:spacing w:line="360" w:lineRule="auto"/>
        <w:rPr>
          <w:b/>
          <w:bCs/>
        </w:rPr>
      </w:pPr>
    </w:p>
    <w:p w14:paraId="0D02AABB" w14:textId="77777777" w:rsidR="00BB4599" w:rsidRDefault="00BB4599" w:rsidP="00BB4599">
      <w:pPr>
        <w:spacing w:line="360" w:lineRule="auto"/>
        <w:rPr>
          <w:b/>
          <w:bCs/>
        </w:rPr>
      </w:pPr>
    </w:p>
    <w:p w14:paraId="07F48876" w14:textId="77777777" w:rsidR="00BB4599" w:rsidRPr="00BB4599" w:rsidRDefault="00BB4599" w:rsidP="00BB4599">
      <w:pPr>
        <w:spacing w:line="360" w:lineRule="auto"/>
        <w:rPr>
          <w:b/>
          <w:bCs/>
        </w:rPr>
      </w:pPr>
    </w:p>
    <w:p w14:paraId="342DAC8A" w14:textId="77777777" w:rsidR="00BB4599" w:rsidRPr="00BB4599" w:rsidRDefault="00BB4599" w:rsidP="00BB4599">
      <w:pPr>
        <w:spacing w:line="360" w:lineRule="auto"/>
        <w:rPr>
          <w:b/>
          <w:bCs/>
        </w:rPr>
      </w:pPr>
      <w:r w:rsidRPr="00BB4599">
        <w:rPr>
          <w:b/>
          <w:bCs/>
        </w:rPr>
        <w:lastRenderedPageBreak/>
        <w:t>References</w:t>
      </w:r>
    </w:p>
    <w:p w14:paraId="5740EFAA" w14:textId="77777777" w:rsidR="00BB4599" w:rsidRPr="00BB4599" w:rsidRDefault="00BB4599" w:rsidP="00BB4599">
      <w:pPr>
        <w:spacing w:line="360" w:lineRule="auto"/>
      </w:pPr>
      <w:proofErr w:type="spellStart"/>
      <w:r w:rsidRPr="00BB4599">
        <w:t>Borsook</w:t>
      </w:r>
      <w:proofErr w:type="spellEnd"/>
      <w:r w:rsidRPr="00BB4599">
        <w:t xml:space="preserve">, E. (1980). </w:t>
      </w:r>
      <w:r w:rsidRPr="00BB4599">
        <w:rPr>
          <w:i/>
          <w:iCs/>
        </w:rPr>
        <w:t>The Companion Guide to Florence</w:t>
      </w:r>
      <w:r w:rsidRPr="00BB4599">
        <w:t>. HarperCollins. https://doi.org/10.4324/9781315081119</w:t>
      </w:r>
    </w:p>
    <w:p w14:paraId="71373C2C" w14:textId="77777777" w:rsidR="00BB4599" w:rsidRPr="00BB4599" w:rsidRDefault="00BB4599" w:rsidP="00BB4599">
      <w:pPr>
        <w:spacing w:line="360" w:lineRule="auto"/>
      </w:pPr>
      <w:r w:rsidRPr="00BB4599">
        <w:t>Holtorf, C., &amp; Fairclough, G. (2013). The new heritage and re-</w:t>
      </w:r>
      <w:proofErr w:type="spellStart"/>
      <w:r w:rsidRPr="00BB4599">
        <w:t>shapings</w:t>
      </w:r>
      <w:proofErr w:type="spellEnd"/>
      <w:r w:rsidRPr="00BB4599">
        <w:t xml:space="preserve"> of the past. </w:t>
      </w:r>
      <w:r w:rsidRPr="00BB4599">
        <w:rPr>
          <w:i/>
          <w:iCs/>
        </w:rPr>
        <w:t>International Journal of Heritage Studies, 19</w:t>
      </w:r>
      <w:r w:rsidRPr="00BB4599">
        <w:t>(6), 518–528. https://doi.org/10.1080/13527258.2012.678371</w:t>
      </w:r>
    </w:p>
    <w:p w14:paraId="6F0C6801" w14:textId="77777777" w:rsidR="00BB4599" w:rsidRPr="00BB4599" w:rsidRDefault="00BB4599" w:rsidP="00BB4599">
      <w:pPr>
        <w:spacing w:line="360" w:lineRule="auto"/>
      </w:pPr>
      <w:r w:rsidRPr="00BB4599">
        <w:t xml:space="preserve">Pendlebury, J. (2013). </w:t>
      </w:r>
      <w:r w:rsidRPr="00BB4599">
        <w:rPr>
          <w:i/>
          <w:iCs/>
        </w:rPr>
        <w:t>Conservation in the Age of Consensus</w:t>
      </w:r>
      <w:r w:rsidRPr="00BB4599">
        <w:t>. Routledge. https://doi.org/10.4324/9780203074233</w:t>
      </w:r>
    </w:p>
    <w:p w14:paraId="49FEF0AA" w14:textId="77777777" w:rsidR="00BB4599" w:rsidRPr="00BB4599" w:rsidRDefault="00BB4599" w:rsidP="00BB4599">
      <w:pPr>
        <w:spacing w:line="360" w:lineRule="auto"/>
      </w:pPr>
      <w:r w:rsidRPr="00BB4599">
        <w:t xml:space="preserve">Rots, A. (2017). </w:t>
      </w:r>
      <w:r w:rsidRPr="00BB4599">
        <w:rPr>
          <w:i/>
          <w:iCs/>
        </w:rPr>
        <w:t>Shinto, Nature and Ideology in Contemporary Japan</w:t>
      </w:r>
      <w:r w:rsidRPr="00BB4599">
        <w:t>. Bloomsbury Academic. https://doi.org/10.5040/9781474271529</w:t>
      </w:r>
    </w:p>
    <w:p w14:paraId="54637ECD" w14:textId="77777777" w:rsidR="00BB4599" w:rsidRPr="00BB4599" w:rsidRDefault="00BB4599" w:rsidP="00BB4599">
      <w:pPr>
        <w:spacing w:line="360" w:lineRule="auto"/>
      </w:pPr>
      <w:r w:rsidRPr="00BB4599">
        <w:t xml:space="preserve">UNESCO. (2023). </w:t>
      </w:r>
      <w:r w:rsidRPr="00BB4599">
        <w:rPr>
          <w:i/>
          <w:iCs/>
        </w:rPr>
        <w:t>Historic Centre of Florence World Heritage Listing</w:t>
      </w:r>
      <w:r w:rsidRPr="00BB4599">
        <w:t xml:space="preserve">. Retrieved from </w:t>
      </w:r>
      <w:hyperlink r:id="rId6" w:tgtFrame="_new" w:history="1">
        <w:r w:rsidRPr="00BB4599">
          <w:rPr>
            <w:rStyle w:val="Hyperlink"/>
          </w:rPr>
          <w:t>https://whc.unesco.org/en/list/174/</w:t>
        </w:r>
      </w:hyperlink>
    </w:p>
    <w:p w14:paraId="08045E89" w14:textId="77777777" w:rsidR="00BB4599" w:rsidRPr="00BB4599" w:rsidRDefault="00BB4599" w:rsidP="00BB4599">
      <w:pPr>
        <w:spacing w:line="360" w:lineRule="auto"/>
      </w:pPr>
      <w:r w:rsidRPr="00BB4599">
        <w:t xml:space="preserve">Zucconi, G. (2015). Florence and the Renaissance city. </w:t>
      </w:r>
      <w:r w:rsidRPr="00BB4599">
        <w:rPr>
          <w:i/>
          <w:iCs/>
        </w:rPr>
        <w:t>Journal of Architecture and Urbanism, 39</w:t>
      </w:r>
      <w:r w:rsidRPr="00BB4599">
        <w:t>(2), 95–104. https://doi.org/10.3846/20297955.2015.1059024</w:t>
      </w:r>
    </w:p>
    <w:p w14:paraId="1DDD67A3" w14:textId="3E1F1B96" w:rsidR="00DC27AB" w:rsidRPr="00A5137B" w:rsidRDefault="00DC27AB" w:rsidP="00BB4599">
      <w:pPr>
        <w:spacing w:line="360" w:lineRule="auto"/>
        <w:rPr>
          <w:lang w:val="en-US"/>
        </w:rPr>
      </w:pPr>
    </w:p>
    <w:sectPr w:rsidR="00DC27AB" w:rsidRPr="00A513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9431EBFB-F9BA-41F1-96CE-873076727261}"/>
    <w:embedBold r:id="rId2" w:fontKey="{E99341F7-636B-4D1A-B27A-65D8DD66F076}"/>
    <w:embedItalic r:id="rId3" w:fontKey="{FA9C1D9E-77DC-4C75-834B-873400605BD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0B8F8B31-13C3-43F9-8EBA-82F7F66086ED}"/>
  </w:font>
  <w:font w:name="Calibri Light">
    <w:panose1 w:val="020F0302020204030204"/>
    <w:charset w:val="00"/>
    <w:family w:val="swiss"/>
    <w:pitch w:val="variable"/>
    <w:sig w:usb0="E4002EFF" w:usb1="C000247B" w:usb2="00000009" w:usb3="00000000" w:csb0="000001FF" w:csb1="00000000"/>
    <w:embedRegular r:id="rId5" w:fontKey="{92BB8F97-5959-4F6D-8D8D-E8EF005F85C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1"/>
  </w:num>
  <w:num w:numId="2" w16cid:durableId="1882092387">
    <w:abstractNumId w:val="2"/>
  </w:num>
  <w:num w:numId="3" w16cid:durableId="1544052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0D03F1"/>
    <w:rsid w:val="001700EC"/>
    <w:rsid w:val="00174BB1"/>
    <w:rsid w:val="00224FD9"/>
    <w:rsid w:val="002F4AE0"/>
    <w:rsid w:val="00384E8A"/>
    <w:rsid w:val="003D1074"/>
    <w:rsid w:val="00426865"/>
    <w:rsid w:val="00477CAA"/>
    <w:rsid w:val="004B5C3E"/>
    <w:rsid w:val="00502E29"/>
    <w:rsid w:val="005E458B"/>
    <w:rsid w:val="005E7CB5"/>
    <w:rsid w:val="00672345"/>
    <w:rsid w:val="007A4B0D"/>
    <w:rsid w:val="008433C4"/>
    <w:rsid w:val="00844EC2"/>
    <w:rsid w:val="008516FE"/>
    <w:rsid w:val="00905BA7"/>
    <w:rsid w:val="00942251"/>
    <w:rsid w:val="009C1D0A"/>
    <w:rsid w:val="00A044F7"/>
    <w:rsid w:val="00A5137B"/>
    <w:rsid w:val="00A8150E"/>
    <w:rsid w:val="00B20343"/>
    <w:rsid w:val="00B72D24"/>
    <w:rsid w:val="00B85EA7"/>
    <w:rsid w:val="00BB4599"/>
    <w:rsid w:val="00BE65DD"/>
    <w:rsid w:val="00C612A4"/>
    <w:rsid w:val="00CC6AD1"/>
    <w:rsid w:val="00CF34F8"/>
    <w:rsid w:val="00DC27AB"/>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81613"/>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DC27AB"/>
    <w:rPr>
      <w:color w:val="0563C1" w:themeColor="hyperlink"/>
      <w:u w:val="single"/>
    </w:rPr>
  </w:style>
  <w:style w:type="character" w:styleId="UnresolvedMention">
    <w:name w:val="Unresolved Mention"/>
    <w:basedOn w:val="DefaultParagraphFont"/>
    <w:uiPriority w:val="99"/>
    <w:semiHidden/>
    <w:unhideWhenUsed/>
    <w:rsid w:val="00DC27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c.unesco.org/en/list/174/"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1206</Words>
  <Characters>6879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2026-05-11T11:28:00Z</dcterms:created>
  <dcterms:modified xsi:type="dcterms:W3CDTF">2026-05-11T11:28:00Z</dcterms:modified>
</cp:coreProperties>
</file>