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BD1B3">
      <w:pPr>
        <w:jc w:val="center"/>
        <w:rPr>
          <w:b/>
          <w:bCs/>
        </w:rPr>
      </w:pPr>
      <w:r>
        <w:rPr>
          <w:rFonts w:hint="default" w:ascii="Times New Roman Bold" w:hAnsi="Times New Roman Bold" w:cs="Times New Roman Bold"/>
          <w:b/>
          <w:bCs/>
          <w:sz w:val="28"/>
          <w:szCs w:val="28"/>
        </w:rPr>
        <w:drawing>
          <wp:inline distT="0" distB="0" distL="114300" distR="114300">
            <wp:extent cx="5581650" cy="1567180"/>
            <wp:effectExtent l="0" t="0" r="0" b="0"/>
            <wp:docPr id="1" name="Picture 1" descr="Blue-Color-Logo-eiIET-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lue-Color-Logo-eiIET-Website-"/>
                    <pic:cNvPicPr>
                      <a:picLocks noChangeAspect="1"/>
                    </pic:cNvPicPr>
                  </pic:nvPicPr>
                  <pic:blipFill>
                    <a:blip r:embed="rId7"/>
                    <a:stretch>
                      <a:fillRect/>
                    </a:stretch>
                  </pic:blipFill>
                  <pic:spPr>
                    <a:xfrm>
                      <a:off x="0" y="0"/>
                      <a:ext cx="5581650" cy="1567180"/>
                    </a:xfrm>
                    <a:prstGeom prst="rect">
                      <a:avLst/>
                    </a:prstGeom>
                  </pic:spPr>
                </pic:pic>
              </a:graphicData>
            </a:graphic>
          </wp:inline>
        </w:drawing>
      </w:r>
    </w:p>
    <w:p w14:paraId="2D81289F">
      <w:pPr>
        <w:jc w:val="center"/>
        <w:rPr>
          <w:b/>
          <w:bCs/>
        </w:rPr>
      </w:pPr>
    </w:p>
    <w:p w14:paraId="70A132F9">
      <w:pPr>
        <w:jc w:val="center"/>
        <w:rPr>
          <w:b/>
          <w:bCs/>
        </w:rPr>
      </w:pPr>
    </w:p>
    <w:p w14:paraId="558B2CD3">
      <w:pPr>
        <w:jc w:val="center"/>
        <w:rPr>
          <w:b/>
          <w:bCs/>
        </w:rPr>
      </w:pPr>
    </w:p>
    <w:p w14:paraId="248CB397">
      <w:pPr>
        <w:jc w:val="center"/>
        <w:rPr>
          <w:b/>
          <w:bCs/>
        </w:rPr>
      </w:pPr>
    </w:p>
    <w:p w14:paraId="5B6F2E95">
      <w:pPr>
        <w:jc w:val="center"/>
        <w:rPr>
          <w:b/>
          <w:bCs/>
        </w:rPr>
      </w:pPr>
    </w:p>
    <w:p w14:paraId="78B71915">
      <w:pPr>
        <w:jc w:val="both"/>
        <w:rPr>
          <w:b/>
          <w:bCs/>
        </w:rPr>
      </w:pPr>
    </w:p>
    <w:p w14:paraId="63D083B5">
      <w:pPr>
        <w:jc w:val="both"/>
        <w:rPr>
          <w:b/>
          <w:bCs/>
        </w:rPr>
      </w:pPr>
    </w:p>
    <w:p w14:paraId="5D385E97">
      <w:pPr>
        <w:jc w:val="both"/>
        <w:rPr>
          <w:b/>
          <w:bCs/>
          <w:sz w:val="32"/>
          <w:szCs w:val="32"/>
        </w:rPr>
      </w:pPr>
      <w:r>
        <w:rPr>
          <w:b/>
          <w:bCs/>
          <w:sz w:val="32"/>
          <w:szCs w:val="32"/>
        </w:rPr>
        <w:t>Strategic Communication Plan for AI-Powered Tourism Services</w:t>
      </w:r>
    </w:p>
    <w:p w14:paraId="39A76D4D">
      <w:pPr>
        <w:jc w:val="center"/>
      </w:pPr>
    </w:p>
    <w:p w14:paraId="254C5798">
      <w:pPr>
        <w:jc w:val="center"/>
      </w:pPr>
    </w:p>
    <w:p w14:paraId="0310265E">
      <w:pPr>
        <w:jc w:val="center"/>
      </w:pPr>
    </w:p>
    <w:p w14:paraId="6D0DA37E">
      <w:pPr>
        <w:jc w:val="both"/>
      </w:pPr>
    </w:p>
    <w:p w14:paraId="4EC23656">
      <w:pPr>
        <w:jc w:val="both"/>
      </w:pPr>
    </w:p>
    <w:p w14:paraId="2BC81F9B">
      <w:pPr>
        <w:jc w:val="center"/>
        <w:rPr>
          <w:rFonts w:hint="default" w:ascii="Times New Roman Bold" w:hAnsi="Times New Roman Bold" w:cs="Times New Roman Bold"/>
          <w:b/>
          <w:bCs/>
          <w:sz w:val="28"/>
          <w:szCs w:val="28"/>
        </w:rPr>
      </w:pPr>
    </w:p>
    <w:p w14:paraId="71CA6BED">
      <w:pPr>
        <w:jc w:val="center"/>
        <w:rPr>
          <w:rFonts w:hint="default" w:ascii="Times New Roman Bold" w:hAnsi="Times New Roman Bold" w:cs="Times New Roman Bold"/>
          <w:b/>
          <w:bCs/>
          <w:sz w:val="28"/>
          <w:szCs w:val="28"/>
          <w:lang w:val="de-DE"/>
        </w:rPr>
      </w:pPr>
      <w:r>
        <w:rPr>
          <w:rFonts w:hint="default" w:ascii="Times New Roman Bold" w:hAnsi="Times New Roman Bold" w:cs="Times New Roman Bold"/>
          <w:b/>
          <w:bCs/>
          <w:sz w:val="28"/>
          <w:szCs w:val="28"/>
        </w:rPr>
        <w:t xml:space="preserve">Student Name </w:t>
      </w:r>
      <w:r>
        <w:rPr>
          <w:rFonts w:hint="default" w:ascii="Times New Roman Bold" w:hAnsi="Times New Roman Bold" w:cs="Times New Roman Bold"/>
          <w:b/>
          <w:bCs/>
          <w:sz w:val="28"/>
          <w:szCs w:val="28"/>
          <w:lang w:val="de-DE"/>
        </w:rPr>
        <w:t>: Ajay Kumar</w:t>
      </w:r>
    </w:p>
    <w:p w14:paraId="78BC444A">
      <w:pPr>
        <w:jc w:val="center"/>
        <w:rPr>
          <w:rFonts w:hint="default" w:ascii="Times New Roman Bold" w:hAnsi="Times New Roman Bold" w:cs="Times New Roman Bold"/>
          <w:b/>
          <w:bCs/>
          <w:sz w:val="28"/>
          <w:szCs w:val="28"/>
          <w:lang w:val="de-DE"/>
        </w:rPr>
      </w:pPr>
      <w:r>
        <w:rPr>
          <w:rFonts w:hint="default" w:ascii="Times New Roman Bold" w:hAnsi="Times New Roman Bold" w:cs="Times New Roman Bold"/>
          <w:b/>
          <w:bCs/>
          <w:sz w:val="28"/>
          <w:szCs w:val="28"/>
          <w:lang w:val="de-DE"/>
        </w:rPr>
        <w:t>Student ID : DE240022</w:t>
      </w:r>
    </w:p>
    <w:p w14:paraId="7D9B50DD">
      <w:pPr>
        <w:jc w:val="center"/>
        <w:rPr>
          <w:rFonts w:hint="default" w:ascii="Times New Roman Bold" w:hAnsi="Times New Roman Bold" w:cs="Times New Roman Bold"/>
          <w:b/>
          <w:bCs/>
          <w:sz w:val="28"/>
          <w:szCs w:val="28"/>
          <w:lang w:val="de-DE"/>
        </w:rPr>
      </w:pPr>
      <w:r>
        <w:rPr>
          <w:rFonts w:hint="default" w:ascii="Times New Roman Bold" w:hAnsi="Times New Roman Bold" w:cs="Times New Roman Bold"/>
          <w:b/>
          <w:bCs/>
          <w:sz w:val="28"/>
          <w:szCs w:val="28"/>
        </w:rPr>
        <w:t xml:space="preserve">Date: </w:t>
      </w:r>
      <w:r>
        <w:rPr>
          <w:rFonts w:hint="default" w:ascii="Times New Roman Bold" w:hAnsi="Times New Roman Bold" w:cs="Times New Roman Bold"/>
          <w:b/>
          <w:bCs/>
          <w:sz w:val="28"/>
          <w:szCs w:val="28"/>
          <w:lang w:val="de-DE"/>
        </w:rPr>
        <w:t xml:space="preserve"> 05-05-2025</w:t>
      </w:r>
    </w:p>
    <w:p w14:paraId="1DA3CD1F">
      <w:pPr>
        <w:spacing w:line="259" w:lineRule="auto"/>
        <w:jc w:val="left"/>
        <w:rPr>
          <w:rFonts w:eastAsiaTheme="majorEastAsia" w:cstheme="majorBidi"/>
          <w:b/>
          <w:szCs w:val="32"/>
        </w:rPr>
      </w:pPr>
    </w:p>
    <w:p w14:paraId="5649B4E2">
      <w:pPr>
        <w:spacing w:line="259" w:lineRule="auto"/>
        <w:jc w:val="left"/>
        <w:rPr>
          <w:rFonts w:eastAsiaTheme="majorEastAsia" w:cstheme="majorBidi"/>
          <w:b/>
          <w:szCs w:val="32"/>
        </w:rPr>
      </w:pPr>
      <w:r>
        <w:br w:type="page"/>
      </w:r>
    </w:p>
    <w:p w14:paraId="14FDC660">
      <w:pPr>
        <w:pStyle w:val="2"/>
        <w:jc w:val="center"/>
      </w:pPr>
      <w:bookmarkStart w:id="0" w:name="_Toc192071804"/>
      <w:bookmarkStart w:id="1" w:name="_Toc194417055"/>
      <w:bookmarkStart w:id="2" w:name="_Toc192082679"/>
      <w:bookmarkStart w:id="3" w:name="_Toc192681631"/>
      <w:bookmarkStart w:id="4" w:name="_Toc194679097"/>
      <w:bookmarkStart w:id="5" w:name="_Toc192078411"/>
      <w:bookmarkStart w:id="6" w:name="_Toc192069379"/>
      <w:bookmarkStart w:id="7" w:name="_Toc194756385"/>
      <w:bookmarkStart w:id="8" w:name="_Toc196923826"/>
      <w:bookmarkStart w:id="9" w:name="_Toc196914510"/>
      <w:bookmarkStart w:id="10" w:name="_Toc195705224"/>
      <w:bookmarkStart w:id="11" w:name="_Toc195535075"/>
      <w:bookmarkStart w:id="12" w:name="_Toc195700997"/>
      <w:bookmarkStart w:id="13" w:name="_Toc194759620"/>
      <w:r>
        <w:t>Table of Contents</w:t>
      </w:r>
      <w:bookmarkEnd w:id="0"/>
      <w:bookmarkEnd w:id="1"/>
      <w:bookmarkEnd w:id="2"/>
      <w:bookmarkEnd w:id="3"/>
      <w:bookmarkEnd w:id="4"/>
      <w:bookmarkEnd w:id="5"/>
      <w:bookmarkEnd w:id="6"/>
      <w:bookmarkEnd w:id="7"/>
      <w:bookmarkEnd w:id="8"/>
      <w:bookmarkEnd w:id="9"/>
      <w:bookmarkEnd w:id="10"/>
      <w:bookmarkEnd w:id="11"/>
      <w:bookmarkEnd w:id="12"/>
      <w:bookmarkEnd w:id="13"/>
    </w:p>
    <w:sdt>
      <w:sdtPr>
        <w:rPr>
          <w:rFonts w:ascii="Times New Roman" w:hAnsi="Times New Roman" w:eastAsiaTheme="minorHAnsi" w:cstheme="minorBidi"/>
          <w:color w:val="auto"/>
          <w:kern w:val="2"/>
          <w:sz w:val="24"/>
          <w:szCs w:val="22"/>
          <w:lang w:val="en-AU"/>
          <w14:ligatures w14:val="standardContextual"/>
        </w:rPr>
        <w:id w:val="-1"/>
        <w:docPartObj>
          <w:docPartGallery w:val="Table of Contents"/>
          <w:docPartUnique/>
        </w:docPartObj>
      </w:sdtPr>
      <w:sdtEndPr>
        <w:rPr>
          <w:rFonts w:ascii="Times New Roman" w:hAnsi="Times New Roman" w:eastAsiaTheme="minorHAnsi" w:cstheme="minorBidi"/>
          <w:b/>
          <w:bCs/>
          <w:color w:val="auto"/>
          <w:kern w:val="2"/>
          <w:sz w:val="24"/>
          <w:szCs w:val="22"/>
          <w:lang w:val="en-AU"/>
          <w14:ligatures w14:val="standardContextual"/>
        </w:rPr>
      </w:sdtEndPr>
      <w:sdtContent>
        <w:p w14:paraId="4E869AFB">
          <w:pPr>
            <w:pStyle w:val="21"/>
          </w:pPr>
          <w:r>
            <w:fldChar w:fldCharType="begin"/>
          </w:r>
          <w:r>
            <w:instrText xml:space="preserve"> TOC \o "1-3" \h \z \u </w:instrText>
          </w:r>
          <w:r>
            <w:fldChar w:fldCharType="separate"/>
          </w:r>
        </w:p>
        <w:p w14:paraId="1CF45EAF">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"_Toc196923827" </w:instrText>
          </w:r>
          <w:r>
            <w:fldChar w:fldCharType="separate"/>
          </w:r>
          <w:r>
            <w:rPr>
              <w:rStyle w:val="11"/>
              <w:lang w:eastAsia="en-IN"/>
            </w:rPr>
            <w:t>Introduction</w:t>
          </w:r>
          <w:r>
            <w:tab/>
          </w:r>
          <w:r>
            <w:fldChar w:fldCharType="begin"/>
          </w:r>
          <w:r>
            <w:instrText xml:space="preserve"> PAGEREF _Toc196923827 \h </w:instrText>
          </w:r>
          <w:r>
            <w:fldChar w:fldCharType="separate"/>
          </w:r>
          <w:r>
            <w:t>3</w:t>
          </w:r>
          <w:r>
            <w:fldChar w:fldCharType="end"/>
          </w:r>
          <w:r>
            <w:fldChar w:fldCharType="end"/>
          </w:r>
        </w:p>
        <w:p w14:paraId="65E12EB2">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"_Toc196923828" </w:instrText>
          </w:r>
          <w:r>
            <w:fldChar w:fldCharType="separate"/>
          </w:r>
          <w:r>
            <w:rPr>
              <w:rStyle w:val="11"/>
            </w:rPr>
            <w:t>Strategic Communication Plan</w:t>
          </w:r>
          <w:r>
            <w:tab/>
          </w:r>
          <w:r>
            <w:fldChar w:fldCharType="begin"/>
          </w:r>
          <w:r>
            <w:instrText xml:space="preserve"> PAGEREF _Toc196923828 \h </w:instrText>
          </w:r>
          <w:r>
            <w:fldChar w:fldCharType="separate"/>
          </w:r>
          <w:r>
            <w:t>3</w:t>
          </w:r>
          <w:r>
            <w:fldChar w:fldCharType="end"/>
          </w:r>
          <w:r>
            <w:fldChar w:fldCharType="end"/>
          </w:r>
        </w:p>
        <w:p w14:paraId="0AC95BAD">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"_Toc196923829" </w:instrText>
          </w:r>
          <w:r>
            <w:fldChar w:fldCharType="separate"/>
          </w:r>
          <w:r>
            <w:rPr>
              <w:rStyle w:val="11"/>
            </w:rPr>
            <w:t>Internal Communication: Staff Training Plan</w:t>
          </w:r>
          <w:r>
            <w:tab/>
          </w:r>
          <w:r>
            <w:fldChar w:fldCharType="begin"/>
          </w:r>
          <w:r>
            <w:instrText xml:space="preserve"> PAGEREF _Toc196923829 \h </w:instrText>
          </w:r>
          <w:r>
            <w:fldChar w:fldCharType="separate"/>
          </w:r>
          <w:r>
            <w:t>3</w:t>
          </w:r>
          <w:r>
            <w:fldChar w:fldCharType="end"/>
          </w:r>
          <w:r>
            <w:fldChar w:fldCharType="end"/>
          </w:r>
        </w:p>
        <w:p w14:paraId="69CEBCBC">
          <w:pPr>
            <w:pStyle w:val="17"/>
            <w:tabs>
              <w:tab w:val="right" w:leader="dot" w:pos="9016"/>
            </w:tabs>
            <w:rPr>
              <w:rFonts w:asciiTheme="minorHAnsi" w:hAnsiTheme="minorHAnsi" w:eastAsiaTheme="minorEastAsia"/>
              <w:szCs w:val="24"/>
              <w:lang w:val="en-IN" w:eastAsia="en-IN"/>
            </w:rPr>
          </w:pPr>
          <w:r>
            <w:fldChar w:fldCharType="begin"/>
          </w:r>
          <w:r>
            <w:instrText xml:space="preserve"> HYPERLINK \l "_Toc196923830" </w:instrText>
          </w:r>
          <w:r>
            <w:fldChar w:fldCharType="separate"/>
          </w:r>
          <w:r>
            <w:rPr>
              <w:rStyle w:val="11"/>
            </w:rPr>
            <w:t>Training Memos for Germany, Japan, and Brazil</w:t>
          </w:r>
          <w:r>
            <w:tab/>
          </w:r>
          <w:r>
            <w:fldChar w:fldCharType="begin"/>
          </w:r>
          <w:r>
            <w:instrText xml:space="preserve"> PAGEREF _Toc196923830 \h </w:instrText>
          </w:r>
          <w:r>
            <w:fldChar w:fldCharType="separate"/>
          </w:r>
          <w:r>
            <w:t>3</w:t>
          </w:r>
          <w:r>
            <w:fldChar w:fldCharType="end"/>
          </w:r>
          <w:r>
            <w:fldChar w:fldCharType="end"/>
          </w:r>
        </w:p>
        <w:p w14:paraId="3B2B5DAD">
          <w:pPr>
            <w:pStyle w:val="17"/>
            <w:tabs>
              <w:tab w:val="right" w:leader="dot" w:pos="9016"/>
            </w:tabs>
            <w:rPr>
              <w:rFonts w:asciiTheme="minorHAnsi" w:hAnsiTheme="minorHAnsi" w:eastAsiaTheme="minorEastAsia"/>
              <w:szCs w:val="24"/>
              <w:lang w:val="en-IN" w:eastAsia="en-IN"/>
            </w:rPr>
          </w:pPr>
          <w:r>
            <w:fldChar w:fldCharType="begin"/>
          </w:r>
          <w:r>
            <w:instrText xml:space="preserve"> HYPERLINK \l "_Toc196923831" </w:instrText>
          </w:r>
          <w:r>
            <w:fldChar w:fldCharType="separate"/>
          </w:r>
          <w:r>
            <w:rPr>
              <w:rStyle w:val="11"/>
            </w:rPr>
            <w:t>Digital Training Tools: Video Tutorials and Simulations</w:t>
          </w:r>
          <w:r>
            <w:tab/>
          </w:r>
          <w:r>
            <w:fldChar w:fldCharType="begin"/>
          </w:r>
          <w:r>
            <w:instrText xml:space="preserve"> PAGEREF _Toc196923831 \h </w:instrText>
          </w:r>
          <w:r>
            <w:fldChar w:fldCharType="separate"/>
          </w:r>
          <w:r>
            <w:t>4</w:t>
          </w:r>
          <w:r>
            <w:fldChar w:fldCharType="end"/>
          </w:r>
          <w:r>
            <w:fldChar w:fldCharType="end"/>
          </w:r>
        </w:p>
        <w:p w14:paraId="09B58679">
          <w:pPr>
            <w:pStyle w:val="17"/>
            <w:tabs>
              <w:tab w:val="right" w:leader="dot" w:pos="9016"/>
            </w:tabs>
            <w:rPr>
              <w:rFonts w:asciiTheme="minorHAnsi" w:hAnsiTheme="minorHAnsi" w:eastAsiaTheme="minorEastAsia"/>
              <w:szCs w:val="24"/>
              <w:lang w:val="en-IN" w:eastAsia="en-IN"/>
            </w:rPr>
          </w:pPr>
          <w:r>
            <w:fldChar w:fldCharType="begin"/>
          </w:r>
          <w:r>
            <w:instrText xml:space="preserve"> HYPERLINK \l "_Toc196923832" </w:instrText>
          </w:r>
          <w:r>
            <w:fldChar w:fldCharType="separate"/>
          </w:r>
          <w:r>
            <w:rPr>
              <w:rStyle w:val="11"/>
            </w:rPr>
            <w:t>Cultural Adaptation Strategies</w:t>
          </w:r>
          <w:r>
            <w:tab/>
          </w:r>
          <w:r>
            <w:fldChar w:fldCharType="begin"/>
          </w:r>
          <w:r>
            <w:instrText xml:space="preserve"> PAGEREF _Toc196923832 \h </w:instrText>
          </w:r>
          <w:r>
            <w:fldChar w:fldCharType="separate"/>
          </w:r>
          <w:r>
            <w:t>4</w:t>
          </w:r>
          <w:r>
            <w:fldChar w:fldCharType="end"/>
          </w:r>
          <w:r>
            <w:fldChar w:fldCharType="end"/>
          </w:r>
        </w:p>
        <w:p w14:paraId="13F49485">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"_Toc196923833" </w:instrText>
          </w:r>
          <w:r>
            <w:fldChar w:fldCharType="separate"/>
          </w:r>
          <w:r>
            <w:rPr>
              <w:rStyle w:val="11"/>
              <w:rFonts w:eastAsia="Times New Roman"/>
              <w:lang w:eastAsia="en-IN"/>
            </w:rPr>
            <w:t>External Communication: Customer Adoption</w:t>
          </w:r>
          <w:r>
            <w:tab/>
          </w:r>
          <w:r>
            <w:fldChar w:fldCharType="begin"/>
          </w:r>
          <w:r>
            <w:instrText xml:space="preserve"> PAGEREF _Toc196923833 \h </w:instrText>
          </w:r>
          <w:r>
            <w:fldChar w:fldCharType="separate"/>
          </w:r>
          <w:r>
            <w:t>5</w:t>
          </w:r>
          <w:r>
            <w:fldChar w:fldCharType="end"/>
          </w:r>
          <w:r>
            <w:fldChar w:fldCharType="end"/>
          </w:r>
        </w:p>
        <w:p w14:paraId="28F26D83">
          <w:pPr>
            <w:pStyle w:val="17"/>
            <w:tabs>
              <w:tab w:val="right" w:leader="dot" w:pos="9016"/>
            </w:tabs>
            <w:rPr>
              <w:rFonts w:asciiTheme="minorHAnsi" w:hAnsiTheme="minorHAnsi" w:eastAsiaTheme="minorEastAsia"/>
              <w:szCs w:val="24"/>
              <w:lang w:val="en-IN" w:eastAsia="en-IN"/>
            </w:rPr>
          </w:pPr>
          <w:r>
            <w:fldChar w:fldCharType="begin"/>
          </w:r>
          <w:r>
            <w:instrText xml:space="preserve"> HYPERLINK \l "_Toc196923834" </w:instrText>
          </w:r>
          <w:r>
            <w:fldChar w:fldCharType="separate"/>
          </w:r>
          <w:r>
            <w:rPr>
              <w:rStyle w:val="11"/>
              <w:lang w:eastAsia="en-IN"/>
            </w:rPr>
            <w:t>Draft FAQ Document</w:t>
          </w:r>
          <w:r>
            <w:tab/>
          </w:r>
          <w:r>
            <w:fldChar w:fldCharType="begin"/>
          </w:r>
          <w:r>
            <w:instrText xml:space="preserve"> PAGEREF _Toc196923834 \h </w:instrText>
          </w:r>
          <w:r>
            <w:fldChar w:fldCharType="separate"/>
          </w:r>
          <w:r>
            <w:t>5</w:t>
          </w:r>
          <w:r>
            <w:fldChar w:fldCharType="end"/>
          </w:r>
          <w:r>
            <w:fldChar w:fldCharType="end"/>
          </w:r>
        </w:p>
        <w:p w14:paraId="77600118">
          <w:pPr>
            <w:pStyle w:val="17"/>
            <w:tabs>
              <w:tab w:val="right" w:leader="dot" w:pos="9016"/>
            </w:tabs>
            <w:rPr>
              <w:rFonts w:asciiTheme="minorHAnsi" w:hAnsiTheme="minorHAnsi" w:eastAsiaTheme="minorEastAsia"/>
              <w:szCs w:val="24"/>
              <w:lang w:val="en-IN" w:eastAsia="en-IN"/>
            </w:rPr>
          </w:pPr>
          <w:r>
            <w:fldChar w:fldCharType="begin"/>
          </w:r>
          <w:r>
            <w:instrText xml:space="preserve"> HYPERLINK \l "_Toc196923835" </w:instrText>
          </w:r>
          <w:r>
            <w:fldChar w:fldCharType="separate"/>
          </w:r>
          <w:r>
            <w:rPr>
              <w:rStyle w:val="11"/>
              <w:lang w:eastAsia="en-IN"/>
            </w:rPr>
            <w:t>Accessibility and Inclusive Language</w:t>
          </w:r>
          <w:r>
            <w:tab/>
          </w:r>
          <w:r>
            <w:fldChar w:fldCharType="begin"/>
          </w:r>
          <w:r>
            <w:instrText xml:space="preserve"> PAGEREF _Toc196923835 \h </w:instrText>
          </w:r>
          <w:r>
            <w:fldChar w:fldCharType="separate"/>
          </w:r>
          <w:r>
            <w:t>5</w:t>
          </w:r>
          <w:r>
            <w:fldChar w:fldCharType="end"/>
          </w:r>
          <w:r>
            <w:fldChar w:fldCharType="end"/>
          </w:r>
        </w:p>
        <w:p w14:paraId="3916F300">
          <w:pPr>
            <w:pStyle w:val="17"/>
            <w:tabs>
              <w:tab w:val="right" w:leader="dot" w:pos="9016"/>
            </w:tabs>
            <w:rPr>
              <w:rFonts w:asciiTheme="minorHAnsi" w:hAnsiTheme="minorHAnsi" w:eastAsiaTheme="minorEastAsia"/>
              <w:szCs w:val="24"/>
              <w:lang w:val="en-IN" w:eastAsia="en-IN"/>
            </w:rPr>
          </w:pPr>
          <w:r>
            <w:fldChar w:fldCharType="begin"/>
          </w:r>
          <w:r>
            <w:instrText xml:space="preserve"> HYPERLINK \l "_Toc196923836" </w:instrText>
          </w:r>
          <w:r>
            <w:fldChar w:fldCharType="separate"/>
          </w:r>
          <w:r>
            <w:rPr>
              <w:rStyle w:val="11"/>
              <w:lang w:eastAsia="en-IN"/>
            </w:rPr>
            <w:t>Trust-Building Communication</w:t>
          </w:r>
          <w:r>
            <w:tab/>
          </w:r>
          <w:r>
            <w:fldChar w:fldCharType="begin"/>
          </w:r>
          <w:r>
            <w:instrText xml:space="preserve"> PAGEREF _Toc196923836 \h </w:instrText>
          </w:r>
          <w:r>
            <w:fldChar w:fldCharType="separate"/>
          </w:r>
          <w:r>
            <w:t>6</w:t>
          </w:r>
          <w:r>
            <w:fldChar w:fldCharType="end"/>
          </w:r>
          <w:r>
            <w:fldChar w:fldCharType="end"/>
          </w:r>
        </w:p>
        <w:p w14:paraId="40751573">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"_Toc196923837" </w:instrText>
          </w:r>
          <w:r>
            <w:fldChar w:fldCharType="separate"/>
          </w:r>
          <w:r>
            <w:rPr>
              <w:rStyle w:val="11"/>
              <w:rFonts w:eastAsia="Times New Roman"/>
              <w:lang w:eastAsia="en-IN"/>
            </w:rPr>
            <w:t>Global Email Marketing Strategy</w:t>
          </w:r>
          <w:r>
            <w:tab/>
          </w:r>
          <w:r>
            <w:fldChar w:fldCharType="begin"/>
          </w:r>
          <w:r>
            <w:instrText xml:space="preserve"> PAGEREF _Toc196923837 \h </w:instrText>
          </w:r>
          <w:r>
            <w:fldChar w:fldCharType="separate"/>
          </w:r>
          <w:r>
            <w:t>6</w:t>
          </w:r>
          <w:r>
            <w:fldChar w:fldCharType="end"/>
          </w:r>
          <w:r>
            <w:fldChar w:fldCharType="end"/>
          </w:r>
        </w:p>
        <w:p w14:paraId="66C4BD6F">
          <w:pPr>
            <w:pStyle w:val="17"/>
            <w:tabs>
              <w:tab w:val="right" w:leader="dot" w:pos="9016"/>
            </w:tabs>
            <w:rPr>
              <w:rFonts w:asciiTheme="minorHAnsi" w:hAnsiTheme="minorHAnsi" w:eastAsiaTheme="minorEastAsia"/>
              <w:szCs w:val="24"/>
              <w:lang w:val="en-IN" w:eastAsia="en-IN"/>
            </w:rPr>
          </w:pPr>
          <w:r>
            <w:fldChar w:fldCharType="begin"/>
          </w:r>
          <w:r>
            <w:instrText xml:space="preserve"> HYPERLINK \l "_Toc196923838" </w:instrText>
          </w:r>
          <w:r>
            <w:fldChar w:fldCharType="separate"/>
          </w:r>
          <w:r>
            <w:rPr>
              <w:rStyle w:val="11"/>
            </w:rPr>
            <w:t>Sample Email Campaign: Launch and Value Proposition</w:t>
          </w:r>
          <w:r>
            <w:tab/>
          </w:r>
          <w:r>
            <w:fldChar w:fldCharType="begin"/>
          </w:r>
          <w:r>
            <w:instrText xml:space="preserve"> PAGEREF _Toc196923838 \h </w:instrText>
          </w:r>
          <w:r>
            <w:fldChar w:fldCharType="separate"/>
          </w:r>
          <w:r>
            <w:t>6</w:t>
          </w:r>
          <w:r>
            <w:fldChar w:fldCharType="end"/>
          </w:r>
          <w:r>
            <w:fldChar w:fldCharType="end"/>
          </w:r>
        </w:p>
        <w:p w14:paraId="24A4314E">
          <w:pPr>
            <w:pStyle w:val="17"/>
            <w:tabs>
              <w:tab w:val="right" w:leader="dot" w:pos="9016"/>
            </w:tabs>
            <w:rPr>
              <w:rFonts w:asciiTheme="minorHAnsi" w:hAnsiTheme="minorHAnsi" w:eastAsiaTheme="minorEastAsia"/>
              <w:szCs w:val="24"/>
              <w:lang w:val="en-IN" w:eastAsia="en-IN"/>
            </w:rPr>
          </w:pPr>
          <w:r>
            <w:fldChar w:fldCharType="begin"/>
          </w:r>
          <w:r>
            <w:instrText xml:space="preserve"> HYPERLINK \l "_Toc196923839" </w:instrText>
          </w:r>
          <w:r>
            <w:fldChar w:fldCharType="separate"/>
          </w:r>
          <w:r>
            <w:rPr>
              <w:rStyle w:val="11"/>
              <w:lang w:eastAsia="en-IN"/>
            </w:rPr>
            <w:t>Personalization and Tone Alignment</w:t>
          </w:r>
          <w:r>
            <w:tab/>
          </w:r>
          <w:r>
            <w:fldChar w:fldCharType="begin"/>
          </w:r>
          <w:r>
            <w:instrText xml:space="preserve"> PAGEREF _Toc196923839 \h </w:instrText>
          </w:r>
          <w:r>
            <w:fldChar w:fldCharType="separate"/>
          </w:r>
          <w:r>
            <w:t>7</w:t>
          </w:r>
          <w:r>
            <w:fldChar w:fldCharType="end"/>
          </w:r>
          <w:r>
            <w:fldChar w:fldCharType="end"/>
          </w:r>
        </w:p>
        <w:p w14:paraId="4A0438FB">
          <w:pPr>
            <w:pStyle w:val="17"/>
            <w:tabs>
              <w:tab w:val="right" w:leader="dot" w:pos="9016"/>
            </w:tabs>
            <w:rPr>
              <w:rFonts w:asciiTheme="minorHAnsi" w:hAnsiTheme="minorHAnsi" w:eastAsiaTheme="minorEastAsia"/>
              <w:szCs w:val="24"/>
              <w:lang w:val="en-IN" w:eastAsia="en-IN"/>
            </w:rPr>
          </w:pPr>
          <w:r>
            <w:fldChar w:fldCharType="begin"/>
          </w:r>
          <w:r>
            <w:instrText xml:space="preserve"> HYPERLINK \l "_Toc196923840" </w:instrText>
          </w:r>
          <w:r>
            <w:fldChar w:fldCharType="separate"/>
          </w:r>
          <w:r>
            <w:rPr>
              <w:rStyle w:val="11"/>
              <w:lang w:eastAsia="en-IN"/>
            </w:rPr>
            <w:t>Scheduling and Localization Practices</w:t>
          </w:r>
          <w:r>
            <w:tab/>
          </w:r>
          <w:r>
            <w:fldChar w:fldCharType="begin"/>
          </w:r>
          <w:r>
            <w:instrText xml:space="preserve"> PAGEREF _Toc196923840 \h </w:instrText>
          </w:r>
          <w:r>
            <w:fldChar w:fldCharType="separate"/>
          </w:r>
          <w:r>
            <w:t>7</w:t>
          </w:r>
          <w:r>
            <w:fldChar w:fldCharType="end"/>
          </w:r>
          <w:r>
            <w:fldChar w:fldCharType="end"/>
          </w:r>
        </w:p>
        <w:p w14:paraId="1F0ABF24">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"_Toc196923841" </w:instrText>
          </w:r>
          <w:r>
            <w:fldChar w:fldCharType="separate"/>
          </w:r>
          <w:r>
            <w:rPr>
              <w:rStyle w:val="11"/>
              <w:rFonts w:eastAsia="Times New Roman"/>
              <w:lang w:eastAsia="en-IN"/>
            </w:rPr>
            <w:t>Ethical Considerations</w:t>
          </w:r>
          <w:r>
            <w:tab/>
          </w:r>
          <w:r>
            <w:fldChar w:fldCharType="begin"/>
          </w:r>
          <w:r>
            <w:instrText xml:space="preserve"> PAGEREF _Toc196923841 \h </w:instrText>
          </w:r>
          <w:r>
            <w:fldChar w:fldCharType="separate"/>
          </w:r>
          <w:r>
            <w:t>7</w:t>
          </w:r>
          <w:r>
            <w:fldChar w:fldCharType="end"/>
          </w:r>
          <w:r>
            <w:fldChar w:fldCharType="end"/>
          </w:r>
        </w:p>
        <w:p w14:paraId="7A538644">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"_Toc196923842" </w:instrText>
          </w:r>
          <w:r>
            <w:fldChar w:fldCharType="separate"/>
          </w:r>
          <w:r>
            <w:rPr>
              <w:rStyle w:val="11"/>
              <w:rFonts w:eastAsia="Times New Roman"/>
              <w:lang w:eastAsia="en-IN"/>
            </w:rPr>
            <w:t>Feedback and Success Metrics</w:t>
          </w:r>
          <w:r>
            <w:tab/>
          </w:r>
          <w:r>
            <w:fldChar w:fldCharType="begin"/>
          </w:r>
          <w:r>
            <w:instrText xml:space="preserve"> PAGEREF _Toc196923842 \h </w:instrText>
          </w:r>
          <w:r>
            <w:fldChar w:fldCharType="separate"/>
          </w:r>
          <w:r>
            <w:t>8</w:t>
          </w:r>
          <w:r>
            <w:fldChar w:fldCharType="end"/>
          </w:r>
          <w:r>
            <w:fldChar w:fldCharType="end"/>
          </w:r>
        </w:p>
        <w:p w14:paraId="7152D5C3">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"_Toc196923843" </w:instrText>
          </w:r>
          <w:r>
            <w:fldChar w:fldCharType="separate"/>
          </w:r>
          <w:r>
            <w:rPr>
              <w:rStyle w:val="11"/>
              <w:lang w:eastAsia="en-IN"/>
            </w:rPr>
            <w:t>Conclusion</w:t>
          </w:r>
          <w:r>
            <w:tab/>
          </w:r>
          <w:r>
            <w:fldChar w:fldCharType="begin"/>
          </w:r>
          <w:r>
            <w:instrText xml:space="preserve"> PAGEREF _Toc196923843 \h </w:instrText>
          </w:r>
          <w:r>
            <w:fldChar w:fldCharType="separate"/>
          </w:r>
          <w:r>
            <w:t>9</w:t>
          </w:r>
          <w:r>
            <w:fldChar w:fldCharType="end"/>
          </w:r>
          <w:r>
            <w:fldChar w:fldCharType="end"/>
          </w:r>
        </w:p>
        <w:p w14:paraId="11DF8BCF">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"_Toc196923844" </w:instrText>
          </w:r>
          <w:r>
            <w:fldChar w:fldCharType="separate"/>
          </w:r>
          <w:r>
            <w:rPr>
              <w:rStyle w:val="11"/>
              <w:lang w:eastAsia="en-IN"/>
            </w:rPr>
            <w:t>References</w:t>
          </w:r>
          <w:r>
            <w:tab/>
          </w:r>
          <w:r>
            <w:fldChar w:fldCharType="begin"/>
          </w:r>
          <w:r>
            <w:instrText xml:space="preserve"> PAGEREF _Toc196923844 \h </w:instrText>
          </w:r>
          <w:r>
            <w:fldChar w:fldCharType="separate"/>
          </w:r>
          <w:r>
            <w:t>10</w:t>
          </w:r>
          <w:r>
            <w:fldChar w:fldCharType="end"/>
          </w:r>
          <w:r>
            <w:fldChar w:fldCharType="end"/>
          </w:r>
        </w:p>
        <w:p w14:paraId="086E78A8">
          <w:r>
            <w:rPr>
              <w:b/>
              <w:bCs/>
            </w:rPr>
            <w:fldChar w:fldCharType="end"/>
          </w:r>
        </w:p>
      </w:sdtContent>
    </w:sdt>
    <w:p w14:paraId="1B41F31A">
      <w:pPr>
        <w:rPr>
          <w:lang w:eastAsia="en-IN"/>
        </w:rPr>
      </w:pPr>
    </w:p>
    <w:p w14:paraId="14FCC6BC">
      <w:pPr>
        <w:pStyle w:val="2"/>
        <w:jc w:val="center"/>
        <w:rPr>
          <w:lang w:eastAsia="en-IN"/>
        </w:rPr>
      </w:pPr>
      <w:bookmarkStart w:id="14" w:name="_Toc195535076"/>
      <w:r>
        <w:rPr>
          <w:lang w:eastAsia="en-IN"/>
        </w:rPr>
        <w:br w:type="page"/>
      </w:r>
      <w:bookmarkStart w:id="15" w:name="_Toc195543963"/>
    </w:p>
    <w:bookmarkEnd w:id="15"/>
    <w:p w14:paraId="40E6C41E">
      <w:pPr>
        <w:pStyle w:val="2"/>
        <w:jc w:val="center"/>
        <w:rPr>
          <w:lang w:eastAsia="en-IN"/>
        </w:rPr>
      </w:pPr>
      <w:bookmarkStart w:id="16" w:name="_Toc196923827"/>
      <w:bookmarkStart w:id="17" w:name="_Toc196914511"/>
      <w:r>
        <w:rPr>
          <w:lang w:eastAsia="en-IN"/>
        </w:rPr>
        <w:t>Introduction</w:t>
      </w:r>
      <w:bookmarkEnd w:id="16"/>
      <w:bookmarkEnd w:id="17"/>
    </w:p>
    <w:p w14:paraId="1FCA77DB">
      <w:pPr>
        <w:ind w:firstLine="720"/>
      </w:pPr>
      <w:r>
        <w:t>The tourism industry transforms digitally through artificial intelligence (AI) that includes chatbots and self-serve systems in its customer contact. Tourism technology based on NLP and machine learning allows companies to provide 24-hour multilingual help to customers and make their service delivery more efficient (Benaddi et al., 2024). Hotel chains and travel firms apply AI chatbots to boost their traveller support system through all steps of the journey and supply customized suggestions while enhancing communication efficiency (Shahabadi, 2025).</w:t>
      </w:r>
    </w:p>
    <w:p w14:paraId="791E9D49">
      <w:pPr>
        <w:ind w:firstLine="720"/>
      </w:pPr>
      <w:r>
        <w:t>Our main goal with AI integration is to run operations better while freeing staff from workload and to serve clients faster while providing correct answers at a large scale. Tourism businesses find these systems very helpful since their customers make requests from different parts of the world (Camilleri &amp; Troise, 2023). AI brings strategic benefits to Berlin tour operators who manage European guests because it enables them to serve customers in all digital channels.</w:t>
      </w:r>
    </w:p>
    <w:p w14:paraId="42476E0B">
      <w:pPr>
        <w:ind w:firstLine="720"/>
      </w:pPr>
      <w:r>
        <w:t>This document creates a complete messaging strategy to bring AI technology into service at global tour businesses. The scope includes:</w:t>
      </w:r>
    </w:p>
    <w:p w14:paraId="6D93B00D">
      <w:pPr>
        <w:pStyle w:val="23"/>
        <w:numPr>
          <w:ilvl w:val="0"/>
          <w:numId w:val="1"/>
        </w:numPr>
      </w:pPr>
      <w:r>
        <w:t>Internal communication for staff training across three culturally distinct regions</w:t>
      </w:r>
    </w:p>
    <w:p w14:paraId="0775869C">
      <w:pPr>
        <w:pStyle w:val="23"/>
        <w:numPr>
          <w:ilvl w:val="0"/>
          <w:numId w:val="1"/>
        </w:numPr>
      </w:pPr>
      <w:r>
        <w:t>External strategies for customer adoption (e.g., chatbot FAQs and email marketing)</w:t>
      </w:r>
    </w:p>
    <w:p w14:paraId="6BCA186E">
      <w:pPr>
        <w:pStyle w:val="23"/>
        <w:numPr>
          <w:ilvl w:val="0"/>
          <w:numId w:val="1"/>
        </w:numPr>
      </w:pPr>
      <w:r>
        <w:t>Ethical considerations, such as data privacy and algorithmic bias</w:t>
      </w:r>
    </w:p>
    <w:p w14:paraId="43182C72">
      <w:pPr>
        <w:pStyle w:val="23"/>
        <w:numPr>
          <w:ilvl w:val="0"/>
          <w:numId w:val="1"/>
        </w:numPr>
      </w:pPr>
      <w:r>
        <w:t>Success metrics include usage analytics and how users respond to our system.</w:t>
      </w:r>
    </w:p>
    <w:p w14:paraId="64AE67D3">
      <w:pPr>
        <w:ind w:firstLine="720"/>
      </w:pPr>
      <w:r>
        <w:t>Our plan studies how to move AI services into operation while creating user and business benefits across world regions under cultural standards and ethical rules.</w:t>
      </w:r>
    </w:p>
    <w:p w14:paraId="4E5789AE">
      <w:pPr>
        <w:ind w:firstLine="720"/>
        <w:jc w:val="center"/>
      </w:pPr>
      <w:r>
        <w:drawing>
          <wp:inline distT="0" distB="0" distL="0" distR="0">
            <wp:extent cx="3021965" cy="1435100"/>
            <wp:effectExtent l="0" t="0" r="6985" b="0"/>
            <wp:docPr id="1117574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574456" name="Picture 1"/>
                    <pic:cNvPicPr>
                      <a:picLocks noChangeAspect="1"/>
                    </pic:cNvPicPr>
                  </pic:nvPicPr>
                  <pic:blipFill>
                    <a:blip r:embed="rId8"/>
                    <a:stretch>
                      <a:fillRect/>
                    </a:stretch>
                  </pic:blipFill>
                  <pic:spPr>
                    <a:xfrm>
                      <a:off x="0" y="0"/>
                      <a:ext cx="3029242" cy="1438437"/>
                    </a:xfrm>
                    <a:prstGeom prst="rect">
                      <a:avLst/>
                    </a:prstGeom>
                  </pic:spPr>
                </pic:pic>
              </a:graphicData>
            </a:graphic>
          </wp:inline>
        </w:drawing>
      </w:r>
    </w:p>
    <w:p w14:paraId="2875890C">
      <w:pPr>
        <w:ind w:firstLine="720"/>
        <w:jc w:val="center"/>
        <w:rPr>
          <w:i/>
          <w:iCs/>
        </w:rPr>
      </w:pPr>
      <w:r>
        <w:rPr>
          <w:i/>
          <w:iCs/>
        </w:rPr>
        <w:t>Figure 1: Benefits of AI in the Travel Industry</w:t>
      </w:r>
    </w:p>
    <w:p w14:paraId="12195AB5">
      <w:pPr>
        <w:ind w:firstLine="720"/>
        <w:jc w:val="center"/>
        <w:rPr>
          <w:i/>
          <w:iCs/>
        </w:rPr>
      </w:pPr>
      <w:r>
        <w:rPr>
          <w:i/>
          <w:iCs/>
        </w:rPr>
        <w:t>Source: (Srivastava, 2023)</w:t>
      </w:r>
    </w:p>
    <w:p w14:paraId="56E1ED86">
      <w:pPr>
        <w:pStyle w:val="2"/>
        <w:jc w:val="center"/>
      </w:pPr>
      <w:bookmarkStart w:id="18" w:name="_Toc196923828"/>
      <w:r>
        <w:t>Strategic Communication Plan</w:t>
      </w:r>
      <w:bookmarkEnd w:id="18"/>
    </w:p>
    <w:p w14:paraId="1A6ADD4F">
      <w:pPr>
        <w:pStyle w:val="3"/>
      </w:pPr>
      <w:bookmarkStart w:id="19" w:name="_Toc196923829"/>
      <w:r>
        <w:t>Internal Communication: Staff Training Plan</w:t>
      </w:r>
      <w:bookmarkEnd w:id="19"/>
    </w:p>
    <w:p w14:paraId="7A67804B">
      <w:pPr>
        <w:ind w:firstLine="720"/>
      </w:pPr>
      <w:r>
        <w:t>Teams that use AI chatbots in global tourism need explanations and practice teachings to work successfully. Employees from various global regions must learn both technical skills and skills for tailoring their communication to match their local settings, especially when serving German, Japanese, and Brazilian customers.</w:t>
      </w:r>
    </w:p>
    <w:p w14:paraId="13250175">
      <w:pPr>
        <w:pStyle w:val="4"/>
      </w:pPr>
      <w:bookmarkStart w:id="20" w:name="_Toc196923830"/>
      <w:r>
        <w:t>Training Memos for Germany, Japan, and Brazil</w:t>
      </w:r>
      <w:bookmarkEnd w:id="20"/>
    </w:p>
    <w:p w14:paraId="127E225A">
      <w:pPr>
        <w:ind w:firstLine="720"/>
      </w:pPr>
      <w:r>
        <w:t>Regional offices need training documents online that match their specific communication habits. German staff likes systematic work with detailed memo sections focusing on data security rules from GDPR and work efficiency standards according to Tuna et al. (2024).</w:t>
      </w:r>
    </w:p>
    <w:p w14:paraId="5B3AF03D">
      <w:pPr>
        <w:ind w:firstLine="720"/>
      </w:pPr>
      <w:r>
        <w:t>Japanese work culture focuses on recognizing social positions and achieving unity. This promotion focuses on teaching chatbots to use proper speaking styles and shows exactly how to pass tasks to human colleagues along with presenting nice language options (Folk et al., 2025). The Brazilian team members prefer working through team-based training methods. Memos provide employees with visual materials plus they can learn at community events and ask questions during open discussion times.</w:t>
      </w:r>
    </w:p>
    <w:p w14:paraId="6B70B972">
      <w:pPr>
        <w:pStyle w:val="4"/>
      </w:pPr>
      <w:bookmarkStart w:id="21" w:name="_Toc196923831"/>
      <w:r>
        <w:t>Digital Training Tools: Video Tutorials and Simulations</w:t>
      </w:r>
      <w:bookmarkEnd w:id="21"/>
    </w:p>
    <w:p w14:paraId="5E872AD8">
      <w:r>
        <w:t>All staff must use one digital training platform with content made for their specific regions. These will include:</w:t>
      </w:r>
    </w:p>
    <w:p w14:paraId="4138B49B">
      <w:pPr>
        <w:pStyle w:val="23"/>
        <w:numPr>
          <w:ilvl w:val="0"/>
          <w:numId w:val="2"/>
        </w:numPr>
      </w:pPr>
      <w:r>
        <w:t>Able-to-use videos show realistic scenes of chatbot interactions at work</w:t>
      </w:r>
    </w:p>
    <w:p w14:paraId="3180909D">
      <w:pPr>
        <w:pStyle w:val="23"/>
        <w:numPr>
          <w:ilvl w:val="0"/>
          <w:numId w:val="2"/>
        </w:numPr>
      </w:pPr>
      <w:r>
        <w:t>Practical simulations help people switch between user and chatbot roles to understand chatbot ordering and emergency responses better.</w:t>
      </w:r>
    </w:p>
    <w:p w14:paraId="2C38AF87">
      <w:pPr>
        <w:pStyle w:val="23"/>
        <w:numPr>
          <w:ilvl w:val="0"/>
          <w:numId w:val="2"/>
        </w:numPr>
      </w:pPr>
      <w:r>
        <w:t>Our training system includes test games to help students understand better while staying interested in the course.</w:t>
      </w:r>
    </w:p>
    <w:p w14:paraId="7F195AB7">
      <w:pPr>
        <w:ind w:firstLine="720"/>
      </w:pPr>
      <w:r>
        <w:t>The process of training AI chatbots helps employees understand their work better while giving them more confidence when delivering results according to Chang (2023).</w:t>
      </w:r>
    </w:p>
    <w:p w14:paraId="1E77B115">
      <w:pPr>
        <w:pStyle w:val="4"/>
      </w:pPr>
      <w:bookmarkStart w:id="22" w:name="_Toc196923832"/>
      <w:r>
        <w:t>Cultural Adaptation Strategies</w:t>
      </w:r>
      <w:bookmarkEnd w:id="22"/>
    </w:p>
    <w:p w14:paraId="70D13FCD">
      <w:pPr>
        <w:ind w:firstLine="720"/>
      </w:pPr>
      <w:r>
        <w:t>Training results strongly depend on understanding employee cultural backgrounds. The technology genre people from East Asian nations especially Japan accept more than others causing them to adopt chatbot interactions as their main communication tool. Training systems should teach staff members to show compassion as they deliver programmed scripts while making precise responses (Folk et al. 2025).</w:t>
      </w:r>
    </w:p>
    <w:p w14:paraId="08AA47A6">
      <w:pPr>
        <w:ind w:firstLine="720"/>
      </w:pPr>
      <w:r>
        <w:t>German users expect chatbots to reveal their decision-making procedures, especially when handling personal information that matches their work mindset (Tuna et al., 2024). Brazilian teams will learn better with combined video-based education and peer discussions about regional themes.</w:t>
      </w:r>
    </w:p>
    <w:p w14:paraId="3849CFB0">
      <w:pPr>
        <w:ind w:firstLine="720"/>
      </w:pPr>
      <w:r>
        <w:t>Local leaders obtain session feedback before presenting suggested changes to the training program. Our approach matches these models because it relies on continuous improvement together with local connection building and building trust among multicultural team members (Voronin &amp; Palenova, 2024).</w:t>
      </w:r>
    </w:p>
    <w:p w14:paraId="71E70CD2">
      <w:pPr>
        <w:pStyle w:val="3"/>
        <w:rPr>
          <w:rFonts w:eastAsia="Times New Roman"/>
          <w:lang w:eastAsia="en-IN"/>
        </w:rPr>
      </w:pPr>
      <w:bookmarkStart w:id="23" w:name="_Toc196923833"/>
      <w:r>
        <w:rPr>
          <w:rFonts w:eastAsia="Times New Roman"/>
          <w:lang w:eastAsia="en-IN"/>
        </w:rPr>
        <w:t>External Communication: Customer Adoption</w:t>
      </w:r>
      <w:bookmarkEnd w:id="23"/>
    </w:p>
    <w:p w14:paraId="7379538D">
      <w:pPr>
        <w:ind w:firstLine="720"/>
        <w:rPr>
          <w:lang w:eastAsia="en-IN"/>
        </w:rPr>
      </w:pPr>
      <w:r>
        <w:rPr>
          <w:lang w:eastAsia="en-IN"/>
        </w:rPr>
        <w:t>The effectiveness of AI chatbots in tourism depends totally on how customers understand the technology and feel comfortable using it. A main communication goal is to offer easy-to-understand documentation in several languages about how chatbots work and demonstrate their safety and inclusiveness.</w:t>
      </w:r>
    </w:p>
    <w:p w14:paraId="2CF5DD2F">
      <w:pPr>
        <w:pStyle w:val="4"/>
        <w:rPr>
          <w:lang w:eastAsia="en-IN"/>
        </w:rPr>
      </w:pPr>
      <w:bookmarkStart w:id="24" w:name="_Toc196923834"/>
      <w:r>
        <w:rPr>
          <w:lang w:eastAsia="en-IN"/>
        </w:rPr>
        <w:t>Draft FAQ Document</w:t>
      </w:r>
      <w:bookmarkEnd w:id="24"/>
    </w:p>
    <w:p w14:paraId="146A95C0">
      <w:pPr>
        <w:ind w:firstLine="720"/>
        <w:rPr>
          <w:lang w:eastAsia="en-IN"/>
        </w:rPr>
      </w:pPr>
      <w:r>
        <w:rPr>
          <w:lang w:eastAsia="en-IN"/>
        </w:rPr>
        <w:t>A multilingual FAQ document will explain all important adoption benefits and concerns to customers worldwide. The content will reach customers through our website, booking tools, and correspondence emails. Key questions include:</w:t>
      </w:r>
    </w:p>
    <w:p w14:paraId="05142601">
      <w:pPr>
        <w:pStyle w:val="23"/>
        <w:numPr>
          <w:ilvl w:val="0"/>
          <w:numId w:val="3"/>
        </w:numPr>
        <w:rPr>
          <w:lang w:eastAsia="en-IN"/>
        </w:rPr>
      </w:pPr>
      <w:r>
        <w:rPr>
          <w:lang w:eastAsia="en-IN"/>
        </w:rPr>
        <w:t>What tasks can the artificial intelligence chatbot assist me with?</w:t>
      </w:r>
    </w:p>
    <w:p w14:paraId="0C7245DA">
      <w:pPr>
        <w:pStyle w:val="23"/>
        <w:numPr>
          <w:ilvl w:val="0"/>
          <w:numId w:val="3"/>
        </w:numPr>
        <w:rPr>
          <w:lang w:eastAsia="en-IN"/>
        </w:rPr>
      </w:pPr>
      <w:r>
        <w:rPr>
          <w:lang w:eastAsia="en-IN"/>
        </w:rPr>
        <w:t>Which steps should I take to upgrade from the chatbot to a real human operator?</w:t>
      </w:r>
    </w:p>
    <w:p w14:paraId="16EE7644">
      <w:pPr>
        <w:pStyle w:val="23"/>
        <w:numPr>
          <w:ilvl w:val="0"/>
          <w:numId w:val="3"/>
        </w:numPr>
        <w:rPr>
          <w:lang w:eastAsia="en-IN"/>
        </w:rPr>
      </w:pPr>
      <w:r>
        <w:rPr>
          <w:lang w:eastAsia="en-IN"/>
        </w:rPr>
        <w:t>Is my data safe?</w:t>
      </w:r>
    </w:p>
    <w:p w14:paraId="75049D4C">
      <w:pPr>
        <w:pStyle w:val="23"/>
        <w:numPr>
          <w:ilvl w:val="0"/>
          <w:numId w:val="3"/>
        </w:numPr>
        <w:rPr>
          <w:lang w:eastAsia="en-IN"/>
        </w:rPr>
      </w:pPr>
      <w:r>
        <w:rPr>
          <w:lang w:eastAsia="en-IN"/>
        </w:rPr>
        <w:t>Can I access this service through my preferred language?</w:t>
      </w:r>
    </w:p>
    <w:p w14:paraId="7AB5B697">
      <w:pPr>
        <w:ind w:firstLine="720"/>
        <w:rPr>
          <w:lang w:eastAsia="en-IN"/>
        </w:rPr>
      </w:pPr>
      <w:r>
        <w:rPr>
          <w:lang w:eastAsia="en-IN"/>
        </w:rPr>
        <w:t>Research finds that when tourists weigh how easy AI chatbots are to use, how smart and trustworthy they appear (Melián-González et al., 2021). When you explain how users' concerns will be handled and highlight service ease and data protection customers from all backgrounds will accept the system more.</w:t>
      </w:r>
    </w:p>
    <w:p w14:paraId="0755BDCA">
      <w:pPr>
        <w:pStyle w:val="4"/>
        <w:rPr>
          <w:lang w:eastAsia="en-IN"/>
        </w:rPr>
      </w:pPr>
      <w:bookmarkStart w:id="25" w:name="_Toc196923835"/>
      <w:r>
        <w:rPr>
          <w:lang w:eastAsia="en-IN"/>
        </w:rPr>
        <w:t>Accessibility and Inclusive Language</w:t>
      </w:r>
      <w:bookmarkEnd w:id="25"/>
    </w:p>
    <w:p w14:paraId="6B7FF196">
      <w:pPr>
        <w:ind w:firstLine="720"/>
        <w:rPr>
          <w:lang w:eastAsia="en-IN"/>
        </w:rPr>
      </w:pPr>
      <w:r>
        <w:rPr>
          <w:lang w:eastAsia="en-IN"/>
        </w:rPr>
        <w:t>The web interface of our chatbot and support materials will follow accessibility guidelines (WCAG 2.1 standards) by implementing these features:</w:t>
      </w:r>
    </w:p>
    <w:p w14:paraId="617A839B">
      <w:pPr>
        <w:pStyle w:val="23"/>
        <w:numPr>
          <w:ilvl w:val="0"/>
          <w:numId w:val="4"/>
        </w:numPr>
        <w:rPr>
          <w:lang w:eastAsia="en-IN"/>
        </w:rPr>
      </w:pPr>
      <w:r>
        <w:rPr>
          <w:lang w:eastAsia="en-IN"/>
        </w:rPr>
        <w:t>High-contrast text and scalable fonts</w:t>
      </w:r>
    </w:p>
    <w:p w14:paraId="0DFBE0BA">
      <w:pPr>
        <w:pStyle w:val="23"/>
        <w:numPr>
          <w:ilvl w:val="0"/>
          <w:numId w:val="4"/>
        </w:numPr>
        <w:rPr>
          <w:lang w:eastAsia="en-IN"/>
        </w:rPr>
      </w:pPr>
      <w:r>
        <w:rPr>
          <w:lang w:eastAsia="en-IN"/>
        </w:rPr>
        <w:t>Text-to-speech compatibility</w:t>
      </w:r>
    </w:p>
    <w:p w14:paraId="12E8F12D">
      <w:pPr>
        <w:pStyle w:val="23"/>
        <w:numPr>
          <w:ilvl w:val="0"/>
          <w:numId w:val="4"/>
        </w:numPr>
        <w:rPr>
          <w:lang w:eastAsia="en-IN"/>
        </w:rPr>
      </w:pPr>
      <w:r>
        <w:rPr>
          <w:lang w:eastAsia="en-IN"/>
        </w:rPr>
        <w:t>Simple, plain-language instructions</w:t>
      </w:r>
    </w:p>
    <w:p w14:paraId="773EE607">
      <w:pPr>
        <w:ind w:firstLine="720"/>
        <w:rPr>
          <w:lang w:eastAsia="en-IN"/>
        </w:rPr>
      </w:pPr>
      <w:r>
        <w:rPr>
          <w:lang w:eastAsia="en-IN"/>
        </w:rPr>
        <w:t>Easy-to-understand text for cognitive disorders and smart answer adjustment help users with various needs to use accessibility-enhanced chatbots per studies by Aditi et al. (2024).</w:t>
      </w:r>
    </w:p>
    <w:p w14:paraId="2C178759">
      <w:pPr>
        <w:ind w:firstLine="720"/>
        <w:rPr>
          <w:lang w:eastAsia="en-IN"/>
        </w:rPr>
      </w:pPr>
      <w:r>
        <w:rPr>
          <w:lang w:eastAsia="en-IN"/>
        </w:rPr>
        <w:t>The chatbot works in German, English, French, and Spanish with speech settings that follow national communication customs. The normal tone users prefer in German and the casual preference of Brazilian Portuguese speakers determine how well they interact with chatbots.</w:t>
      </w:r>
    </w:p>
    <w:p w14:paraId="08882A73">
      <w:pPr>
        <w:pStyle w:val="4"/>
        <w:rPr>
          <w:lang w:eastAsia="en-IN"/>
        </w:rPr>
      </w:pPr>
      <w:bookmarkStart w:id="26" w:name="_Toc196923836"/>
      <w:r>
        <w:rPr>
          <w:lang w:eastAsia="en-IN"/>
        </w:rPr>
        <w:t>Trust-Building Communication</w:t>
      </w:r>
      <w:bookmarkEnd w:id="26"/>
    </w:p>
    <w:p w14:paraId="6AD13E83">
      <w:pPr>
        <w:ind w:firstLine="720"/>
        <w:rPr>
          <w:lang w:eastAsia="en-IN"/>
        </w:rPr>
      </w:pPr>
      <w:r>
        <w:rPr>
          <w:lang w:eastAsia="en-IN"/>
        </w:rPr>
        <w:t>Customer adoption hinges on trust, especially in privacy-conscious markets like Germany. Our chatbot and website elements will help establish trust through key features, starting from the FAQ page and continuing onto banners and the chatbot welcoming sequence.</w:t>
      </w:r>
    </w:p>
    <w:p w14:paraId="689F6CA1">
      <w:pPr>
        <w:pStyle w:val="23"/>
        <w:numPr>
          <w:ilvl w:val="0"/>
          <w:numId w:val="5"/>
        </w:numPr>
        <w:rPr>
          <w:lang w:eastAsia="en-IN"/>
        </w:rPr>
      </w:pPr>
      <w:r>
        <w:rPr>
          <w:lang w:eastAsia="en-IN"/>
        </w:rPr>
        <w:t>Users should understand what types of information an AI system cannot handle and how to find help from human staff.</w:t>
      </w:r>
    </w:p>
    <w:p w14:paraId="640CDDD6">
      <w:pPr>
        <w:pStyle w:val="23"/>
        <w:numPr>
          <w:ilvl w:val="0"/>
          <w:numId w:val="5"/>
        </w:numPr>
        <w:rPr>
          <w:lang w:eastAsia="en-IN"/>
        </w:rPr>
      </w:pPr>
      <w:r>
        <w:rPr>
          <w:lang w:eastAsia="en-IN"/>
        </w:rPr>
        <w:t>Visible privacy notices and GDPR compliance icons</w:t>
      </w:r>
    </w:p>
    <w:p w14:paraId="1850AA82">
      <w:pPr>
        <w:pStyle w:val="23"/>
        <w:numPr>
          <w:ilvl w:val="0"/>
          <w:numId w:val="5"/>
        </w:numPr>
        <w:rPr>
          <w:lang w:eastAsia="en-IN"/>
        </w:rPr>
      </w:pPr>
      <w:r>
        <w:rPr>
          <w:lang w:eastAsia="en-IN"/>
        </w:rPr>
        <w:t>The system offers users the possibility to contact a live agent through obvious instructions.</w:t>
      </w:r>
    </w:p>
    <w:p w14:paraId="37787B95">
      <w:pPr>
        <w:ind w:firstLine="720"/>
        <w:rPr>
          <w:lang w:eastAsia="en-IN"/>
        </w:rPr>
      </w:pPr>
      <w:r>
        <w:rPr>
          <w:lang w:eastAsia="en-IN"/>
        </w:rPr>
        <w:t>These approaches directly resolve customer doubts about automated systems and lower the odds of leaving a chat without completing it (Castillo et al., 2020).</w:t>
      </w:r>
    </w:p>
    <w:p w14:paraId="71B64E4D">
      <w:pPr>
        <w:ind w:firstLine="720"/>
        <w:rPr>
          <w:lang w:eastAsia="en-IN"/>
        </w:rPr>
      </w:pPr>
      <w:r>
        <w:rPr>
          <w:lang w:eastAsia="en-IN"/>
        </w:rPr>
        <w:t>When AI systems include emotional sensitivity in their responses, the tourism industry finds better acceptance as machines display empathy even at the initial contact stage (Sonntag et al., 2023).</w:t>
      </w:r>
    </w:p>
    <w:p w14:paraId="2932F019">
      <w:pPr>
        <w:ind w:firstLine="720"/>
        <w:rPr>
          <w:lang w:eastAsia="en-IN"/>
        </w:rPr>
      </w:pPr>
      <w:r>
        <w:rPr>
          <w:lang w:eastAsia="en-IN"/>
        </w:rPr>
        <w:t>Using transparent customer communications with ethical design will help international users trust and benefit from AI technology during their travels.</w:t>
      </w:r>
    </w:p>
    <w:p w14:paraId="6C71BAFE">
      <w:pPr>
        <w:pStyle w:val="3"/>
        <w:rPr>
          <w:rFonts w:eastAsia="Times New Roman"/>
          <w:lang w:eastAsia="en-IN"/>
        </w:rPr>
      </w:pPr>
      <w:bookmarkStart w:id="27" w:name="_Toc196923837"/>
      <w:r>
        <w:rPr>
          <w:rFonts w:eastAsia="Times New Roman"/>
          <w:lang w:eastAsia="en-IN"/>
        </w:rPr>
        <w:t>Global Email Marketing Strategy</w:t>
      </w:r>
      <w:bookmarkEnd w:id="27"/>
    </w:p>
    <w:p w14:paraId="6E7E9C57">
      <w:pPr>
        <w:ind w:firstLine="720"/>
        <w:rPr>
          <w:lang w:eastAsia="en-IN"/>
        </w:rPr>
      </w:pPr>
      <w:r>
        <w:rPr>
          <w:lang w:eastAsia="en-IN"/>
        </w:rPr>
        <w:t>Using a well-planned email approach helps tour operators share AI chatbot benefits with customers worldwide. International tour operators should use messages tailored to each market while matching cultural norms, while also adjusting their schedule delivery for global customers.</w:t>
      </w:r>
    </w:p>
    <w:p w14:paraId="6A502E73">
      <w:pPr>
        <w:pStyle w:val="4"/>
      </w:pPr>
      <w:bookmarkStart w:id="28" w:name="_Toc196923838"/>
      <w:r>
        <w:t>Sample Email Campaign: Launch and Value Proposition</w:t>
      </w:r>
      <w:bookmarkEnd w:id="28"/>
    </w:p>
    <w:p w14:paraId="1879CA7B">
      <w:pPr>
        <w:ind w:firstLine="720"/>
        <w:rPr>
          <w:lang w:eastAsia="en-IN"/>
        </w:rPr>
      </w:pPr>
      <w:r>
        <w:rPr>
          <w:lang w:eastAsia="en-IN"/>
        </w:rPr>
        <w:t>The first email will introduce AI chatbot support using the subject line 'New 24/7 Travel Assistance with AI Technology'.</w:t>
      </w:r>
    </w:p>
    <w:p w14:paraId="6B8EF1CE">
      <w:pPr>
        <w:rPr>
          <w:lang w:eastAsia="en-IN"/>
        </w:rPr>
      </w:pPr>
      <w:r>
        <w:rPr>
          <w:lang w:eastAsia="en-IN"/>
        </w:rPr>
        <w:t>“New 24/7 Travel Support with Smart AI – Try It Today!”</w:t>
      </w:r>
    </w:p>
    <w:p w14:paraId="47464D1F">
      <w:pPr>
        <w:rPr>
          <w:lang w:eastAsia="en-IN"/>
        </w:rPr>
      </w:pPr>
      <w:r>
        <w:rPr>
          <w:lang w:eastAsia="en-IN"/>
        </w:rPr>
        <w:t>The email explains basic chatbot functions in its main section.</w:t>
      </w:r>
    </w:p>
    <w:p w14:paraId="590F3217">
      <w:pPr>
        <w:pStyle w:val="23"/>
        <w:numPr>
          <w:ilvl w:val="0"/>
          <w:numId w:val="6"/>
        </w:numPr>
        <w:rPr>
          <w:lang w:eastAsia="en-IN"/>
        </w:rPr>
      </w:pPr>
      <w:r>
        <w:rPr>
          <w:lang w:eastAsia="en-IN"/>
        </w:rPr>
        <w:t>Real-time answers to travel queries</w:t>
      </w:r>
    </w:p>
    <w:p w14:paraId="50C68F50">
      <w:pPr>
        <w:pStyle w:val="23"/>
        <w:numPr>
          <w:ilvl w:val="0"/>
          <w:numId w:val="6"/>
        </w:numPr>
        <w:rPr>
          <w:lang w:eastAsia="en-IN"/>
        </w:rPr>
      </w:pPr>
      <w:r>
        <w:rPr>
          <w:lang w:eastAsia="en-IN"/>
        </w:rPr>
        <w:t>Multilingual support</w:t>
      </w:r>
    </w:p>
    <w:p w14:paraId="5B1B8A6E">
      <w:pPr>
        <w:pStyle w:val="23"/>
        <w:numPr>
          <w:ilvl w:val="0"/>
          <w:numId w:val="6"/>
        </w:numPr>
        <w:rPr>
          <w:lang w:eastAsia="en-IN"/>
        </w:rPr>
      </w:pPr>
      <w:r>
        <w:rPr>
          <w:lang w:eastAsia="en-IN"/>
        </w:rPr>
        <w:t>Faster booking and itinerary help</w:t>
      </w:r>
    </w:p>
    <w:p w14:paraId="22C4C737">
      <w:pPr>
        <w:pStyle w:val="23"/>
        <w:numPr>
          <w:ilvl w:val="0"/>
          <w:numId w:val="6"/>
        </w:numPr>
        <w:rPr>
          <w:lang w:eastAsia="en-IN"/>
        </w:rPr>
      </w:pPr>
      <w:r>
        <w:rPr>
          <w:lang w:eastAsia="en-IN"/>
        </w:rPr>
        <w:t>Always available, always secure</w:t>
      </w:r>
    </w:p>
    <w:p w14:paraId="721B5794">
      <w:pPr>
        <w:ind w:firstLine="360"/>
        <w:rPr>
          <w:lang w:eastAsia="en-IN"/>
        </w:rPr>
      </w:pPr>
      <w:r>
        <w:rPr>
          <w:lang w:eastAsia="en-IN"/>
        </w:rPr>
        <w:t>Research shows that customers receive enhanced satisfaction because chatbots deliver personal recommendations quickly on email and app interfaces (Shahabadi, 2025). Our button-linked video demonstration lets users start using the chatbot more easily, especially in Germany, where people understand tech.</w:t>
      </w:r>
    </w:p>
    <w:p w14:paraId="5CB62228">
      <w:pPr>
        <w:pStyle w:val="4"/>
        <w:rPr>
          <w:lang w:eastAsia="en-IN"/>
        </w:rPr>
      </w:pPr>
      <w:bookmarkStart w:id="29" w:name="_Toc196923839"/>
      <w:r>
        <w:rPr>
          <w:lang w:eastAsia="en-IN"/>
        </w:rPr>
        <w:t>Personalization and Tone Alignment</w:t>
      </w:r>
      <w:bookmarkEnd w:id="29"/>
    </w:p>
    <w:p w14:paraId="52493B49">
      <w:pPr>
        <w:ind w:firstLine="720"/>
        <w:rPr>
          <w:lang w:eastAsia="en-IN"/>
        </w:rPr>
      </w:pPr>
      <w:r>
        <w:rPr>
          <w:lang w:eastAsia="en-IN"/>
        </w:rPr>
        <w:t>Traditionally used to personalize content with usernames the approach needs expansion across all user communication channels. Setting content by language preference and region creates different messages for formal German users and friendly Brazilian tourists. This method of language and emotion adjustment brings better user satisfaction and more people use the product (Stienmetz et al., 2022).</w:t>
      </w:r>
    </w:p>
    <w:p w14:paraId="2E197574">
      <w:pPr>
        <w:ind w:firstLine="720"/>
        <w:rPr>
          <w:lang w:eastAsia="en-IN"/>
        </w:rPr>
      </w:pPr>
      <w:r>
        <w:rPr>
          <w:lang w:eastAsia="en-IN"/>
        </w:rPr>
        <w:t>AI chatbots enhance engagement when they deliver customized responses and timed marketing based on users' specific needs and preferences according to Zhang et al. (2022).</w:t>
      </w:r>
    </w:p>
    <w:p w14:paraId="397EC42B">
      <w:pPr>
        <w:pStyle w:val="4"/>
        <w:rPr>
          <w:lang w:eastAsia="en-IN"/>
        </w:rPr>
      </w:pPr>
      <w:bookmarkStart w:id="30" w:name="_Toc196923840"/>
      <w:r>
        <w:rPr>
          <w:lang w:eastAsia="en-IN"/>
        </w:rPr>
        <w:t>Scheduling and Localization Practices</w:t>
      </w:r>
      <w:bookmarkEnd w:id="30"/>
    </w:p>
    <w:p w14:paraId="43E675E7">
      <w:pPr>
        <w:ind w:firstLine="720"/>
        <w:rPr>
          <w:lang w:eastAsia="en-IN"/>
        </w:rPr>
      </w:pPr>
      <w:r>
        <w:rPr>
          <w:lang w:eastAsia="en-IN"/>
        </w:rPr>
        <w:t>The emails should reach recipients at the right temporal moments according to their local time. For instance:</w:t>
      </w:r>
    </w:p>
    <w:p w14:paraId="47C96C1D">
      <w:pPr>
        <w:pStyle w:val="23"/>
        <w:numPr>
          <w:ilvl w:val="0"/>
          <w:numId w:val="7"/>
        </w:numPr>
        <w:rPr>
          <w:lang w:eastAsia="en-IN"/>
        </w:rPr>
      </w:pPr>
      <w:r>
        <w:rPr>
          <w:lang w:eastAsia="en-IN"/>
        </w:rPr>
        <w:t>8–10 AM CET for German users</w:t>
      </w:r>
    </w:p>
    <w:p w14:paraId="21C54047">
      <w:pPr>
        <w:pStyle w:val="23"/>
        <w:numPr>
          <w:ilvl w:val="0"/>
          <w:numId w:val="7"/>
        </w:numPr>
        <w:rPr>
          <w:lang w:eastAsia="en-IN"/>
        </w:rPr>
      </w:pPr>
      <w:r>
        <w:rPr>
          <w:lang w:eastAsia="en-IN"/>
        </w:rPr>
        <w:t>6–8 PM JST for Japanese users</w:t>
      </w:r>
    </w:p>
    <w:p w14:paraId="273F989F">
      <w:pPr>
        <w:pStyle w:val="23"/>
        <w:numPr>
          <w:ilvl w:val="0"/>
          <w:numId w:val="7"/>
        </w:numPr>
        <w:rPr>
          <w:lang w:eastAsia="en-IN"/>
        </w:rPr>
      </w:pPr>
      <w:r>
        <w:rPr>
          <w:lang w:eastAsia="en-IN"/>
        </w:rPr>
        <w:t>7–9 AM BRT for Brazilian audiences</w:t>
      </w:r>
    </w:p>
    <w:p w14:paraId="355F739F">
      <w:pPr>
        <w:ind w:firstLine="720"/>
        <w:rPr>
          <w:lang w:eastAsia="en-IN"/>
        </w:rPr>
      </w:pPr>
      <w:r>
        <w:rPr>
          <w:lang w:eastAsia="en-IN"/>
        </w:rPr>
        <w:t>When localizing a chatbot system, its data should include public transport information for the local transportation network, like adding U-Bahn navigation in Berlin versus adding JR information for Tokyo. Including cultural references in training helps recipients trust and understand content better (Kodors et al., 2024).</w:t>
      </w:r>
    </w:p>
    <w:p w14:paraId="0869BEAF">
      <w:pPr>
        <w:pStyle w:val="3"/>
        <w:rPr>
          <w:rFonts w:eastAsia="Times New Roman"/>
          <w:lang w:eastAsia="en-IN"/>
        </w:rPr>
      </w:pPr>
      <w:bookmarkStart w:id="31" w:name="_Toc196923841"/>
      <w:r>
        <w:rPr>
          <w:rFonts w:eastAsia="Times New Roman"/>
          <w:lang w:eastAsia="en-IN"/>
        </w:rPr>
        <w:t>Ethical Considerations</w:t>
      </w:r>
      <w:bookmarkEnd w:id="31"/>
    </w:p>
    <w:p w14:paraId="03FD2FBB">
      <w:pPr>
        <w:ind w:firstLine="720"/>
        <w:rPr>
          <w:lang w:eastAsia="en-IN"/>
        </w:rPr>
      </w:pPr>
      <w:r>
        <w:rPr>
          <w:lang w:eastAsia="en-IN"/>
        </w:rPr>
        <w:t>The use of AI tools in tourism communication requires us to handle ethical problems about protecting user privacy and treating all users impartially so that international laws are not broken and users remain trustworthy. Under GDPR, German clients must follow legal standards plus employ digital responsibility habits.</w:t>
      </w:r>
    </w:p>
    <w:p w14:paraId="0FD67E39">
      <w:pPr>
        <w:ind w:firstLine="720"/>
        <w:rPr>
          <w:lang w:eastAsia="en-IN"/>
        </w:rPr>
      </w:pPr>
      <w:r>
        <w:rPr>
          <w:lang w:eastAsia="en-IN"/>
        </w:rPr>
        <w:t>Machine learning systems must handle customer information that involves travel choices and payment information under defined privacy guidelines. The General Data Protection Regulation (GDPR) mandates transparency, user consent, and purpose limitation in data handling. Berlin users need to understand what data the chatbot collects and how it reasons before they can trust the service (Chaudhary, 2024). All data systems require built-in protection methods to achieve a privacy-by-design architecture.</w:t>
      </w:r>
    </w:p>
    <w:p w14:paraId="64857B38">
      <w:pPr>
        <w:ind w:firstLine="720"/>
        <w:rPr>
          <w:lang w:eastAsia="en-IN"/>
        </w:rPr>
      </w:pPr>
      <w:r>
        <w:rPr>
          <w:lang w:eastAsia="en-IN"/>
        </w:rPr>
        <w:t>The creation of algorithms often generates built-in preference errors. Chatbots with biased training data provide unfair service because their errors impact reservations and language processing. AI systems need to have regular bias evaluations plus employ fairness-aware machine learning to create equal customer experiences for all user groups (Bahangulu &amp; Owusu-Berko, 2025).</w:t>
      </w:r>
    </w:p>
    <w:p w14:paraId="5A92A818">
      <w:pPr>
        <w:ind w:firstLine="720"/>
        <w:rPr>
          <w:lang w:eastAsia="en-IN"/>
        </w:rPr>
      </w:pPr>
      <w:r>
        <w:rPr>
          <w:lang w:eastAsia="en-IN"/>
        </w:rPr>
        <w:t>Users need to understand why AI systems direct or deny them services so they can trust the technology correctly. Users trust automated systems more when they see how algorithms work, plus have the choice to switch to human assistance (Ferhataj &amp; Memaj, 2024).</w:t>
      </w:r>
    </w:p>
    <w:p w14:paraId="1C9D0CF8">
      <w:pPr>
        <w:ind w:firstLine="720"/>
        <w:rPr>
          <w:lang w:eastAsia="en-IN"/>
        </w:rPr>
      </w:pPr>
      <w:r>
        <w:rPr>
          <w:lang w:eastAsia="en-IN"/>
        </w:rPr>
        <w:t>Tourism organizations need to set up standard practices for ethical AI implementation by showing detailed data use and describing who runs algorithm controls plus how customers can ask for chatbot result reviews. By following this process businesses can keep EU consumer protection requirements as well as show responsibility in the long term (Atmaja, 2025).</w:t>
      </w:r>
    </w:p>
    <w:p w14:paraId="78EF72A1">
      <w:pPr>
        <w:pStyle w:val="2"/>
        <w:jc w:val="center"/>
        <w:rPr>
          <w:rFonts w:eastAsia="Times New Roman"/>
          <w:lang w:eastAsia="en-IN"/>
        </w:rPr>
      </w:pPr>
      <w:bookmarkStart w:id="32" w:name="_Toc196923842"/>
      <w:r>
        <w:rPr>
          <w:rFonts w:eastAsia="Times New Roman"/>
          <w:lang w:eastAsia="en-IN"/>
        </w:rPr>
        <w:t>Feedback and Success Metrics</w:t>
      </w:r>
      <w:bookmarkEnd w:id="32"/>
    </w:p>
    <w:p w14:paraId="0E02293E">
      <w:pPr>
        <w:ind w:firstLine="720"/>
        <w:rPr>
          <w:lang w:eastAsia="en-IN"/>
        </w:rPr>
      </w:pPr>
      <w:r>
        <w:rPr>
          <w:lang w:eastAsia="en-IN"/>
        </w:rPr>
        <w:t>Users will provide feedback about the performance of AI chatbots in multiple ways to help assess tourism communication outcomes. Our system uses several feedback methods, such as current surveys, chatbot performance data, and staff monitoring info.</w:t>
      </w:r>
    </w:p>
    <w:p w14:paraId="640310B0">
      <w:pPr>
        <w:ind w:firstLine="720"/>
        <w:rPr>
          <w:lang w:eastAsia="en-IN"/>
        </w:rPr>
      </w:pPr>
      <w:r>
        <w:rPr>
          <w:lang w:eastAsia="en-IN"/>
        </w:rPr>
        <w:t>The system will track its performance based on backend dashboards that show how fast the chatbot responds and fixes issues, plus how often users need real help from employees. These data points help us locate user challenges and let us enhance our system functions. AI chatbots work faster and produce more accurate results to enhance user satisfaction and boost company work performance (Shahabadi 2025).</w:t>
      </w:r>
    </w:p>
    <w:p w14:paraId="391DD775">
      <w:pPr>
        <w:ind w:firstLine="720"/>
        <w:rPr>
          <w:lang w:eastAsia="en-IN"/>
        </w:rPr>
      </w:pPr>
      <w:r>
        <w:rPr>
          <w:lang w:eastAsia="en-IN"/>
        </w:rPr>
        <w:t>The campaign team will gather knowledge about user acceptance by evaluating the number of users who click on the bot launch email and respond to the bot as first-timers. The system will measure customer satisfaction with built-in satisfaction questions and employee training progress through company training tracking systems.</w:t>
      </w:r>
    </w:p>
    <w:p w14:paraId="1147EB2D">
      <w:pPr>
        <w:ind w:firstLine="720"/>
        <w:rPr>
          <w:lang w:eastAsia="en-IN"/>
        </w:rPr>
      </w:pPr>
      <w:r>
        <w:rPr>
          <w:lang w:eastAsia="en-IN"/>
        </w:rPr>
        <w:t>The project team connects chatbot performance metrics with customer feedback results to refine how the bot answers and what type of support it offers (Chhibber et al., 2023). The process keeps the AI system adapting smoothly, so users receive excellent service and operations work efficiently.</w:t>
      </w:r>
    </w:p>
    <w:p w14:paraId="0206DA03">
      <w:pPr>
        <w:jc w:val="left"/>
        <w:rPr>
          <w:rFonts w:hint="default" w:ascii="Times New Roman Bold" w:hAnsi="Times New Roman Bold" w:cs="Times New Roman Bold"/>
          <w:b/>
          <w:bCs/>
          <w:lang w:val="de-DE" w:eastAsia="en-IN"/>
        </w:rPr>
      </w:pPr>
      <w:r>
        <w:rPr>
          <w:rFonts w:hint="default" w:ascii="Times New Roman Bold" w:hAnsi="Times New Roman Bold" w:cs="Times New Roman Bold"/>
          <w:b/>
          <w:bCs/>
          <w:lang w:val="de-DE" w:eastAsia="en-IN"/>
        </w:rPr>
        <w:t>Conclusion</w:t>
      </w:r>
    </w:p>
    <w:p w14:paraId="74D0E3A4">
      <w:pPr>
        <w:rPr>
          <w:lang w:eastAsia="en-IN"/>
        </w:rPr>
      </w:pPr>
      <w:r>
        <w:rPr>
          <w:lang w:eastAsia="en-IN"/>
        </w:rPr>
        <w:t>AI chatbots in tourism communication have opportunities to simplify operations and make travel easier while recognizing clients in multiple languages and tailoring each service. To achieve this development's success, you must combine technology with carefully designed cultural awareness training programs that follow ethical rules. Markets in Germany that care about personal information need companies to respect GDPR rules and show their algorithms in detail.</w:t>
      </w:r>
    </w:p>
    <w:p w14:paraId="57DAB0CD">
      <w:pPr>
        <w:ind w:firstLine="720"/>
        <w:rPr>
          <w:lang w:eastAsia="en-IN"/>
        </w:rPr>
      </w:pPr>
      <w:r>
        <w:rPr>
          <w:lang w:eastAsia="en-IN"/>
        </w:rPr>
        <w:t>Studies show that AI provides better service and happy customers when vacationers perceive interacting with computers and software as humans, and when these systems adapt to their cultural preferences. Smart tourism technologies depend on successful localized marketing methods to bring in results.</w:t>
      </w:r>
    </w:p>
    <w:p w14:paraId="5AD6144B">
      <w:pPr>
        <w:ind w:firstLine="720"/>
        <w:rPr>
          <w:lang w:eastAsia="en-IN"/>
        </w:rPr>
      </w:pPr>
      <w:r>
        <w:rPr>
          <w:lang w:eastAsia="en-IN"/>
        </w:rPr>
        <w:t>Tourism organizations should use AI to build reliable communications that involve users and create trust across international technology-based markets.</w:t>
      </w:r>
    </w:p>
    <w:p w14:paraId="306FF3BE">
      <w:pPr>
        <w:spacing w:line="259" w:lineRule="auto"/>
        <w:jc w:val="left"/>
        <w:rPr>
          <w:lang w:eastAsia="en-IN"/>
        </w:rPr>
      </w:pPr>
      <w:r>
        <w:rPr>
          <w:lang w:eastAsia="en-IN"/>
        </w:rPr>
        <w:br w:type="page"/>
      </w:r>
    </w:p>
    <w:p w14:paraId="6C8D7CCE">
      <w:pPr>
        <w:pStyle w:val="2"/>
        <w:jc w:val="center"/>
        <w:rPr>
          <w:lang w:eastAsia="en-IN"/>
        </w:rPr>
      </w:pPr>
      <w:bookmarkStart w:id="33" w:name="_Toc196923844"/>
      <w:r>
        <w:rPr>
          <w:lang w:eastAsia="en-IN"/>
        </w:rPr>
        <w:t>References</w:t>
      </w:r>
      <w:bookmarkEnd w:id="33"/>
    </w:p>
    <w:p w14:paraId="3504CC91">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Aditi, A., Saxena, H. S., &amp; Malik, A. (2024). AI-Enhanced Accessibility Solutions using Chatbot. </w:t>
      </w:r>
      <w:r>
        <w:rPr>
          <w:rFonts w:eastAsia="Times New Roman" w:cs="Times New Roman"/>
          <w:i/>
          <w:iCs/>
          <w:kern w:val="0"/>
          <w:szCs w:val="24"/>
          <w:lang w:val="en-IN" w:eastAsia="en-IN"/>
          <w14:ligatures w14:val="none"/>
        </w:rPr>
        <w:t>International JOURNAL of SCIENTIFIC RESEARCH in ENGINEERING and MANAGEMENT</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08</w:t>
      </w:r>
      <w:r>
        <w:rPr>
          <w:rFonts w:eastAsia="Times New Roman" w:cs="Times New Roman"/>
          <w:kern w:val="0"/>
          <w:szCs w:val="24"/>
          <w:lang w:val="en-IN" w:eastAsia="en-IN"/>
          <w14:ligatures w14:val="none"/>
        </w:rPr>
        <w:t>(05), 1–5. https://doi.org/10.55041/ijsrem34701</w:t>
      </w:r>
    </w:p>
    <w:p w14:paraId="1428A5A7">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Atmaja, S. A. (2025). Ethical Considerations in Algorithmic Decision-making: Towards Fair and Transparent AI Systems. </w:t>
      </w:r>
      <w:r>
        <w:rPr>
          <w:rFonts w:eastAsia="Times New Roman" w:cs="Times New Roman"/>
          <w:i/>
          <w:iCs/>
          <w:kern w:val="0"/>
          <w:szCs w:val="24"/>
          <w:lang w:val="en-IN" w:eastAsia="en-IN"/>
          <w14:ligatures w14:val="none"/>
        </w:rPr>
        <w:t>Riwayat Educational Journal of History and Humanities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8</w:t>
      </w:r>
      <w:r>
        <w:rPr>
          <w:rFonts w:eastAsia="Times New Roman" w:cs="Times New Roman"/>
          <w:kern w:val="0"/>
          <w:szCs w:val="24"/>
          <w:lang w:val="en-IN" w:eastAsia="en-IN"/>
          <w14:ligatures w14:val="none"/>
        </w:rPr>
        <w:t>(1), 620–627. https://doi.org/10.24815/jr.v8i1.44112</w:t>
      </w:r>
    </w:p>
    <w:p w14:paraId="7667BC60">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Bahangulu, J. K., &amp; Owusu-Berko, L. (2025). Algorithmic bias, data ethics, and governance: Ensuring fairness, transparency and compliance in AI-powered business analytics applications. </w:t>
      </w:r>
      <w:r>
        <w:rPr>
          <w:rFonts w:eastAsia="Times New Roman" w:cs="Times New Roman"/>
          <w:i/>
          <w:iCs/>
          <w:kern w:val="0"/>
          <w:szCs w:val="24"/>
          <w:lang w:val="en-IN" w:eastAsia="en-IN"/>
          <w14:ligatures w14:val="none"/>
        </w:rPr>
        <w:t>World Journal of Advanced Research and Reviews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25</w:t>
      </w:r>
      <w:r>
        <w:rPr>
          <w:rFonts w:eastAsia="Times New Roman" w:cs="Times New Roman"/>
          <w:kern w:val="0"/>
          <w:szCs w:val="24"/>
          <w:lang w:val="en-IN" w:eastAsia="en-IN"/>
          <w14:ligatures w14:val="none"/>
        </w:rPr>
        <w:t>(2), 1746–1763. https://doi.org/10.30574/wjarr.2025.25.2.0571</w:t>
      </w:r>
    </w:p>
    <w:p w14:paraId="04B29E5F">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Benaddi, L., Charaf Ouaddi, Adnane Souha, Abdeslam Jakimi, &amp; Brahim Ouchao. (2024). </w:t>
      </w:r>
      <w:r>
        <w:rPr>
          <w:rFonts w:eastAsia="Times New Roman" w:cs="Times New Roman"/>
          <w:i/>
          <w:iCs/>
          <w:kern w:val="0"/>
          <w:szCs w:val="24"/>
          <w:lang w:val="en-IN" w:eastAsia="en-IN"/>
          <w14:ligatures w14:val="none"/>
        </w:rPr>
        <w:t>Chatbots in Tourism Sector: Classification, Evolution, and Functionalities</w:t>
      </w:r>
      <w:r>
        <w:rPr>
          <w:rFonts w:eastAsia="Times New Roman" w:cs="Times New Roman"/>
          <w:kern w:val="0"/>
          <w:szCs w:val="24"/>
          <w:lang w:val="en-IN" w:eastAsia="en-IN"/>
          <w14:ligatures w14:val="none"/>
        </w:rPr>
        <w:t>. https://doi.org/10.1109/isivc61350.2024.10577889</w:t>
      </w:r>
    </w:p>
    <w:p w14:paraId="537260C7">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Camilleri, M. A., &amp; Troise, C. (2023). Chatbot recommender systems in tourism: A systematic review and a benefit-cost analysis. </w:t>
      </w:r>
      <w:r>
        <w:rPr>
          <w:rFonts w:eastAsia="Times New Roman" w:cs="Times New Roman"/>
          <w:i/>
          <w:iCs/>
          <w:kern w:val="0"/>
          <w:szCs w:val="24"/>
          <w:lang w:val="en-IN" w:eastAsia="en-IN"/>
          <w14:ligatures w14:val="none"/>
        </w:rPr>
        <w:t>OAR@UM (University of Malta)</w:t>
      </w:r>
      <w:r>
        <w:rPr>
          <w:rFonts w:eastAsia="Times New Roman" w:cs="Times New Roman"/>
          <w:kern w:val="0"/>
          <w:szCs w:val="24"/>
          <w:lang w:val="en-IN" w:eastAsia="en-IN"/>
          <w14:ligatures w14:val="none"/>
        </w:rPr>
        <w:t>. https://doi.org/10.1145/3589883.3589906</w:t>
      </w:r>
    </w:p>
    <w:p w14:paraId="65F789F5">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Castillo, D., Canhoto, A. I., &amp; Said, E. (2020). The Dark Side of AI-powered Service interactions: Exploring the Process of co-destruction from the Customer Perspective. </w:t>
      </w:r>
      <w:r>
        <w:rPr>
          <w:rFonts w:eastAsia="Times New Roman" w:cs="Times New Roman"/>
          <w:i/>
          <w:iCs/>
          <w:kern w:val="0"/>
          <w:szCs w:val="24"/>
          <w:lang w:val="en-IN" w:eastAsia="en-IN"/>
          <w14:ligatures w14:val="none"/>
        </w:rPr>
        <w:t>The Service Industries Journal</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41</w:t>
      </w:r>
      <w:r>
        <w:rPr>
          <w:rFonts w:eastAsia="Times New Roman" w:cs="Times New Roman"/>
          <w:kern w:val="0"/>
          <w:szCs w:val="24"/>
          <w:lang w:val="en-IN" w:eastAsia="en-IN"/>
          <w14:ligatures w14:val="none"/>
        </w:rPr>
        <w:t>(13-14), 1–26. https://doi.org/10.1080/02642069.2020.1787993</w:t>
      </w:r>
    </w:p>
    <w:p w14:paraId="647469C6">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Chang, H. (2023). The Effect of AI Chatbot-Based Tourism English Instruction on Intercultural Communicative Competence. </w:t>
      </w:r>
      <w:r>
        <w:rPr>
          <w:rFonts w:eastAsia="Times New Roman" w:cs="Times New Roman"/>
          <w:i/>
          <w:iCs/>
          <w:kern w:val="0"/>
          <w:szCs w:val="24"/>
          <w:lang w:val="en-IN" w:eastAsia="en-IN"/>
          <w14:ligatures w14:val="none"/>
        </w:rPr>
        <w:t>STEM Journal/Yeongsang Yeong’eo Gyoyug/Journal of English Teaching through Movies and Media</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24</w:t>
      </w:r>
      <w:r>
        <w:rPr>
          <w:rFonts w:eastAsia="Times New Roman" w:cs="Times New Roman"/>
          <w:kern w:val="0"/>
          <w:szCs w:val="24"/>
          <w:lang w:val="en-IN" w:eastAsia="en-IN"/>
          <w14:ligatures w14:val="none"/>
        </w:rPr>
        <w:t>(2), 15–30. https://doi.org/10.16875/stem.2023.24.2.15</w:t>
      </w:r>
    </w:p>
    <w:p w14:paraId="610AAEBD">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Chaudhary, G. (2024). Unveiling the Black Box: Bringing Algorithmic Transparency to AI. </w:t>
      </w:r>
      <w:r>
        <w:rPr>
          <w:rFonts w:eastAsia="Times New Roman" w:cs="Times New Roman"/>
          <w:i/>
          <w:iCs/>
          <w:kern w:val="0"/>
          <w:szCs w:val="24"/>
          <w:lang w:val="en-IN" w:eastAsia="en-IN"/>
          <w14:ligatures w14:val="none"/>
        </w:rPr>
        <w:t>Masaryk University Journal of Law and Technology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18</w:t>
      </w:r>
      <w:r>
        <w:rPr>
          <w:rFonts w:eastAsia="Times New Roman" w:cs="Times New Roman"/>
          <w:kern w:val="0"/>
          <w:szCs w:val="24"/>
          <w:lang w:val="en-IN" w:eastAsia="en-IN"/>
          <w14:ligatures w14:val="none"/>
        </w:rPr>
        <w:t>(1), 93–122. https://doi.org/10.5817/mujlt2024-1-4</w:t>
      </w:r>
    </w:p>
    <w:p w14:paraId="71DE7262">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Chhibber, M., Mittal, R., &amp; Singh, A. (2023). </w:t>
      </w:r>
      <w:r>
        <w:rPr>
          <w:rFonts w:eastAsia="Times New Roman" w:cs="Times New Roman"/>
          <w:i/>
          <w:iCs/>
          <w:kern w:val="0"/>
          <w:szCs w:val="24"/>
          <w:lang w:val="en-IN" w:eastAsia="en-IN"/>
          <w14:ligatures w14:val="none"/>
        </w:rPr>
        <w:t>AI-powered Chatbot for Improved Customer Feedback Management using NLP</w:t>
      </w:r>
      <w:r>
        <w:rPr>
          <w:rFonts w:eastAsia="Times New Roman" w:cs="Times New Roman"/>
          <w:kern w:val="0"/>
          <w:szCs w:val="24"/>
          <w:lang w:val="en-IN" w:eastAsia="en-IN"/>
          <w14:ligatures w14:val="none"/>
        </w:rPr>
        <w:t>. https://doi.org/10.1109/icccnt56998.2023.10308364</w:t>
      </w:r>
    </w:p>
    <w:p w14:paraId="7DD6FEC0">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Ferhataj, A., &amp; Memaj, F. (2024). CHALLANGES AND OPPORTUNITIES OF AI IMPLEMENTATION IN TOURISM: AN ETHICAL AND TECHNOLOGICAL PERSPECTIVE. </w:t>
      </w:r>
      <w:r>
        <w:rPr>
          <w:rFonts w:eastAsia="Times New Roman" w:cs="Times New Roman"/>
          <w:i/>
          <w:iCs/>
          <w:kern w:val="0"/>
          <w:szCs w:val="24"/>
          <w:lang w:val="en-IN" w:eastAsia="en-IN"/>
          <w14:ligatures w14:val="none"/>
        </w:rPr>
        <w:t>STUDIJOS – VERSLAS – VISUOMENĖ: DABARTIS IR ATEITIES ĮŽVALGOS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w:t>
      </w:r>
      <w:r>
        <w:rPr>
          <w:rFonts w:eastAsia="Times New Roman" w:cs="Times New Roman"/>
          <w:kern w:val="0"/>
          <w:szCs w:val="24"/>
          <w:lang w:val="en-IN" w:eastAsia="en-IN"/>
          <w14:ligatures w14:val="none"/>
        </w:rPr>
        <w:t>(IX), 217–231. https://doi.org/10.52320/svv.v1iix.357</w:t>
      </w:r>
    </w:p>
    <w:p w14:paraId="3BF81458">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Folk, D. P., Wu, C., &amp; Heine, S. J. (2025). Cultural Variation in Attitudes Toward Social Chatbots. </w:t>
      </w:r>
      <w:r>
        <w:rPr>
          <w:rFonts w:eastAsia="Times New Roman" w:cs="Times New Roman"/>
          <w:i/>
          <w:iCs/>
          <w:kern w:val="0"/>
          <w:szCs w:val="24"/>
          <w:lang w:val="en-IN" w:eastAsia="en-IN"/>
          <w14:ligatures w14:val="none"/>
        </w:rPr>
        <w:t>Journal of Cross-Cultural Psychology</w:t>
      </w:r>
      <w:r>
        <w:rPr>
          <w:rFonts w:eastAsia="Times New Roman" w:cs="Times New Roman"/>
          <w:kern w:val="0"/>
          <w:szCs w:val="24"/>
          <w:lang w:val="en-IN" w:eastAsia="en-IN"/>
          <w14:ligatures w14:val="none"/>
        </w:rPr>
        <w:t>. https://doi.org/10.1177/00220221251317950</w:t>
      </w:r>
    </w:p>
    <w:p w14:paraId="373152E7">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Kodors, S., Kanepe, G., Zeps, D., Zarembo, I., &amp; Litavniece, L. (2024). RAPID DEVELOPMENT OF CHATBOT FOR TOURISM PROMOTION IN LATGALE. </w:t>
      </w:r>
      <w:r>
        <w:rPr>
          <w:rFonts w:eastAsia="Times New Roman" w:cs="Times New Roman"/>
          <w:i/>
          <w:iCs/>
          <w:kern w:val="0"/>
          <w:szCs w:val="24"/>
          <w:lang w:val="en-IN" w:eastAsia="en-IN"/>
          <w14:ligatures w14:val="none"/>
        </w:rPr>
        <w:t>ENVIRONMENT. TECHNOLOGIES. RESOURCES. Proceedings of the International Scientific and Practical Conference</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w:t>
      </w:r>
      <w:r>
        <w:rPr>
          <w:rFonts w:eastAsia="Times New Roman" w:cs="Times New Roman"/>
          <w:kern w:val="0"/>
          <w:szCs w:val="24"/>
          <w:lang w:val="en-IN" w:eastAsia="en-IN"/>
          <w14:ligatures w14:val="none"/>
        </w:rPr>
        <w:t>, 179–182. https://doi.org/10.17770/etr2024vol2.8060</w:t>
      </w:r>
    </w:p>
    <w:p w14:paraId="7A464713">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Melián-González, S., Gutiérrez-Taño, D., &amp; Bulchand-Gidumal, J. (2021). Predicting the intentions to use chatbots for travel and tourism. </w:t>
      </w:r>
      <w:r>
        <w:rPr>
          <w:rFonts w:eastAsia="Times New Roman" w:cs="Times New Roman"/>
          <w:i/>
          <w:iCs/>
          <w:kern w:val="0"/>
          <w:szCs w:val="24"/>
          <w:lang w:val="en-IN" w:eastAsia="en-IN"/>
          <w14:ligatures w14:val="none"/>
        </w:rPr>
        <w:t>Current Issues in Tourism</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24</w:t>
      </w:r>
      <w:r>
        <w:rPr>
          <w:rFonts w:eastAsia="Times New Roman" w:cs="Times New Roman"/>
          <w:kern w:val="0"/>
          <w:szCs w:val="24"/>
          <w:lang w:val="en-IN" w:eastAsia="en-IN"/>
          <w14:ligatures w14:val="none"/>
        </w:rPr>
        <w:t>(2), 1–19. https://doi.org/10.1080/13683500.2019.1706457</w:t>
      </w:r>
    </w:p>
    <w:p w14:paraId="752197F7">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Shahabadi, S. (2025). Customer Service Chatbot With AI. </w:t>
      </w:r>
      <w:r>
        <w:rPr>
          <w:rFonts w:eastAsia="Times New Roman" w:cs="Times New Roman"/>
          <w:i/>
          <w:iCs/>
          <w:kern w:val="0"/>
          <w:szCs w:val="24"/>
          <w:lang w:val="en-IN" w:eastAsia="en-IN"/>
          <w14:ligatures w14:val="none"/>
        </w:rPr>
        <w:t>INTERANTIONAL JOURNAL of SCIENTIFIC RESEARCH in ENGINEERING and MANAGEMENT</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09</w:t>
      </w:r>
      <w:r>
        <w:rPr>
          <w:rFonts w:eastAsia="Times New Roman" w:cs="Times New Roman"/>
          <w:kern w:val="0"/>
          <w:szCs w:val="24"/>
          <w:lang w:val="en-IN" w:eastAsia="en-IN"/>
          <w14:ligatures w14:val="none"/>
        </w:rPr>
        <w:t>(01), 1–9. https://doi.org/10.55041/ijsrem40983</w:t>
      </w:r>
    </w:p>
    <w:p w14:paraId="24CFC682">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Sonntag, M., Jens Mehmann, &amp; Teuteberg, F. (2023). DERIVING TRUST-SUPPORTING DESIGN KNOWLEDGE FOR AI-BASED CHATBOTS IN CUSTOMER SERVICE: A USE CASE FROM THE AUTOMOTIVE INDUSTRY. </w:t>
      </w:r>
      <w:r>
        <w:rPr>
          <w:rFonts w:eastAsia="Times New Roman" w:cs="Times New Roman"/>
          <w:i/>
          <w:iCs/>
          <w:kern w:val="0"/>
          <w:szCs w:val="24"/>
          <w:lang w:val="en-IN" w:eastAsia="en-IN"/>
          <w14:ligatures w14:val="none"/>
        </w:rPr>
        <w:t>Journal of Organizational Computing and Electronic Commerce</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33</w:t>
      </w:r>
      <w:r>
        <w:rPr>
          <w:rFonts w:eastAsia="Times New Roman" w:cs="Times New Roman"/>
          <w:kern w:val="0"/>
          <w:szCs w:val="24"/>
          <w:lang w:val="en-IN" w:eastAsia="en-IN"/>
          <w14:ligatures w14:val="none"/>
        </w:rPr>
        <w:t xml:space="preserve">(3-4), 178–210. </w:t>
      </w:r>
      <w:r>
        <w:fldChar w:fldCharType="begin"/>
      </w:r>
      <w:r>
        <w:instrText xml:space="preserve"> HYPERLINK "https://doi.org/10.1080/10919392.2023.2276631" </w:instrText>
      </w:r>
      <w:r>
        <w:fldChar w:fldCharType="separate"/>
      </w:r>
      <w:r>
        <w:rPr>
          <w:rStyle w:val="11"/>
          <w:rFonts w:eastAsia="Times New Roman" w:cs="Times New Roman"/>
          <w:kern w:val="0"/>
          <w:szCs w:val="24"/>
          <w:lang w:val="en-IN" w:eastAsia="en-IN"/>
          <w14:ligatures w14:val="none"/>
        </w:rPr>
        <w:t>https://doi.org/10.1080/10919392.2023.2276631</w:t>
      </w:r>
      <w:r>
        <w:rPr>
          <w:rStyle w:val="11"/>
          <w:rFonts w:eastAsia="Times New Roman" w:cs="Times New Roman"/>
          <w:kern w:val="0"/>
          <w:szCs w:val="24"/>
          <w:lang w:val="en-IN" w:eastAsia="en-IN"/>
          <w14:ligatures w14:val="none"/>
        </w:rPr>
        <w:fldChar w:fldCharType="end"/>
      </w:r>
    </w:p>
    <w:p w14:paraId="5BA6D087">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Srivastava, S. (2023, December 21). </w:t>
      </w:r>
      <w:r>
        <w:rPr>
          <w:rFonts w:eastAsia="Times New Roman" w:cs="Times New Roman"/>
          <w:i/>
          <w:iCs/>
          <w:kern w:val="0"/>
          <w:szCs w:val="24"/>
          <w:lang w:val="en-IN" w:eastAsia="en-IN"/>
          <w14:ligatures w14:val="none"/>
        </w:rPr>
        <w:t>AI in Travel: Revolutionizing safety and seamless journeys</w:t>
      </w:r>
      <w:r>
        <w:rPr>
          <w:rFonts w:eastAsia="Times New Roman" w:cs="Times New Roman"/>
          <w:kern w:val="0"/>
          <w:szCs w:val="24"/>
          <w:lang w:val="en-IN" w:eastAsia="en-IN"/>
          <w14:ligatures w14:val="none"/>
        </w:rPr>
        <w:t xml:space="preserve">. Appinventiv. </w:t>
      </w:r>
      <w:r>
        <w:fldChar w:fldCharType="begin"/>
      </w:r>
      <w:r>
        <w:instrText xml:space="preserve"> HYPERLINK "https://appinventiv.com/blog/ai-in-travel/" </w:instrText>
      </w:r>
      <w:r>
        <w:fldChar w:fldCharType="separate"/>
      </w:r>
      <w:r>
        <w:rPr>
          <w:rStyle w:val="11"/>
          <w:rFonts w:eastAsia="Times New Roman" w:cs="Times New Roman"/>
          <w:kern w:val="0"/>
          <w:szCs w:val="24"/>
          <w:lang w:val="en-IN" w:eastAsia="en-IN"/>
          <w14:ligatures w14:val="none"/>
        </w:rPr>
        <w:t>https://appinventiv.com/blog/ai-in-travel/</w:t>
      </w:r>
      <w:r>
        <w:rPr>
          <w:rStyle w:val="11"/>
          <w:rFonts w:eastAsia="Times New Roman" w:cs="Times New Roman"/>
          <w:kern w:val="0"/>
          <w:szCs w:val="24"/>
          <w:lang w:val="en-IN" w:eastAsia="en-IN"/>
          <w14:ligatures w14:val="none"/>
        </w:rPr>
        <w:fldChar w:fldCharType="end"/>
      </w:r>
      <w:r>
        <w:rPr>
          <w:rFonts w:eastAsia="Times New Roman" w:cs="Times New Roman"/>
          <w:kern w:val="0"/>
          <w:szCs w:val="24"/>
          <w:lang w:val="en-IN" w:eastAsia="en-IN"/>
          <w14:ligatures w14:val="none"/>
        </w:rPr>
        <w:t xml:space="preserve"> </w:t>
      </w:r>
    </w:p>
    <w:p w14:paraId="51FF32BB">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Stienmetz, J., Ferrer-Rosell, B., &amp; Massimo, D. (2022). </w:t>
      </w:r>
      <w:r>
        <w:rPr>
          <w:rFonts w:eastAsia="Times New Roman" w:cs="Times New Roman"/>
          <w:i/>
          <w:iCs/>
          <w:kern w:val="0"/>
          <w:szCs w:val="24"/>
          <w:lang w:val="en-IN" w:eastAsia="en-IN"/>
          <w14:ligatures w14:val="none"/>
        </w:rPr>
        <w:t>Information and Communication Technologies in Tourism 2022</w:t>
      </w:r>
      <w:r>
        <w:rPr>
          <w:rFonts w:eastAsia="Times New Roman" w:cs="Times New Roman"/>
          <w:kern w:val="0"/>
          <w:szCs w:val="24"/>
          <w:lang w:val="en-IN" w:eastAsia="en-IN"/>
          <w14:ligatures w14:val="none"/>
        </w:rPr>
        <w:t>. https://library.oapen.org/bitstream/handle/20.500.12657/52424/978-3-030-94751-4.pdf?sequence=1#page=382</w:t>
      </w:r>
    </w:p>
    <w:p w14:paraId="464A110A">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Tuna, M., Schaaff, K., &amp; Schlippe, T. (2024). </w:t>
      </w:r>
      <w:r>
        <w:rPr>
          <w:rFonts w:eastAsia="Times New Roman" w:cs="Times New Roman"/>
          <w:i/>
          <w:iCs/>
          <w:kern w:val="0"/>
          <w:szCs w:val="24"/>
          <w:lang w:val="en-IN" w:eastAsia="en-IN"/>
          <w14:ligatures w14:val="none"/>
        </w:rPr>
        <w:t>Effects of Language- and Culture-Specific Prompting on ChatGPT</w:t>
      </w:r>
      <w:r>
        <w:rPr>
          <w:rFonts w:eastAsia="Times New Roman" w:cs="Times New Roman"/>
          <w:kern w:val="0"/>
          <w:szCs w:val="24"/>
          <w:lang w:val="en-IN" w:eastAsia="en-IN"/>
          <w14:ligatures w14:val="none"/>
        </w:rPr>
        <w:t>. 73–81. https://doi.org/10.1109/fllm63129.2024.10852463</w:t>
      </w:r>
    </w:p>
    <w:p w14:paraId="227C960F">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Voronin, A. N., &amp; Palenova, V. V. (2024). Comparative analysis of communication strategies impact on the effectiveness of interaction with an AI chatbot. </w:t>
      </w:r>
      <w:r>
        <w:rPr>
          <w:rFonts w:eastAsia="Times New Roman" w:cs="Times New Roman"/>
          <w:i/>
          <w:iCs/>
          <w:kern w:val="0"/>
          <w:szCs w:val="24"/>
          <w:lang w:val="en-IN" w:eastAsia="en-IN"/>
          <w14:ligatures w14:val="none"/>
        </w:rPr>
        <w:t>Perspectives of Science and Education</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71</w:t>
      </w:r>
      <w:r>
        <w:rPr>
          <w:rFonts w:eastAsia="Times New Roman" w:cs="Times New Roman"/>
          <w:kern w:val="0"/>
          <w:szCs w:val="24"/>
          <w:lang w:val="en-IN" w:eastAsia="en-IN"/>
          <w14:ligatures w14:val="none"/>
        </w:rPr>
        <w:t>(5), 680–693. https://doi.org/10.32744/pse.2024.5.40</w:t>
      </w:r>
    </w:p>
    <w:p w14:paraId="209586BB">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Zhang, B., Zhu, Y., Deng, J., Zheng, W., Liu, Y., Wang, C., &amp; Zeng, R. (2022). “I Am Here to Assist Your Tourism”: Predicting Continuance Intention to Use AI-based Chatbots for Tourism. Does Gender Really Matter?. </w:t>
      </w:r>
      <w:r>
        <w:rPr>
          <w:rFonts w:eastAsia="Times New Roman" w:cs="Times New Roman"/>
          <w:i/>
          <w:iCs/>
          <w:kern w:val="0"/>
          <w:szCs w:val="24"/>
          <w:lang w:val="en-IN" w:eastAsia="en-IN"/>
          <w14:ligatures w14:val="none"/>
        </w:rPr>
        <w:t>International Journal of Human–Computer Interaction</w:t>
      </w:r>
      <w:r>
        <w:rPr>
          <w:rFonts w:eastAsia="Times New Roman" w:cs="Times New Roman"/>
          <w:kern w:val="0"/>
          <w:szCs w:val="24"/>
          <w:lang w:val="en-IN" w:eastAsia="en-IN"/>
          <w14:ligatures w14:val="none"/>
        </w:rPr>
        <w:t>, 1–17. https://doi.org/10.1080/10447318.2022.2124345</w:t>
      </w:r>
    </w:p>
    <w:p w14:paraId="4A674917">
      <w:pPr>
        <w:rPr>
          <w:lang w:eastAsia="en-IN"/>
        </w:rPr>
      </w:pPr>
    </w:p>
    <w:p w14:paraId="1CDCB80C">
      <w:pPr>
        <w:rPr>
          <w:lang w:eastAsia="en-IN"/>
        </w:rPr>
      </w:pPr>
    </w:p>
    <w:p w14:paraId="32B7ED89">
      <w:pPr>
        <w:rPr>
          <w:lang w:eastAsia="en-IN"/>
        </w:rPr>
      </w:pPr>
    </w:p>
    <w:p w14:paraId="3177F29F">
      <w:pPr>
        <w:rPr>
          <w:lang w:eastAsia="en-IN"/>
        </w:rPr>
      </w:pPr>
    </w:p>
    <w:p w14:paraId="45B5DDE6">
      <w:pPr>
        <w:rPr>
          <w:lang w:eastAsia="en-IN"/>
        </w:rPr>
      </w:pPr>
    </w:p>
    <w:p w14:paraId="35277631">
      <w:pPr>
        <w:rPr>
          <w:lang w:eastAsia="en-IN"/>
        </w:rPr>
      </w:pPr>
    </w:p>
    <w:p w14:paraId="38E1AB61"/>
    <w:p w14:paraId="1311F163"/>
    <w:bookmarkEnd w:id="14"/>
    <w:p w14:paraId="2CF5A9D9">
      <w:pPr>
        <w:spacing w:after="0" w:line="240" w:lineRule="auto"/>
      </w:pPr>
      <w:bookmarkStart w:id="34" w:name="_GoBack"/>
      <w:bookmarkEnd w:id="34"/>
    </w:p>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 w:name="Times New Roman Bold">
    <w:panose1 w:val="02020503050405090304"/>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4964615"/>
      <w:docPartObj>
        <w:docPartGallery w:val="AutoText"/>
      </w:docPartObj>
    </w:sdtPr>
    <w:sdtContent>
      <w:p w14:paraId="3D71FA63">
        <w:pPr>
          <w:pStyle w:val="10"/>
          <w:jc w:val="right"/>
        </w:pPr>
        <w:r>
          <w:fldChar w:fldCharType="begin"/>
        </w:r>
        <w:r>
          <w:instrText xml:space="preserve"> PAGE   \* MERGEFORMAT </w:instrText>
        </w:r>
        <w:r>
          <w:fldChar w:fldCharType="separate"/>
        </w:r>
        <w:r>
          <w:t>2</w:t>
        </w:r>
        <w:r>
          <w:fldChar w:fldCharType="end"/>
        </w:r>
      </w:p>
    </w:sdtContent>
  </w:sdt>
  <w:p w14:paraId="05CEC1F0">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603807"/>
    <w:multiLevelType w:val="multilevel"/>
    <w:tmpl w:val="0360380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CAD789F"/>
    <w:multiLevelType w:val="multilevel"/>
    <w:tmpl w:val="0CAD789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DB638C2"/>
    <w:multiLevelType w:val="multilevel"/>
    <w:tmpl w:val="0DB638C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18D67BB"/>
    <w:multiLevelType w:val="multilevel"/>
    <w:tmpl w:val="218D67B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470586A"/>
    <w:multiLevelType w:val="multilevel"/>
    <w:tmpl w:val="3470586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9CE74B2"/>
    <w:multiLevelType w:val="multilevel"/>
    <w:tmpl w:val="59CE74B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6FAE4509"/>
    <w:multiLevelType w:val="multilevel"/>
    <w:tmpl w:val="6FAE450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5"/>
  </w:num>
  <w:num w:numId="2">
    <w:abstractNumId w:val="1"/>
  </w:num>
  <w:num w:numId="3">
    <w:abstractNumId w:val="2"/>
  </w:num>
  <w:num w:numId="4">
    <w:abstractNumId w:val="0"/>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BwJTQ2NzU0sDS0MzYyUdpeDU4uLM/DyQAiPLWgCvRxKyLQAAAA=="/>
  </w:docVars>
  <w:rsids>
    <w:rsidRoot w:val="00656289"/>
    <w:rsid w:val="00000AD2"/>
    <w:rsid w:val="000116DA"/>
    <w:rsid w:val="00020BCB"/>
    <w:rsid w:val="00026462"/>
    <w:rsid w:val="0003144E"/>
    <w:rsid w:val="00032111"/>
    <w:rsid w:val="0003506B"/>
    <w:rsid w:val="000423FA"/>
    <w:rsid w:val="00046B02"/>
    <w:rsid w:val="00050335"/>
    <w:rsid w:val="000503B8"/>
    <w:rsid w:val="0005220D"/>
    <w:rsid w:val="00053468"/>
    <w:rsid w:val="00053D5D"/>
    <w:rsid w:val="00054892"/>
    <w:rsid w:val="000573AB"/>
    <w:rsid w:val="00057C68"/>
    <w:rsid w:val="00063811"/>
    <w:rsid w:val="00064371"/>
    <w:rsid w:val="00066F1A"/>
    <w:rsid w:val="00067282"/>
    <w:rsid w:val="00081D8E"/>
    <w:rsid w:val="000844F7"/>
    <w:rsid w:val="0009076C"/>
    <w:rsid w:val="0009225E"/>
    <w:rsid w:val="00094C03"/>
    <w:rsid w:val="00096AEB"/>
    <w:rsid w:val="0009720A"/>
    <w:rsid w:val="000B19A1"/>
    <w:rsid w:val="000B63F2"/>
    <w:rsid w:val="000B6A22"/>
    <w:rsid w:val="000B76EE"/>
    <w:rsid w:val="000C329D"/>
    <w:rsid w:val="000E1257"/>
    <w:rsid w:val="000F06E3"/>
    <w:rsid w:val="00100317"/>
    <w:rsid w:val="001108A9"/>
    <w:rsid w:val="00112437"/>
    <w:rsid w:val="00114F7D"/>
    <w:rsid w:val="00123E7C"/>
    <w:rsid w:val="00124D30"/>
    <w:rsid w:val="001331FF"/>
    <w:rsid w:val="00133D70"/>
    <w:rsid w:val="00135714"/>
    <w:rsid w:val="00136141"/>
    <w:rsid w:val="0014140F"/>
    <w:rsid w:val="00141FD5"/>
    <w:rsid w:val="001451ED"/>
    <w:rsid w:val="001457DD"/>
    <w:rsid w:val="00150897"/>
    <w:rsid w:val="00151DAA"/>
    <w:rsid w:val="001540DF"/>
    <w:rsid w:val="0015582B"/>
    <w:rsid w:val="0016049B"/>
    <w:rsid w:val="00163646"/>
    <w:rsid w:val="0016473E"/>
    <w:rsid w:val="00165B1D"/>
    <w:rsid w:val="00165C02"/>
    <w:rsid w:val="00165F3B"/>
    <w:rsid w:val="00180AE3"/>
    <w:rsid w:val="00185511"/>
    <w:rsid w:val="001873F8"/>
    <w:rsid w:val="00196C5F"/>
    <w:rsid w:val="001A1E95"/>
    <w:rsid w:val="001A313A"/>
    <w:rsid w:val="001B055F"/>
    <w:rsid w:val="001C09E3"/>
    <w:rsid w:val="001C1479"/>
    <w:rsid w:val="001C4ADD"/>
    <w:rsid w:val="001C563B"/>
    <w:rsid w:val="001E4B00"/>
    <w:rsid w:val="001E7F66"/>
    <w:rsid w:val="001F22AB"/>
    <w:rsid w:val="001F53F0"/>
    <w:rsid w:val="001F55E5"/>
    <w:rsid w:val="001F73D5"/>
    <w:rsid w:val="00200011"/>
    <w:rsid w:val="00203906"/>
    <w:rsid w:val="00215877"/>
    <w:rsid w:val="002237CC"/>
    <w:rsid w:val="00224607"/>
    <w:rsid w:val="00226182"/>
    <w:rsid w:val="00235703"/>
    <w:rsid w:val="00237AAD"/>
    <w:rsid w:val="00243A85"/>
    <w:rsid w:val="00251A37"/>
    <w:rsid w:val="002574A5"/>
    <w:rsid w:val="00261357"/>
    <w:rsid w:val="00285D10"/>
    <w:rsid w:val="00287AFD"/>
    <w:rsid w:val="00290BED"/>
    <w:rsid w:val="00291267"/>
    <w:rsid w:val="002A009D"/>
    <w:rsid w:val="002A6336"/>
    <w:rsid w:val="002A79E5"/>
    <w:rsid w:val="002B1914"/>
    <w:rsid w:val="002C2129"/>
    <w:rsid w:val="002C4B11"/>
    <w:rsid w:val="002C60CC"/>
    <w:rsid w:val="002D1061"/>
    <w:rsid w:val="002D3434"/>
    <w:rsid w:val="002D45CB"/>
    <w:rsid w:val="002D480E"/>
    <w:rsid w:val="002E235B"/>
    <w:rsid w:val="002E56BA"/>
    <w:rsid w:val="002F45D8"/>
    <w:rsid w:val="002F61F0"/>
    <w:rsid w:val="00300F22"/>
    <w:rsid w:val="00311220"/>
    <w:rsid w:val="00312310"/>
    <w:rsid w:val="00324C11"/>
    <w:rsid w:val="003323BE"/>
    <w:rsid w:val="003327CD"/>
    <w:rsid w:val="00347A92"/>
    <w:rsid w:val="0035130E"/>
    <w:rsid w:val="00354332"/>
    <w:rsid w:val="003549C2"/>
    <w:rsid w:val="00356F98"/>
    <w:rsid w:val="00362426"/>
    <w:rsid w:val="00366597"/>
    <w:rsid w:val="00371995"/>
    <w:rsid w:val="00376C6E"/>
    <w:rsid w:val="003904A9"/>
    <w:rsid w:val="00392877"/>
    <w:rsid w:val="003A1914"/>
    <w:rsid w:val="003B2040"/>
    <w:rsid w:val="003B7E11"/>
    <w:rsid w:val="003C289C"/>
    <w:rsid w:val="003D610D"/>
    <w:rsid w:val="003E4190"/>
    <w:rsid w:val="003E651B"/>
    <w:rsid w:val="003F49EF"/>
    <w:rsid w:val="003F56FB"/>
    <w:rsid w:val="003F6195"/>
    <w:rsid w:val="0040087A"/>
    <w:rsid w:val="00403992"/>
    <w:rsid w:val="00403A2A"/>
    <w:rsid w:val="00405CAD"/>
    <w:rsid w:val="00412CD7"/>
    <w:rsid w:val="004208B0"/>
    <w:rsid w:val="00422A23"/>
    <w:rsid w:val="004250F6"/>
    <w:rsid w:val="0042629F"/>
    <w:rsid w:val="0043238E"/>
    <w:rsid w:val="004372C3"/>
    <w:rsid w:val="0044062B"/>
    <w:rsid w:val="00441882"/>
    <w:rsid w:val="00444499"/>
    <w:rsid w:val="00445B9A"/>
    <w:rsid w:val="004472E9"/>
    <w:rsid w:val="004515FE"/>
    <w:rsid w:val="004538C9"/>
    <w:rsid w:val="004616F8"/>
    <w:rsid w:val="00462892"/>
    <w:rsid w:val="00467CAC"/>
    <w:rsid w:val="004750E7"/>
    <w:rsid w:val="00487523"/>
    <w:rsid w:val="00491B49"/>
    <w:rsid w:val="00497233"/>
    <w:rsid w:val="004974F0"/>
    <w:rsid w:val="00497FEE"/>
    <w:rsid w:val="004A5856"/>
    <w:rsid w:val="004B27F6"/>
    <w:rsid w:val="004B3D40"/>
    <w:rsid w:val="004B4502"/>
    <w:rsid w:val="004C2E62"/>
    <w:rsid w:val="004D1073"/>
    <w:rsid w:val="004E19F5"/>
    <w:rsid w:val="004E2DAB"/>
    <w:rsid w:val="004E4753"/>
    <w:rsid w:val="004F18EF"/>
    <w:rsid w:val="004F7313"/>
    <w:rsid w:val="005019A9"/>
    <w:rsid w:val="00514D34"/>
    <w:rsid w:val="005276F8"/>
    <w:rsid w:val="00546D87"/>
    <w:rsid w:val="00547A97"/>
    <w:rsid w:val="005529B6"/>
    <w:rsid w:val="00560896"/>
    <w:rsid w:val="005612C3"/>
    <w:rsid w:val="0056212C"/>
    <w:rsid w:val="005641F8"/>
    <w:rsid w:val="005658A4"/>
    <w:rsid w:val="005665E0"/>
    <w:rsid w:val="0056690B"/>
    <w:rsid w:val="005746B6"/>
    <w:rsid w:val="00575560"/>
    <w:rsid w:val="00584343"/>
    <w:rsid w:val="00593EE1"/>
    <w:rsid w:val="005B1576"/>
    <w:rsid w:val="005B695F"/>
    <w:rsid w:val="005C56CA"/>
    <w:rsid w:val="005C5C68"/>
    <w:rsid w:val="005C6B17"/>
    <w:rsid w:val="005D375B"/>
    <w:rsid w:val="005D4C6F"/>
    <w:rsid w:val="005D6B4A"/>
    <w:rsid w:val="005D6DEB"/>
    <w:rsid w:val="005E02A2"/>
    <w:rsid w:val="005F26B9"/>
    <w:rsid w:val="005F4841"/>
    <w:rsid w:val="0060020B"/>
    <w:rsid w:val="006054DC"/>
    <w:rsid w:val="00607DED"/>
    <w:rsid w:val="00611869"/>
    <w:rsid w:val="0062462B"/>
    <w:rsid w:val="006318D6"/>
    <w:rsid w:val="00632BF3"/>
    <w:rsid w:val="00642837"/>
    <w:rsid w:val="006514C9"/>
    <w:rsid w:val="00656289"/>
    <w:rsid w:val="006675C0"/>
    <w:rsid w:val="0067170D"/>
    <w:rsid w:val="00676ED1"/>
    <w:rsid w:val="00684B76"/>
    <w:rsid w:val="00684D0A"/>
    <w:rsid w:val="0069574B"/>
    <w:rsid w:val="00695AF4"/>
    <w:rsid w:val="006A1D29"/>
    <w:rsid w:val="006A2369"/>
    <w:rsid w:val="006A5781"/>
    <w:rsid w:val="006B7DAF"/>
    <w:rsid w:val="006C0542"/>
    <w:rsid w:val="006C1435"/>
    <w:rsid w:val="006C1805"/>
    <w:rsid w:val="006D6EA9"/>
    <w:rsid w:val="006E1207"/>
    <w:rsid w:val="006E4CCE"/>
    <w:rsid w:val="006E50C8"/>
    <w:rsid w:val="006E5F5A"/>
    <w:rsid w:val="006E602D"/>
    <w:rsid w:val="006F2D8F"/>
    <w:rsid w:val="007032F2"/>
    <w:rsid w:val="00704D8B"/>
    <w:rsid w:val="00706E00"/>
    <w:rsid w:val="007150C2"/>
    <w:rsid w:val="007241B8"/>
    <w:rsid w:val="007351A4"/>
    <w:rsid w:val="00735D8C"/>
    <w:rsid w:val="00736341"/>
    <w:rsid w:val="007410B7"/>
    <w:rsid w:val="00743596"/>
    <w:rsid w:val="0074440C"/>
    <w:rsid w:val="00752057"/>
    <w:rsid w:val="00752232"/>
    <w:rsid w:val="0075371E"/>
    <w:rsid w:val="00756203"/>
    <w:rsid w:val="00764486"/>
    <w:rsid w:val="0076481A"/>
    <w:rsid w:val="00767F40"/>
    <w:rsid w:val="0078046A"/>
    <w:rsid w:val="00790B5D"/>
    <w:rsid w:val="007932C4"/>
    <w:rsid w:val="007965CB"/>
    <w:rsid w:val="007A3BB8"/>
    <w:rsid w:val="007A5EF9"/>
    <w:rsid w:val="007A72A5"/>
    <w:rsid w:val="007B25CD"/>
    <w:rsid w:val="007B387B"/>
    <w:rsid w:val="007B5229"/>
    <w:rsid w:val="007C1F13"/>
    <w:rsid w:val="007D122C"/>
    <w:rsid w:val="007D1DC7"/>
    <w:rsid w:val="007D5362"/>
    <w:rsid w:val="007D789E"/>
    <w:rsid w:val="007E01ED"/>
    <w:rsid w:val="007F415F"/>
    <w:rsid w:val="007F4231"/>
    <w:rsid w:val="007F5FD4"/>
    <w:rsid w:val="007F7D0D"/>
    <w:rsid w:val="00800273"/>
    <w:rsid w:val="008038C7"/>
    <w:rsid w:val="0081320F"/>
    <w:rsid w:val="00816CB8"/>
    <w:rsid w:val="0082056C"/>
    <w:rsid w:val="0082089E"/>
    <w:rsid w:val="00822C37"/>
    <w:rsid w:val="00822DBA"/>
    <w:rsid w:val="00823AE2"/>
    <w:rsid w:val="008247E2"/>
    <w:rsid w:val="0082605B"/>
    <w:rsid w:val="00827F50"/>
    <w:rsid w:val="00832D97"/>
    <w:rsid w:val="00840357"/>
    <w:rsid w:val="008469AF"/>
    <w:rsid w:val="00853579"/>
    <w:rsid w:val="00857BA7"/>
    <w:rsid w:val="00862188"/>
    <w:rsid w:val="00867DA7"/>
    <w:rsid w:val="008724E6"/>
    <w:rsid w:val="00876B78"/>
    <w:rsid w:val="00885FF5"/>
    <w:rsid w:val="008913D6"/>
    <w:rsid w:val="008929D8"/>
    <w:rsid w:val="008947F3"/>
    <w:rsid w:val="008A21BD"/>
    <w:rsid w:val="008A2733"/>
    <w:rsid w:val="008A399E"/>
    <w:rsid w:val="008A4AAA"/>
    <w:rsid w:val="008A5A0E"/>
    <w:rsid w:val="008A61D4"/>
    <w:rsid w:val="008A6EEF"/>
    <w:rsid w:val="008A7593"/>
    <w:rsid w:val="008B74F8"/>
    <w:rsid w:val="008B76B2"/>
    <w:rsid w:val="008C210C"/>
    <w:rsid w:val="008D083B"/>
    <w:rsid w:val="008D1127"/>
    <w:rsid w:val="008E1E2A"/>
    <w:rsid w:val="008E59F8"/>
    <w:rsid w:val="008E6D16"/>
    <w:rsid w:val="008F09D9"/>
    <w:rsid w:val="008F3873"/>
    <w:rsid w:val="008F3BE0"/>
    <w:rsid w:val="008F3CE2"/>
    <w:rsid w:val="008F4A28"/>
    <w:rsid w:val="0090170F"/>
    <w:rsid w:val="009170C7"/>
    <w:rsid w:val="00923199"/>
    <w:rsid w:val="00923D62"/>
    <w:rsid w:val="00926F3F"/>
    <w:rsid w:val="009371B5"/>
    <w:rsid w:val="00942F4E"/>
    <w:rsid w:val="00943E19"/>
    <w:rsid w:val="00961B5F"/>
    <w:rsid w:val="00961FA4"/>
    <w:rsid w:val="009621B7"/>
    <w:rsid w:val="00973044"/>
    <w:rsid w:val="00976344"/>
    <w:rsid w:val="0097688B"/>
    <w:rsid w:val="00981C3F"/>
    <w:rsid w:val="009846F8"/>
    <w:rsid w:val="0098470E"/>
    <w:rsid w:val="00985C48"/>
    <w:rsid w:val="009869AF"/>
    <w:rsid w:val="00990B2C"/>
    <w:rsid w:val="009957DE"/>
    <w:rsid w:val="009A027B"/>
    <w:rsid w:val="009A12A1"/>
    <w:rsid w:val="009A3E4C"/>
    <w:rsid w:val="009A57FA"/>
    <w:rsid w:val="009B4ACA"/>
    <w:rsid w:val="009C10F2"/>
    <w:rsid w:val="009C1682"/>
    <w:rsid w:val="009C17BD"/>
    <w:rsid w:val="009C2919"/>
    <w:rsid w:val="009C3B6C"/>
    <w:rsid w:val="009C675A"/>
    <w:rsid w:val="009C67A3"/>
    <w:rsid w:val="009E17DE"/>
    <w:rsid w:val="009E773A"/>
    <w:rsid w:val="009F1346"/>
    <w:rsid w:val="00A03C7C"/>
    <w:rsid w:val="00A05911"/>
    <w:rsid w:val="00A10AF8"/>
    <w:rsid w:val="00A137DB"/>
    <w:rsid w:val="00A145CB"/>
    <w:rsid w:val="00A2479D"/>
    <w:rsid w:val="00A24B72"/>
    <w:rsid w:val="00A33A11"/>
    <w:rsid w:val="00A3516F"/>
    <w:rsid w:val="00A36E0E"/>
    <w:rsid w:val="00A40164"/>
    <w:rsid w:val="00A40C21"/>
    <w:rsid w:val="00A413BA"/>
    <w:rsid w:val="00A45105"/>
    <w:rsid w:val="00A52926"/>
    <w:rsid w:val="00A5765F"/>
    <w:rsid w:val="00A57C82"/>
    <w:rsid w:val="00A625DD"/>
    <w:rsid w:val="00A62E04"/>
    <w:rsid w:val="00A71239"/>
    <w:rsid w:val="00A81149"/>
    <w:rsid w:val="00A81B43"/>
    <w:rsid w:val="00A834A9"/>
    <w:rsid w:val="00AA1BC6"/>
    <w:rsid w:val="00AA3816"/>
    <w:rsid w:val="00AA5F6F"/>
    <w:rsid w:val="00AA662E"/>
    <w:rsid w:val="00AA69C9"/>
    <w:rsid w:val="00AB16E5"/>
    <w:rsid w:val="00AB29A4"/>
    <w:rsid w:val="00AD0D63"/>
    <w:rsid w:val="00AD0E4E"/>
    <w:rsid w:val="00AD306B"/>
    <w:rsid w:val="00AD308B"/>
    <w:rsid w:val="00AE415C"/>
    <w:rsid w:val="00AF1DF7"/>
    <w:rsid w:val="00AF3777"/>
    <w:rsid w:val="00AF6342"/>
    <w:rsid w:val="00AF755C"/>
    <w:rsid w:val="00B03A60"/>
    <w:rsid w:val="00B170D8"/>
    <w:rsid w:val="00B30E03"/>
    <w:rsid w:val="00B33BEC"/>
    <w:rsid w:val="00B43F90"/>
    <w:rsid w:val="00B44950"/>
    <w:rsid w:val="00B536B4"/>
    <w:rsid w:val="00B53E02"/>
    <w:rsid w:val="00B55BF7"/>
    <w:rsid w:val="00B57AB5"/>
    <w:rsid w:val="00B635C8"/>
    <w:rsid w:val="00B72CB0"/>
    <w:rsid w:val="00B860C1"/>
    <w:rsid w:val="00B86E1B"/>
    <w:rsid w:val="00B86FB8"/>
    <w:rsid w:val="00BA5EE5"/>
    <w:rsid w:val="00BB0BB5"/>
    <w:rsid w:val="00BB31DB"/>
    <w:rsid w:val="00BB4187"/>
    <w:rsid w:val="00BC1280"/>
    <w:rsid w:val="00BC737C"/>
    <w:rsid w:val="00BD0698"/>
    <w:rsid w:val="00BD0BD1"/>
    <w:rsid w:val="00BE0FF3"/>
    <w:rsid w:val="00BE680D"/>
    <w:rsid w:val="00BF3B25"/>
    <w:rsid w:val="00BF42B9"/>
    <w:rsid w:val="00C05D7E"/>
    <w:rsid w:val="00C14E59"/>
    <w:rsid w:val="00C16F4B"/>
    <w:rsid w:val="00C1733F"/>
    <w:rsid w:val="00C20509"/>
    <w:rsid w:val="00C278AB"/>
    <w:rsid w:val="00C34FDD"/>
    <w:rsid w:val="00C36010"/>
    <w:rsid w:val="00C408BD"/>
    <w:rsid w:val="00C418CD"/>
    <w:rsid w:val="00C42EEE"/>
    <w:rsid w:val="00C557FC"/>
    <w:rsid w:val="00C60A38"/>
    <w:rsid w:val="00C63B30"/>
    <w:rsid w:val="00C63C6E"/>
    <w:rsid w:val="00C666EE"/>
    <w:rsid w:val="00C74549"/>
    <w:rsid w:val="00C92B7D"/>
    <w:rsid w:val="00C92C71"/>
    <w:rsid w:val="00C95BE8"/>
    <w:rsid w:val="00CA0A34"/>
    <w:rsid w:val="00CA15FE"/>
    <w:rsid w:val="00CA46D9"/>
    <w:rsid w:val="00CA4A5C"/>
    <w:rsid w:val="00CB2878"/>
    <w:rsid w:val="00CB46AF"/>
    <w:rsid w:val="00CB61C8"/>
    <w:rsid w:val="00CC3265"/>
    <w:rsid w:val="00CC356C"/>
    <w:rsid w:val="00CD0F8B"/>
    <w:rsid w:val="00CD33DB"/>
    <w:rsid w:val="00CD3995"/>
    <w:rsid w:val="00CD4FE2"/>
    <w:rsid w:val="00CD51DE"/>
    <w:rsid w:val="00CE21D9"/>
    <w:rsid w:val="00CE3A39"/>
    <w:rsid w:val="00CF6628"/>
    <w:rsid w:val="00CF6AB6"/>
    <w:rsid w:val="00D1746D"/>
    <w:rsid w:val="00D203F2"/>
    <w:rsid w:val="00D2399E"/>
    <w:rsid w:val="00D245FF"/>
    <w:rsid w:val="00D26432"/>
    <w:rsid w:val="00D30A37"/>
    <w:rsid w:val="00D3696B"/>
    <w:rsid w:val="00D41B59"/>
    <w:rsid w:val="00D42BF9"/>
    <w:rsid w:val="00D444DD"/>
    <w:rsid w:val="00D4707B"/>
    <w:rsid w:val="00D500D2"/>
    <w:rsid w:val="00D5397C"/>
    <w:rsid w:val="00D541EB"/>
    <w:rsid w:val="00D6157F"/>
    <w:rsid w:val="00D63C34"/>
    <w:rsid w:val="00D64EF5"/>
    <w:rsid w:val="00D6585C"/>
    <w:rsid w:val="00D66AFB"/>
    <w:rsid w:val="00D71761"/>
    <w:rsid w:val="00D7432F"/>
    <w:rsid w:val="00D80598"/>
    <w:rsid w:val="00D810A5"/>
    <w:rsid w:val="00D8273C"/>
    <w:rsid w:val="00D84DC8"/>
    <w:rsid w:val="00DA0087"/>
    <w:rsid w:val="00DA0F41"/>
    <w:rsid w:val="00DA3253"/>
    <w:rsid w:val="00DA7A6B"/>
    <w:rsid w:val="00DB16CE"/>
    <w:rsid w:val="00DC2029"/>
    <w:rsid w:val="00DD16E7"/>
    <w:rsid w:val="00DD4169"/>
    <w:rsid w:val="00DD4A95"/>
    <w:rsid w:val="00DE16E7"/>
    <w:rsid w:val="00DE194B"/>
    <w:rsid w:val="00DE3A3A"/>
    <w:rsid w:val="00DF20DD"/>
    <w:rsid w:val="00DF2A5D"/>
    <w:rsid w:val="00DF7BFE"/>
    <w:rsid w:val="00E01277"/>
    <w:rsid w:val="00E1739E"/>
    <w:rsid w:val="00E22B8D"/>
    <w:rsid w:val="00E23B55"/>
    <w:rsid w:val="00E23E0C"/>
    <w:rsid w:val="00E25059"/>
    <w:rsid w:val="00E31CBD"/>
    <w:rsid w:val="00E32647"/>
    <w:rsid w:val="00E3558D"/>
    <w:rsid w:val="00E356D2"/>
    <w:rsid w:val="00E36B54"/>
    <w:rsid w:val="00E36EA8"/>
    <w:rsid w:val="00E37994"/>
    <w:rsid w:val="00E37F99"/>
    <w:rsid w:val="00E419C5"/>
    <w:rsid w:val="00E5655A"/>
    <w:rsid w:val="00E6162F"/>
    <w:rsid w:val="00E62F8B"/>
    <w:rsid w:val="00E63B75"/>
    <w:rsid w:val="00E83F81"/>
    <w:rsid w:val="00E8584D"/>
    <w:rsid w:val="00E85990"/>
    <w:rsid w:val="00E8757C"/>
    <w:rsid w:val="00EA08BD"/>
    <w:rsid w:val="00EA2697"/>
    <w:rsid w:val="00EA3512"/>
    <w:rsid w:val="00EA54FE"/>
    <w:rsid w:val="00EB1067"/>
    <w:rsid w:val="00EB33ED"/>
    <w:rsid w:val="00EC08A5"/>
    <w:rsid w:val="00EC421F"/>
    <w:rsid w:val="00EC72E2"/>
    <w:rsid w:val="00EC781C"/>
    <w:rsid w:val="00ED7BC0"/>
    <w:rsid w:val="00EE5B6B"/>
    <w:rsid w:val="00EF496C"/>
    <w:rsid w:val="00F000E2"/>
    <w:rsid w:val="00F00434"/>
    <w:rsid w:val="00F04778"/>
    <w:rsid w:val="00F060CC"/>
    <w:rsid w:val="00F15598"/>
    <w:rsid w:val="00F32670"/>
    <w:rsid w:val="00F3339A"/>
    <w:rsid w:val="00F3709A"/>
    <w:rsid w:val="00F4026D"/>
    <w:rsid w:val="00F43933"/>
    <w:rsid w:val="00F60408"/>
    <w:rsid w:val="00F61129"/>
    <w:rsid w:val="00F6555B"/>
    <w:rsid w:val="00F70822"/>
    <w:rsid w:val="00F70907"/>
    <w:rsid w:val="00F733DD"/>
    <w:rsid w:val="00F73E52"/>
    <w:rsid w:val="00F82B2F"/>
    <w:rsid w:val="00F942B3"/>
    <w:rsid w:val="00F960B4"/>
    <w:rsid w:val="00FA10D5"/>
    <w:rsid w:val="00FB5129"/>
    <w:rsid w:val="00FB6280"/>
    <w:rsid w:val="00FC072B"/>
    <w:rsid w:val="00FC1361"/>
    <w:rsid w:val="00FD21E4"/>
    <w:rsid w:val="00FE0695"/>
    <w:rsid w:val="00FE16CA"/>
    <w:rsid w:val="00FE6DFD"/>
    <w:rsid w:val="00FF5BBB"/>
    <w:rsid w:val="EE73E94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kern w:val="2"/>
      <w:sz w:val="24"/>
      <w:szCs w:val="22"/>
      <w:lang w:val="en-AU" w:eastAsia="en-US" w:bidi="ar-SA"/>
      <w14:ligatures w14:val="standardContextual"/>
    </w:rPr>
  </w:style>
  <w:style w:type="paragraph" w:styleId="2">
    <w:name w:val="heading 1"/>
    <w:basedOn w:val="1"/>
    <w:next w:val="1"/>
    <w:link w:val="18"/>
    <w:qFormat/>
    <w:uiPriority w:val="9"/>
    <w:pPr>
      <w:keepNext/>
      <w:keepLines/>
      <w:spacing w:before="240" w:after="0"/>
      <w:outlineLvl w:val="0"/>
    </w:pPr>
    <w:rPr>
      <w:rFonts w:eastAsiaTheme="majorEastAsia" w:cstheme="majorBidi"/>
      <w:b/>
      <w:szCs w:val="32"/>
    </w:rPr>
  </w:style>
  <w:style w:type="paragraph" w:styleId="3">
    <w:name w:val="heading 2"/>
    <w:basedOn w:val="1"/>
    <w:next w:val="1"/>
    <w:link w:val="20"/>
    <w:unhideWhenUsed/>
    <w:qFormat/>
    <w:uiPriority w:val="9"/>
    <w:pPr>
      <w:keepNext/>
      <w:keepLines/>
      <w:spacing w:before="40" w:after="0"/>
      <w:outlineLvl w:val="1"/>
    </w:pPr>
    <w:rPr>
      <w:rFonts w:eastAsiaTheme="majorEastAsia" w:cstheme="majorBidi"/>
      <w:b/>
      <w:szCs w:val="26"/>
    </w:rPr>
  </w:style>
  <w:style w:type="paragraph" w:styleId="4">
    <w:name w:val="heading 3"/>
    <w:basedOn w:val="1"/>
    <w:next w:val="1"/>
    <w:link w:val="25"/>
    <w:unhideWhenUsed/>
    <w:qFormat/>
    <w:uiPriority w:val="9"/>
    <w:pPr>
      <w:keepNext/>
      <w:keepLines/>
      <w:spacing w:before="40" w:after="0"/>
      <w:outlineLvl w:val="2"/>
    </w:pPr>
    <w:rPr>
      <w:rFonts w:eastAsiaTheme="majorEastAsia" w:cstheme="majorBidi"/>
      <w:b/>
      <w:i/>
      <w:szCs w:val="24"/>
    </w:rPr>
  </w:style>
  <w:style w:type="paragraph" w:styleId="5">
    <w:name w:val="heading 4"/>
    <w:basedOn w:val="1"/>
    <w:next w:val="1"/>
    <w:link w:val="26"/>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character" w:styleId="8">
    <w:name w:val="Emphasis"/>
    <w:basedOn w:val="6"/>
    <w:qFormat/>
    <w:uiPriority w:val="20"/>
    <w:rPr>
      <w:i/>
      <w:iCs/>
    </w:rPr>
  </w:style>
  <w:style w:type="paragraph" w:styleId="9">
    <w:name w:val="footer"/>
    <w:basedOn w:val="1"/>
    <w:link w:val="28"/>
    <w:unhideWhenUsed/>
    <w:uiPriority w:val="99"/>
    <w:pPr>
      <w:tabs>
        <w:tab w:val="center" w:pos="4513"/>
        <w:tab w:val="right" w:pos="9026"/>
      </w:tabs>
      <w:spacing w:after="0" w:line="240" w:lineRule="auto"/>
    </w:pPr>
  </w:style>
  <w:style w:type="paragraph" w:styleId="10">
    <w:name w:val="header"/>
    <w:basedOn w:val="1"/>
    <w:link w:val="27"/>
    <w:unhideWhenUsed/>
    <w:uiPriority w:val="99"/>
    <w:pPr>
      <w:tabs>
        <w:tab w:val="center" w:pos="4513"/>
        <w:tab w:val="right" w:pos="9026"/>
      </w:tabs>
      <w:spacing w:after="0" w:line="240" w:lineRule="auto"/>
    </w:pPr>
  </w:style>
  <w:style w:type="character" w:styleId="11">
    <w:name w:val="Hyperlink"/>
    <w:basedOn w:val="6"/>
    <w:unhideWhenUsed/>
    <w:uiPriority w:val="99"/>
    <w:rPr>
      <w:color w:val="0563C1" w:themeColor="hyperlink"/>
      <w:u w:val="single"/>
      <w14:textFill>
        <w14:solidFill>
          <w14:schemeClr w14:val="hlink"/>
        </w14:solidFill>
      </w14:textFill>
    </w:rPr>
  </w:style>
  <w:style w:type="paragraph" w:styleId="12">
    <w:name w:val="Normal (Web)"/>
    <w:basedOn w:val="1"/>
    <w:unhideWhenUsed/>
    <w:uiPriority w:val="99"/>
    <w:pPr>
      <w:spacing w:before="100" w:beforeAutospacing="1" w:after="100" w:afterAutospacing="1" w:line="240" w:lineRule="auto"/>
    </w:pPr>
    <w:rPr>
      <w:rFonts w:eastAsia="Times New Roman" w:cs="Times New Roman"/>
      <w:kern w:val="0"/>
      <w:szCs w:val="24"/>
      <w:lang w:val="en-IN" w:eastAsia="en-IN"/>
      <w14:ligatures w14:val="none"/>
    </w:rPr>
  </w:style>
  <w:style w:type="character" w:styleId="13">
    <w:name w:val="Strong"/>
    <w:basedOn w:val="6"/>
    <w:qFormat/>
    <w:uiPriority w:val="22"/>
    <w:rPr>
      <w:b/>
      <w:bCs/>
    </w:rPr>
  </w:style>
  <w:style w:type="table" w:styleId="14">
    <w:name w:val="Table Grid"/>
    <w:basedOn w:val="7"/>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oc 1"/>
    <w:basedOn w:val="1"/>
    <w:next w:val="1"/>
    <w:autoRedefine/>
    <w:unhideWhenUsed/>
    <w:uiPriority w:val="39"/>
    <w:pPr>
      <w:spacing w:after="100"/>
    </w:pPr>
  </w:style>
  <w:style w:type="paragraph" w:styleId="16">
    <w:name w:val="toc 2"/>
    <w:basedOn w:val="1"/>
    <w:next w:val="1"/>
    <w:autoRedefine/>
    <w:unhideWhenUsed/>
    <w:uiPriority w:val="39"/>
    <w:pPr>
      <w:spacing w:after="100"/>
      <w:ind w:left="240"/>
    </w:pPr>
  </w:style>
  <w:style w:type="paragraph" w:styleId="17">
    <w:name w:val="toc 3"/>
    <w:basedOn w:val="1"/>
    <w:next w:val="1"/>
    <w:autoRedefine/>
    <w:unhideWhenUsed/>
    <w:uiPriority w:val="39"/>
    <w:pPr>
      <w:spacing w:after="100"/>
      <w:ind w:left="480"/>
    </w:pPr>
  </w:style>
  <w:style w:type="character" w:customStyle="1" w:styleId="18">
    <w:name w:val="Heading 1 Char"/>
    <w:basedOn w:val="6"/>
    <w:link w:val="2"/>
    <w:uiPriority w:val="9"/>
    <w:rPr>
      <w:rFonts w:ascii="Times New Roman" w:hAnsi="Times New Roman" w:eastAsiaTheme="majorEastAsia" w:cstheme="majorBidi"/>
      <w:b/>
      <w:sz w:val="24"/>
      <w:szCs w:val="32"/>
      <w:lang w:val="en-AU"/>
    </w:rPr>
  </w:style>
  <w:style w:type="character" w:customStyle="1" w:styleId="19">
    <w:name w:val="url"/>
    <w:basedOn w:val="6"/>
    <w:uiPriority w:val="0"/>
  </w:style>
  <w:style w:type="character" w:customStyle="1" w:styleId="20">
    <w:name w:val="Heading 2 Char"/>
    <w:basedOn w:val="6"/>
    <w:link w:val="3"/>
    <w:uiPriority w:val="9"/>
    <w:rPr>
      <w:rFonts w:ascii="Times New Roman" w:hAnsi="Times New Roman" w:eastAsiaTheme="majorEastAsia" w:cstheme="majorBidi"/>
      <w:b/>
      <w:sz w:val="24"/>
      <w:szCs w:val="26"/>
      <w:lang w:val="en-AU"/>
    </w:rPr>
  </w:style>
  <w:style w:type="paragraph" w:customStyle="1" w:styleId="21">
    <w:name w:val="TOC Heading"/>
    <w:basedOn w:val="2"/>
    <w:next w:val="1"/>
    <w:unhideWhenUsed/>
    <w:qFormat/>
    <w:uiPriority w:val="39"/>
    <w:pPr>
      <w:spacing w:line="259" w:lineRule="auto"/>
      <w:jc w:val="left"/>
      <w:outlineLvl w:val="9"/>
    </w:pPr>
    <w:rPr>
      <w:rFonts w:asciiTheme="majorHAnsi" w:hAnsiTheme="majorHAnsi"/>
      <w:b w:val="0"/>
      <w:color w:val="2F5597" w:themeColor="accent1" w:themeShade="BF"/>
      <w:kern w:val="0"/>
      <w:sz w:val="32"/>
      <w:lang w:val="en-US"/>
      <w14:ligatures w14:val="none"/>
    </w:rPr>
  </w:style>
  <w:style w:type="table" w:customStyle="1" w:styleId="22">
    <w:name w:val="Plain Table 1"/>
    <w:basedOn w:val="7"/>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paragraph" w:styleId="23">
    <w:name w:val="List Paragraph"/>
    <w:basedOn w:val="1"/>
    <w:qFormat/>
    <w:uiPriority w:val="34"/>
    <w:pPr>
      <w:ind w:left="720"/>
      <w:contextualSpacing/>
    </w:pPr>
  </w:style>
  <w:style w:type="character" w:customStyle="1" w:styleId="24">
    <w:name w:val="Unresolved Mention"/>
    <w:basedOn w:val="6"/>
    <w:semiHidden/>
    <w:unhideWhenUsed/>
    <w:uiPriority w:val="99"/>
    <w:rPr>
      <w:color w:val="605E5C"/>
      <w:shd w:val="clear" w:color="auto" w:fill="E1DFDD"/>
    </w:rPr>
  </w:style>
  <w:style w:type="character" w:customStyle="1" w:styleId="25">
    <w:name w:val="Heading 3 Char"/>
    <w:basedOn w:val="6"/>
    <w:link w:val="4"/>
    <w:uiPriority w:val="9"/>
    <w:rPr>
      <w:rFonts w:ascii="Times New Roman" w:hAnsi="Times New Roman" w:eastAsiaTheme="majorEastAsia" w:cstheme="majorBidi"/>
      <w:b/>
      <w:i/>
      <w:sz w:val="24"/>
      <w:szCs w:val="24"/>
      <w:lang w:val="en-AU"/>
    </w:rPr>
  </w:style>
  <w:style w:type="character" w:customStyle="1" w:styleId="26">
    <w:name w:val="Heading 4 Char"/>
    <w:basedOn w:val="6"/>
    <w:link w:val="5"/>
    <w:semiHidden/>
    <w:uiPriority w:val="9"/>
    <w:rPr>
      <w:rFonts w:asciiTheme="majorHAnsi" w:hAnsiTheme="majorHAnsi" w:eastAsiaTheme="majorEastAsia" w:cstheme="majorBidi"/>
      <w:i/>
      <w:iCs/>
      <w:color w:val="2F5597" w:themeColor="accent1" w:themeShade="BF"/>
      <w:sz w:val="24"/>
      <w:lang w:val="en-AU"/>
    </w:rPr>
  </w:style>
  <w:style w:type="character" w:customStyle="1" w:styleId="27">
    <w:name w:val="Header Char"/>
    <w:basedOn w:val="6"/>
    <w:link w:val="10"/>
    <w:uiPriority w:val="99"/>
    <w:rPr>
      <w:rFonts w:ascii="Times New Roman" w:hAnsi="Times New Roman"/>
      <w:sz w:val="24"/>
      <w:lang w:val="en-NZ"/>
    </w:rPr>
  </w:style>
  <w:style w:type="character" w:customStyle="1" w:styleId="28">
    <w:name w:val="Footer Char"/>
    <w:basedOn w:val="6"/>
    <w:link w:val="9"/>
    <w:uiPriority w:val="99"/>
    <w:rPr>
      <w:rFonts w:ascii="Times New Roman" w:hAnsi="Times New Roman"/>
      <w:sz w:val="24"/>
      <w:lang w:val="en-NZ"/>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71B631AF-F9C1-43D3-817F-B89F5D385EC6}">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3051</Words>
  <Characters>17393</Characters>
  <Lines>144</Lines>
  <Paragraphs>40</Paragraphs>
  <TotalTime>16</TotalTime>
  <ScaleCrop>false</ScaleCrop>
  <LinksUpToDate>false</LinksUpToDate>
  <CharactersWithSpaces>20404</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2025-05-01T19:24:00Z</dcterms:created>
  <dc:creator>Writer</dc:creator>
  <cp:lastModifiedBy>KumarAjay</cp:lastModifiedBy>
  <dcterms:modified xsi:type="dcterms:W3CDTF">2025-05-05T22:49:08Z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A33BF4EE7084059F4424196854A48EEF_42</vt:lpwstr>
  </property>
</Properties>
</file>