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885F9E" w14:textId="77777777" w:rsidR="00426865" w:rsidRPr="00832BE7" w:rsidRDefault="00672345">
      <w:r w:rsidRPr="00832BE7">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4C8F854" w14:textId="77777777" w:rsidR="00672345" w:rsidRPr="00832BE7" w:rsidRDefault="00672345" w:rsidP="00672345">
      <w:pPr>
        <w:rPr>
          <w:lang w:val="en-US"/>
        </w:rPr>
      </w:pPr>
      <w:r w:rsidRPr="00832BE7">
        <w:rPr>
          <w:lang w:val="en-US"/>
        </w:rPr>
        <w:t xml:space="preserve">Cultural Heritage Management </w:t>
      </w:r>
    </w:p>
    <w:p w14:paraId="0CEB96BF" w14:textId="77777777" w:rsidR="00672345" w:rsidRPr="00832BE7" w:rsidRDefault="00672345" w:rsidP="00672345">
      <w:pPr>
        <w:rPr>
          <w:lang w:val="en-US"/>
        </w:rPr>
      </w:pPr>
      <w:r w:rsidRPr="00832BE7">
        <w:rPr>
          <w:lang w:val="en-US"/>
        </w:rPr>
        <w:t>Assignment</w:t>
      </w:r>
      <w:r w:rsidR="007C7917" w:rsidRPr="00832BE7">
        <w:rPr>
          <w:lang w:val="en-US"/>
        </w:rPr>
        <w:t xml:space="preserve"> </w:t>
      </w:r>
      <w:r w:rsidR="00705037" w:rsidRPr="00832BE7">
        <w:rPr>
          <w:lang w:val="en-US"/>
        </w:rPr>
        <w:t>8</w:t>
      </w:r>
    </w:p>
    <w:p w14:paraId="4502C3E6" w14:textId="77777777" w:rsidR="00672345" w:rsidRPr="00832BE7" w:rsidRDefault="00705037" w:rsidP="00672345">
      <w:pPr>
        <w:rPr>
          <w:lang w:val="en-US"/>
        </w:rPr>
      </w:pPr>
      <w:r w:rsidRPr="00832BE7">
        <w:rPr>
          <w:lang w:val="en-US"/>
        </w:rPr>
        <w:t>03</w:t>
      </w:r>
      <w:r w:rsidR="00672345" w:rsidRPr="00832BE7">
        <w:rPr>
          <w:lang w:val="en-US"/>
        </w:rPr>
        <w:t>.0</w:t>
      </w:r>
      <w:r w:rsidRPr="00832BE7">
        <w:rPr>
          <w:lang w:val="en-US"/>
        </w:rPr>
        <w:t>6</w:t>
      </w:r>
      <w:r w:rsidR="00672345" w:rsidRPr="00832BE7">
        <w:rPr>
          <w:lang w:val="en-US"/>
        </w:rPr>
        <w:t>.2026</w:t>
      </w:r>
    </w:p>
    <w:p w14:paraId="16223655" w14:textId="77777777" w:rsidR="00672345" w:rsidRPr="00832BE7" w:rsidRDefault="00672345"/>
    <w:p w14:paraId="398B244F" w14:textId="77777777" w:rsidR="00672345" w:rsidRPr="00832BE7" w:rsidRDefault="00672345"/>
    <w:p w14:paraId="29FCC4D7" w14:textId="77777777" w:rsidR="00672345" w:rsidRPr="00832BE7" w:rsidRDefault="00672345"/>
    <w:p w14:paraId="61183349" w14:textId="77777777" w:rsidR="00672345" w:rsidRPr="00832BE7" w:rsidRDefault="00672345"/>
    <w:p w14:paraId="787466C9" w14:textId="77777777" w:rsidR="00672345" w:rsidRPr="00832BE7" w:rsidRDefault="00672345"/>
    <w:p w14:paraId="2498231C" w14:textId="77777777" w:rsidR="00672345" w:rsidRPr="00832BE7" w:rsidRDefault="00672345"/>
    <w:p w14:paraId="7B87A6D6" w14:textId="77777777" w:rsidR="00672345" w:rsidRPr="00832BE7" w:rsidRDefault="00672345"/>
    <w:p w14:paraId="1E184C64" w14:textId="77777777" w:rsidR="00672345" w:rsidRPr="00832BE7" w:rsidRDefault="00672345"/>
    <w:p w14:paraId="25375A7E" w14:textId="77777777" w:rsidR="00672345" w:rsidRPr="00832BE7" w:rsidRDefault="00672345"/>
    <w:p w14:paraId="57975629" w14:textId="77777777" w:rsidR="00672345" w:rsidRPr="00832BE7" w:rsidRDefault="00672345"/>
    <w:p w14:paraId="63D13A2F" w14:textId="77777777" w:rsidR="00672345" w:rsidRPr="00832BE7" w:rsidRDefault="00672345"/>
    <w:p w14:paraId="6CB20E5D" w14:textId="77777777" w:rsidR="00672345" w:rsidRPr="00832BE7" w:rsidRDefault="00672345"/>
    <w:p w14:paraId="05DDF834" w14:textId="77777777" w:rsidR="00672345" w:rsidRPr="00832BE7" w:rsidRDefault="00672345"/>
    <w:p w14:paraId="2F87A474" w14:textId="77777777" w:rsidR="00016EE8" w:rsidRPr="00832BE7" w:rsidRDefault="00016EE8" w:rsidP="00016EE8">
      <w:pPr>
        <w:spacing w:line="276" w:lineRule="auto"/>
        <w:rPr>
          <w:lang w:val="en-US"/>
        </w:rPr>
      </w:pPr>
      <w:r w:rsidRPr="00832BE7">
        <w:rPr>
          <w:lang w:val="en-US"/>
        </w:rPr>
        <w:t>In no more than 500 words each, explain and 2-4 references:</w:t>
      </w:r>
    </w:p>
    <w:p w14:paraId="01BCCD83" w14:textId="77777777" w:rsidR="00016EE8" w:rsidRPr="00832BE7" w:rsidRDefault="00016EE8" w:rsidP="00016EE8">
      <w:pPr>
        <w:rPr>
          <w:lang w:val="en-US"/>
        </w:rPr>
      </w:pPr>
    </w:p>
    <w:p w14:paraId="4324C620" w14:textId="77777777" w:rsidR="00705037" w:rsidRPr="00832BE7" w:rsidRDefault="00705037" w:rsidP="00705037">
      <w:pPr>
        <w:spacing w:line="276" w:lineRule="auto"/>
        <w:rPr>
          <w:lang w:val="en-US"/>
        </w:rPr>
      </w:pPr>
      <w:r w:rsidRPr="00832BE7">
        <w:rPr>
          <w:lang w:val="en-US"/>
        </w:rPr>
        <w:t>1- Discuss the role of attribute listing in Heritage Impact Assessment. How can attribute listing support the protection, management, and conservation of heritage sites?</w:t>
      </w:r>
    </w:p>
    <w:p w14:paraId="74D1818E" w14:textId="77777777" w:rsidR="00705037" w:rsidRPr="00832BE7" w:rsidRDefault="00705037" w:rsidP="00705037">
      <w:pPr>
        <w:spacing w:line="276" w:lineRule="auto"/>
        <w:rPr>
          <w:lang w:val="en-US"/>
        </w:rPr>
      </w:pPr>
    </w:p>
    <w:p w14:paraId="246423D1" w14:textId="77777777" w:rsidR="00705037" w:rsidRPr="00832BE7" w:rsidRDefault="00705037" w:rsidP="00705037">
      <w:pPr>
        <w:spacing w:line="276" w:lineRule="auto"/>
        <w:rPr>
          <w:lang w:val="en-US"/>
        </w:rPr>
      </w:pPr>
      <w:r w:rsidRPr="00832BE7">
        <w:rPr>
          <w:lang w:val="en-US"/>
        </w:rPr>
        <w:t>2- Select a heritage site of your choice and prepare:</w:t>
      </w:r>
    </w:p>
    <w:p w14:paraId="30BECCE3" w14:textId="77777777" w:rsidR="00705037" w:rsidRPr="00832BE7" w:rsidRDefault="00705037" w:rsidP="00705037">
      <w:pPr>
        <w:pStyle w:val="ListParagraph"/>
        <w:numPr>
          <w:ilvl w:val="0"/>
          <w:numId w:val="7"/>
        </w:numPr>
        <w:spacing w:line="276" w:lineRule="auto"/>
        <w:rPr>
          <w:lang w:val="en-US"/>
        </w:rPr>
      </w:pPr>
      <w:r w:rsidRPr="00832BE7">
        <w:rPr>
          <w:lang w:val="en-US"/>
        </w:rPr>
        <w:t>A list of at least 10 attributes.</w:t>
      </w:r>
    </w:p>
    <w:p w14:paraId="22C6F0A4" w14:textId="77777777" w:rsidR="00705037" w:rsidRPr="00832BE7" w:rsidRDefault="00705037" w:rsidP="00705037">
      <w:pPr>
        <w:pStyle w:val="ListParagraph"/>
        <w:numPr>
          <w:ilvl w:val="0"/>
          <w:numId w:val="7"/>
        </w:numPr>
        <w:spacing w:line="276" w:lineRule="auto"/>
        <w:rPr>
          <w:lang w:val="en-US"/>
        </w:rPr>
      </w:pPr>
      <w:r w:rsidRPr="00832BE7">
        <w:rPr>
          <w:lang w:val="en-US"/>
        </w:rPr>
        <w:t>Classification of attributes into categories.</w:t>
      </w:r>
    </w:p>
    <w:p w14:paraId="450A84B1" w14:textId="77777777" w:rsidR="00CF34F8" w:rsidRPr="00832BE7" w:rsidRDefault="00705037" w:rsidP="00705037">
      <w:pPr>
        <w:pStyle w:val="ListParagraph"/>
        <w:numPr>
          <w:ilvl w:val="0"/>
          <w:numId w:val="7"/>
        </w:numPr>
        <w:spacing w:line="276" w:lineRule="auto"/>
        <w:rPr>
          <w:lang w:val="en-US"/>
        </w:rPr>
      </w:pPr>
      <w:r w:rsidRPr="00832BE7">
        <w:rPr>
          <w:lang w:val="en-US"/>
        </w:rPr>
        <w:t>A short explanation of how the attributes convey the site's heritage significance.</w:t>
      </w:r>
    </w:p>
    <w:p w14:paraId="5F5B2432" w14:textId="77777777" w:rsidR="00AC08F9" w:rsidRPr="00832BE7" w:rsidRDefault="00AC08F9" w:rsidP="00AC08F9">
      <w:pPr>
        <w:pStyle w:val="ListParagraph"/>
        <w:spacing w:line="276" w:lineRule="auto"/>
        <w:ind w:left="0"/>
        <w:rPr>
          <w:lang w:val="en-US"/>
        </w:rPr>
      </w:pPr>
    </w:p>
    <w:p w14:paraId="2D2AEFC9" w14:textId="77777777" w:rsidR="00AC08F9" w:rsidRPr="00832BE7" w:rsidRDefault="00AC08F9" w:rsidP="00AC08F9">
      <w:pPr>
        <w:pStyle w:val="ListParagraph"/>
        <w:spacing w:line="276" w:lineRule="auto"/>
        <w:ind w:left="0"/>
        <w:rPr>
          <w:lang w:val="en-US"/>
        </w:rPr>
      </w:pPr>
    </w:p>
    <w:p w14:paraId="534719AA" w14:textId="77777777" w:rsidR="00AC08F9" w:rsidRPr="00832BE7" w:rsidRDefault="00AC08F9" w:rsidP="00AC08F9">
      <w:pPr>
        <w:pStyle w:val="ListParagraph"/>
        <w:spacing w:line="276" w:lineRule="auto"/>
        <w:ind w:left="0"/>
        <w:rPr>
          <w:lang w:val="en-US"/>
        </w:rPr>
      </w:pPr>
    </w:p>
    <w:p w14:paraId="30A0BC22" w14:textId="77777777" w:rsidR="00AC08F9" w:rsidRPr="00832BE7" w:rsidRDefault="00AC08F9" w:rsidP="00AC08F9">
      <w:pPr>
        <w:pStyle w:val="ListParagraph"/>
        <w:spacing w:line="276" w:lineRule="auto"/>
        <w:ind w:left="0"/>
        <w:rPr>
          <w:lang w:val="en-US"/>
        </w:rPr>
      </w:pPr>
    </w:p>
    <w:p w14:paraId="3614C007" w14:textId="77777777" w:rsidR="00AC08F9" w:rsidRPr="00832BE7" w:rsidRDefault="00AC08F9" w:rsidP="00AC08F9">
      <w:pPr>
        <w:pStyle w:val="ListParagraph"/>
        <w:spacing w:line="276" w:lineRule="auto"/>
        <w:ind w:left="0"/>
        <w:rPr>
          <w:lang w:val="en-US"/>
        </w:rPr>
      </w:pPr>
    </w:p>
    <w:p w14:paraId="05D5A09B" w14:textId="77777777" w:rsidR="00AC08F9" w:rsidRPr="00832BE7" w:rsidRDefault="00AC08F9" w:rsidP="00AC08F9">
      <w:pPr>
        <w:pStyle w:val="ListParagraph"/>
        <w:spacing w:line="276" w:lineRule="auto"/>
        <w:ind w:left="0"/>
        <w:rPr>
          <w:lang w:val="en-US"/>
        </w:rPr>
      </w:pPr>
    </w:p>
    <w:p w14:paraId="7A741057" w14:textId="77777777" w:rsidR="00AC08F9" w:rsidRPr="00832BE7" w:rsidRDefault="00AC08F9" w:rsidP="00AC08F9">
      <w:pPr>
        <w:pStyle w:val="ListParagraph"/>
        <w:spacing w:line="276" w:lineRule="auto"/>
        <w:ind w:left="0"/>
        <w:rPr>
          <w:lang w:val="en-US"/>
        </w:rPr>
      </w:pPr>
    </w:p>
    <w:p w14:paraId="158BB016" w14:textId="77777777" w:rsidR="00AC08F9" w:rsidRPr="00832BE7" w:rsidRDefault="00AC08F9" w:rsidP="00AC08F9">
      <w:pPr>
        <w:pStyle w:val="ListParagraph"/>
        <w:spacing w:line="276" w:lineRule="auto"/>
        <w:ind w:left="0"/>
        <w:rPr>
          <w:lang w:val="en-US"/>
        </w:rPr>
      </w:pPr>
    </w:p>
    <w:p w14:paraId="2EE3980C" w14:textId="77777777" w:rsidR="00AC08F9" w:rsidRPr="00832BE7" w:rsidRDefault="00AC08F9" w:rsidP="00AC08F9">
      <w:pPr>
        <w:pStyle w:val="ListParagraph"/>
        <w:spacing w:line="276" w:lineRule="auto"/>
        <w:ind w:left="0"/>
        <w:rPr>
          <w:lang w:val="en-US"/>
        </w:rPr>
      </w:pPr>
    </w:p>
    <w:p w14:paraId="598B1801" w14:textId="77777777" w:rsidR="00AC08F9" w:rsidRPr="00832BE7" w:rsidRDefault="00AC08F9" w:rsidP="00AC08F9">
      <w:pPr>
        <w:pStyle w:val="ListParagraph"/>
        <w:spacing w:line="276" w:lineRule="auto"/>
        <w:ind w:left="0"/>
        <w:rPr>
          <w:lang w:val="en-US"/>
        </w:rPr>
      </w:pPr>
    </w:p>
    <w:p w14:paraId="4439EEDF" w14:textId="77777777" w:rsidR="00AC08F9" w:rsidRPr="00832BE7" w:rsidRDefault="00AC08F9" w:rsidP="00AC08F9">
      <w:pPr>
        <w:pStyle w:val="ListParagraph"/>
        <w:spacing w:line="276" w:lineRule="auto"/>
        <w:ind w:left="0"/>
        <w:rPr>
          <w:lang w:val="en-US"/>
        </w:rPr>
      </w:pPr>
    </w:p>
    <w:p w14:paraId="42C73D8A" w14:textId="77777777" w:rsidR="00AC08F9" w:rsidRPr="00832BE7" w:rsidRDefault="00AC08F9" w:rsidP="00AC08F9">
      <w:pPr>
        <w:pStyle w:val="ListParagraph"/>
        <w:spacing w:line="276" w:lineRule="auto"/>
        <w:ind w:left="0"/>
        <w:rPr>
          <w:lang w:val="en-US"/>
        </w:rPr>
      </w:pPr>
    </w:p>
    <w:p w14:paraId="778C2D07" w14:textId="77777777" w:rsidR="00AC08F9" w:rsidRPr="00832BE7" w:rsidRDefault="00AC08F9" w:rsidP="00AC08F9">
      <w:pPr>
        <w:pStyle w:val="ListParagraph"/>
        <w:spacing w:line="276" w:lineRule="auto"/>
        <w:ind w:left="0"/>
        <w:rPr>
          <w:lang w:val="en-US"/>
        </w:rPr>
      </w:pPr>
    </w:p>
    <w:p w14:paraId="6E82CE1A" w14:textId="77777777" w:rsidR="00AC08F9" w:rsidRPr="00832BE7" w:rsidRDefault="00AC08F9" w:rsidP="00AC08F9">
      <w:pPr>
        <w:pStyle w:val="ListParagraph"/>
        <w:spacing w:line="276" w:lineRule="auto"/>
        <w:ind w:left="0"/>
        <w:rPr>
          <w:lang w:val="en-US"/>
        </w:rPr>
      </w:pPr>
    </w:p>
    <w:p w14:paraId="794D556D" w14:textId="77777777" w:rsidR="00AC08F9" w:rsidRPr="00832BE7" w:rsidRDefault="00AC08F9" w:rsidP="00AC08F9">
      <w:pPr>
        <w:pStyle w:val="ListParagraph"/>
        <w:spacing w:line="276" w:lineRule="auto"/>
        <w:ind w:left="0"/>
        <w:rPr>
          <w:lang w:val="en-US"/>
        </w:rPr>
      </w:pPr>
    </w:p>
    <w:p w14:paraId="112939F1" w14:textId="77777777" w:rsidR="00AC08F9" w:rsidRPr="00832BE7" w:rsidRDefault="00AC08F9" w:rsidP="00AC08F9">
      <w:pPr>
        <w:pStyle w:val="ListParagraph"/>
        <w:spacing w:line="276" w:lineRule="auto"/>
        <w:ind w:left="0"/>
        <w:rPr>
          <w:lang w:val="en-US"/>
        </w:rPr>
      </w:pPr>
    </w:p>
    <w:p w14:paraId="2CB80FE5" w14:textId="77777777" w:rsidR="00AC08F9" w:rsidRPr="00832BE7" w:rsidRDefault="00AC08F9" w:rsidP="00AC08F9">
      <w:pPr>
        <w:pStyle w:val="ListParagraph"/>
        <w:spacing w:line="276" w:lineRule="auto"/>
        <w:ind w:left="0"/>
        <w:rPr>
          <w:lang w:val="en-US"/>
        </w:rPr>
      </w:pPr>
    </w:p>
    <w:p w14:paraId="142A33AC" w14:textId="77777777" w:rsidR="00581CC9" w:rsidRPr="00581CC9" w:rsidRDefault="00581CC9" w:rsidP="00581CC9">
      <w:pPr>
        <w:pStyle w:val="ListParagraph"/>
        <w:spacing w:line="276" w:lineRule="auto"/>
        <w:rPr>
          <w:b/>
          <w:bCs/>
          <w:lang w:val="en-GB"/>
        </w:rPr>
      </w:pPr>
      <w:r w:rsidRPr="00581CC9">
        <w:rPr>
          <w:b/>
          <w:bCs/>
          <w:lang w:val="en-GB"/>
        </w:rPr>
        <w:lastRenderedPageBreak/>
        <w:t>1. Discuss the Role of Attribute Listing in Heritage Impact Assessment (HIA)</w:t>
      </w:r>
    </w:p>
    <w:p w14:paraId="320D017C" w14:textId="77777777" w:rsidR="00581CC9" w:rsidRPr="00581CC9" w:rsidRDefault="00581CC9" w:rsidP="00581CC9">
      <w:pPr>
        <w:pStyle w:val="ListParagraph"/>
        <w:spacing w:line="276" w:lineRule="auto"/>
        <w:rPr>
          <w:lang w:val="en-GB"/>
        </w:rPr>
      </w:pPr>
      <w:r w:rsidRPr="00581CC9">
        <w:rPr>
          <w:lang w:val="en-GB"/>
        </w:rPr>
        <w:t>Attribute listing is a fundamental process in Heritage Impact Assessment (HIA) that involves identifying and documenting the characteristics that contribute to a heritage site's significance. These attributes may include physical features such as buildings, monuments, landscapes, archaeological remains, as well as intangible aspects like cultural traditions, social values, and historical associations. By systematically recording these elements, heritage professionals can better understand what makes a site valuable and ensure that these values are protected during development or conservation activities.</w:t>
      </w:r>
    </w:p>
    <w:p w14:paraId="37FECE22" w14:textId="77777777" w:rsidR="00581CC9" w:rsidRPr="00581CC9" w:rsidRDefault="00581CC9" w:rsidP="00581CC9">
      <w:pPr>
        <w:pStyle w:val="ListParagraph"/>
        <w:spacing w:line="276" w:lineRule="auto"/>
        <w:rPr>
          <w:lang w:val="en-GB"/>
        </w:rPr>
      </w:pPr>
      <w:r w:rsidRPr="00581CC9">
        <w:rPr>
          <w:lang w:val="en-GB"/>
        </w:rPr>
        <w:t>A major role of attribute listing is to support informed decision-making. Before any development project is approved near a heritage site, it is necessary to understand which attributes contribute to its significance and how they may be affected. Attribute listing provides a clear framework for assessing the potential impacts of construction, tourism, infrastructure projects, or environmental changes. This allows planners and policymakers to develop mitigation measures that minimize harm to heritage resources (Pendlebury, 2013).</w:t>
      </w:r>
    </w:p>
    <w:p w14:paraId="4536D142" w14:textId="77777777" w:rsidR="00581CC9" w:rsidRPr="00581CC9" w:rsidRDefault="00581CC9" w:rsidP="00581CC9">
      <w:pPr>
        <w:pStyle w:val="ListParagraph"/>
        <w:spacing w:line="276" w:lineRule="auto"/>
        <w:rPr>
          <w:lang w:val="en-GB"/>
        </w:rPr>
      </w:pPr>
      <w:r w:rsidRPr="00581CC9">
        <w:rPr>
          <w:lang w:val="en-GB"/>
        </w:rPr>
        <w:t>Attribute listing also plays a critical role in conservation management. By identifying significant attributes, heritage managers can prioritize conservation efforts and allocate resources effectively. Features that possess exceptional historical, architectural, or cultural value can receive special protection. Furthermore, attribute inventories provide baseline data that can be used to monitor changes in the condition of heritage sites over time (</w:t>
      </w:r>
      <w:proofErr w:type="spellStart"/>
      <w:r w:rsidRPr="00581CC9">
        <w:rPr>
          <w:lang w:val="en-GB"/>
        </w:rPr>
        <w:t>Avrami</w:t>
      </w:r>
      <w:proofErr w:type="spellEnd"/>
      <w:r w:rsidRPr="00581CC9">
        <w:rPr>
          <w:lang w:val="en-GB"/>
        </w:rPr>
        <w:t>, Mason &amp; de la Torre, 2000).</w:t>
      </w:r>
    </w:p>
    <w:p w14:paraId="6306A1D3" w14:textId="77777777" w:rsidR="00581CC9" w:rsidRPr="00581CC9" w:rsidRDefault="00581CC9" w:rsidP="00581CC9">
      <w:pPr>
        <w:pStyle w:val="ListParagraph"/>
        <w:spacing w:line="276" w:lineRule="auto"/>
        <w:rPr>
          <w:lang w:val="en-GB"/>
        </w:rPr>
      </w:pPr>
      <w:r w:rsidRPr="00581CC9">
        <w:rPr>
          <w:lang w:val="en-GB"/>
        </w:rPr>
        <w:t>Another important benefit is that attribute listing helps preserve authenticity and integrity. Authenticity refers to the originality and credibility of heritage features, while integrity relates to the wholeness and completeness of a site. Through attribute listing, conservation strategies can focus on maintaining these qualities, ensuring that heritage values remain intact despite changing circumstances (</w:t>
      </w:r>
      <w:proofErr w:type="spellStart"/>
      <w:r w:rsidRPr="00581CC9">
        <w:rPr>
          <w:lang w:val="en-GB"/>
        </w:rPr>
        <w:t>Jokilehto</w:t>
      </w:r>
      <w:proofErr w:type="spellEnd"/>
      <w:r w:rsidRPr="00581CC9">
        <w:rPr>
          <w:lang w:val="en-GB"/>
        </w:rPr>
        <w:t>, 2006).</w:t>
      </w:r>
    </w:p>
    <w:p w14:paraId="107AF51F" w14:textId="77777777" w:rsidR="00581CC9" w:rsidRPr="00581CC9" w:rsidRDefault="00581CC9" w:rsidP="00581CC9">
      <w:pPr>
        <w:pStyle w:val="ListParagraph"/>
        <w:spacing w:line="276" w:lineRule="auto"/>
        <w:rPr>
          <w:lang w:val="en-GB"/>
        </w:rPr>
      </w:pPr>
      <w:r w:rsidRPr="00581CC9">
        <w:rPr>
          <w:lang w:val="en-GB"/>
        </w:rPr>
        <w:t>Finally, attribute listing encourages stakeholder participation by making heritage values more transparent. Communities, conservation experts, government agencies, and developers can better understand the significance of a site and collaborate in its protection. Therefore, attribute listing is essential for balancing heritage conservation with sustainable development and ensuring the long-term preservation of cultural resources.</w:t>
      </w:r>
    </w:p>
    <w:p w14:paraId="581A5517" w14:textId="77777777" w:rsidR="00581CC9" w:rsidRPr="00581CC9" w:rsidRDefault="00581CC9" w:rsidP="00581CC9">
      <w:pPr>
        <w:pStyle w:val="ListParagraph"/>
        <w:spacing w:line="276" w:lineRule="auto"/>
        <w:rPr>
          <w:lang w:val="en-GB"/>
        </w:rPr>
      </w:pPr>
      <w:r w:rsidRPr="00581CC9">
        <w:rPr>
          <w:b/>
          <w:bCs/>
          <w:lang w:val="en-GB"/>
        </w:rPr>
        <w:t>In-text citations:</w:t>
      </w:r>
      <w:r w:rsidRPr="00581CC9">
        <w:rPr>
          <w:lang w:val="en-GB"/>
        </w:rPr>
        <w:t xml:space="preserve"> (</w:t>
      </w:r>
      <w:proofErr w:type="spellStart"/>
      <w:r w:rsidRPr="00581CC9">
        <w:rPr>
          <w:lang w:val="en-GB"/>
        </w:rPr>
        <w:t>Avrami</w:t>
      </w:r>
      <w:proofErr w:type="spellEnd"/>
      <w:r w:rsidRPr="00581CC9">
        <w:rPr>
          <w:lang w:val="en-GB"/>
        </w:rPr>
        <w:t xml:space="preserve"> et al., 2000; </w:t>
      </w:r>
      <w:proofErr w:type="spellStart"/>
      <w:r w:rsidRPr="00581CC9">
        <w:rPr>
          <w:lang w:val="en-GB"/>
        </w:rPr>
        <w:t>Jokilehto</w:t>
      </w:r>
      <w:proofErr w:type="spellEnd"/>
      <w:r w:rsidRPr="00581CC9">
        <w:rPr>
          <w:lang w:val="en-GB"/>
        </w:rPr>
        <w:t>, 2006; Pendlebury, 2013)</w:t>
      </w:r>
    </w:p>
    <w:p w14:paraId="053F415B" w14:textId="77777777" w:rsidR="00581CC9" w:rsidRPr="00581CC9" w:rsidRDefault="00581CC9" w:rsidP="00581CC9">
      <w:pPr>
        <w:pStyle w:val="ListParagraph"/>
        <w:spacing w:line="276" w:lineRule="auto"/>
        <w:rPr>
          <w:lang w:val="en-GB"/>
        </w:rPr>
      </w:pPr>
      <w:r w:rsidRPr="00581CC9">
        <w:rPr>
          <w:lang w:val="en-GB"/>
        </w:rPr>
        <w:pict w14:anchorId="75B28DD5">
          <v:rect id="_x0000_i1093" style="width:0;height:1.5pt" o:hralign="center" o:hrstd="t" o:hr="t" fillcolor="#a0a0a0" stroked="f"/>
        </w:pict>
      </w:r>
    </w:p>
    <w:p w14:paraId="66BAE60C" w14:textId="77777777" w:rsidR="00581CC9" w:rsidRPr="00581CC9" w:rsidRDefault="00581CC9" w:rsidP="00581CC9">
      <w:pPr>
        <w:pStyle w:val="ListParagraph"/>
        <w:spacing w:line="276" w:lineRule="auto"/>
        <w:rPr>
          <w:b/>
          <w:bCs/>
          <w:lang w:val="en-GB"/>
        </w:rPr>
      </w:pPr>
      <w:r w:rsidRPr="00581CC9">
        <w:rPr>
          <w:b/>
          <w:bCs/>
          <w:lang w:val="en-GB"/>
        </w:rPr>
        <w:t>2. Heritage Site: Red Fort (Lal Qila), Delhi, India</w:t>
      </w:r>
    </w:p>
    <w:p w14:paraId="2B1837B9" w14:textId="77777777" w:rsidR="00581CC9" w:rsidRPr="00581CC9" w:rsidRDefault="00581CC9" w:rsidP="00581CC9">
      <w:pPr>
        <w:pStyle w:val="ListParagraph"/>
        <w:spacing w:line="276" w:lineRule="auto"/>
        <w:rPr>
          <w:lang w:val="en-GB"/>
        </w:rPr>
      </w:pPr>
      <w:r w:rsidRPr="00581CC9">
        <w:rPr>
          <w:lang w:val="en-GB"/>
        </w:rPr>
        <w:t xml:space="preserve">The </w:t>
      </w:r>
      <w:r w:rsidRPr="00581CC9">
        <w:rPr>
          <w:b/>
          <w:bCs/>
          <w:lang w:val="en-GB"/>
        </w:rPr>
        <w:t>Red Fort</w:t>
      </w:r>
      <w:r w:rsidRPr="00581CC9">
        <w:rPr>
          <w:lang w:val="en-GB"/>
        </w:rPr>
        <w:t>, located in Delhi, India, was built by Mughal Emperor Shah Jahan between 1638 and 1648. It served as the main residence of the Mughal emperors and is recognized as a UNESCO World Heritage Site because of its architectural excellence, historical importance, and cultural significance.</w:t>
      </w:r>
    </w:p>
    <w:p w14:paraId="5B1E741F" w14:textId="77777777" w:rsidR="00581CC9" w:rsidRPr="00581CC9" w:rsidRDefault="00581CC9" w:rsidP="00581CC9">
      <w:pPr>
        <w:pStyle w:val="ListParagraph"/>
        <w:spacing w:line="276" w:lineRule="auto"/>
        <w:rPr>
          <w:b/>
          <w:bCs/>
          <w:lang w:val="en-GB"/>
        </w:rPr>
      </w:pPr>
      <w:r w:rsidRPr="00581CC9">
        <w:rPr>
          <w:b/>
          <w:bCs/>
          <w:lang w:val="en-GB"/>
        </w:rPr>
        <w:lastRenderedPageBreak/>
        <w:t>List of Attributes</w:t>
      </w:r>
    </w:p>
    <w:p w14:paraId="3A59A0C7" w14:textId="77777777" w:rsidR="00581CC9" w:rsidRPr="00581CC9" w:rsidRDefault="00581CC9" w:rsidP="00581CC9">
      <w:pPr>
        <w:pStyle w:val="ListParagraph"/>
        <w:numPr>
          <w:ilvl w:val="0"/>
          <w:numId w:val="11"/>
        </w:numPr>
        <w:spacing w:line="276" w:lineRule="auto"/>
        <w:rPr>
          <w:lang w:val="en-GB"/>
        </w:rPr>
      </w:pPr>
      <w:r w:rsidRPr="00581CC9">
        <w:rPr>
          <w:lang w:val="en-GB"/>
        </w:rPr>
        <w:t xml:space="preserve">Red sandstone fortification walls </w:t>
      </w:r>
    </w:p>
    <w:p w14:paraId="1B79D221" w14:textId="77777777" w:rsidR="00581CC9" w:rsidRPr="00581CC9" w:rsidRDefault="00581CC9" w:rsidP="00581CC9">
      <w:pPr>
        <w:pStyle w:val="ListParagraph"/>
        <w:numPr>
          <w:ilvl w:val="0"/>
          <w:numId w:val="11"/>
        </w:numPr>
        <w:spacing w:line="276" w:lineRule="auto"/>
        <w:rPr>
          <w:lang w:val="en-GB"/>
        </w:rPr>
      </w:pPr>
      <w:r w:rsidRPr="00581CC9">
        <w:rPr>
          <w:lang w:val="en-GB"/>
        </w:rPr>
        <w:t xml:space="preserve">Lahori Gate </w:t>
      </w:r>
    </w:p>
    <w:p w14:paraId="2B7EFBAE" w14:textId="77777777" w:rsidR="00581CC9" w:rsidRPr="00581CC9" w:rsidRDefault="00581CC9" w:rsidP="00581CC9">
      <w:pPr>
        <w:pStyle w:val="ListParagraph"/>
        <w:numPr>
          <w:ilvl w:val="0"/>
          <w:numId w:val="11"/>
        </w:numPr>
        <w:spacing w:line="276" w:lineRule="auto"/>
        <w:rPr>
          <w:lang w:val="en-GB"/>
        </w:rPr>
      </w:pPr>
      <w:r w:rsidRPr="00581CC9">
        <w:rPr>
          <w:lang w:val="en-GB"/>
        </w:rPr>
        <w:t xml:space="preserve">Delhi Gate </w:t>
      </w:r>
    </w:p>
    <w:p w14:paraId="418A04D3" w14:textId="77777777" w:rsidR="00581CC9" w:rsidRPr="00581CC9" w:rsidRDefault="00581CC9" w:rsidP="00581CC9">
      <w:pPr>
        <w:pStyle w:val="ListParagraph"/>
        <w:numPr>
          <w:ilvl w:val="0"/>
          <w:numId w:val="11"/>
        </w:numPr>
        <w:spacing w:line="276" w:lineRule="auto"/>
        <w:rPr>
          <w:lang w:val="en-GB"/>
        </w:rPr>
      </w:pPr>
      <w:r w:rsidRPr="00581CC9">
        <w:rPr>
          <w:lang w:val="en-GB"/>
        </w:rPr>
        <w:t>Diwan-</w:t>
      </w:r>
      <w:proofErr w:type="spellStart"/>
      <w:r w:rsidRPr="00581CC9">
        <w:rPr>
          <w:lang w:val="en-GB"/>
        </w:rPr>
        <w:t>i</w:t>
      </w:r>
      <w:proofErr w:type="spellEnd"/>
      <w:r w:rsidRPr="00581CC9">
        <w:rPr>
          <w:lang w:val="en-GB"/>
        </w:rPr>
        <w:t xml:space="preserve">-Aam (Hall of Public Audience) </w:t>
      </w:r>
    </w:p>
    <w:p w14:paraId="66E7D87C" w14:textId="77777777" w:rsidR="00581CC9" w:rsidRPr="00581CC9" w:rsidRDefault="00581CC9" w:rsidP="00581CC9">
      <w:pPr>
        <w:pStyle w:val="ListParagraph"/>
        <w:numPr>
          <w:ilvl w:val="0"/>
          <w:numId w:val="11"/>
        </w:numPr>
        <w:spacing w:line="276" w:lineRule="auto"/>
        <w:rPr>
          <w:lang w:val="en-GB"/>
        </w:rPr>
      </w:pPr>
      <w:r w:rsidRPr="00581CC9">
        <w:rPr>
          <w:lang w:val="en-GB"/>
        </w:rPr>
        <w:t>Diwan-</w:t>
      </w:r>
      <w:proofErr w:type="spellStart"/>
      <w:r w:rsidRPr="00581CC9">
        <w:rPr>
          <w:lang w:val="en-GB"/>
        </w:rPr>
        <w:t>i</w:t>
      </w:r>
      <w:proofErr w:type="spellEnd"/>
      <w:r w:rsidRPr="00581CC9">
        <w:rPr>
          <w:lang w:val="en-GB"/>
        </w:rPr>
        <w:t xml:space="preserve">-Khas (Hall of Private Audience) </w:t>
      </w:r>
    </w:p>
    <w:p w14:paraId="6768F1F9" w14:textId="77777777" w:rsidR="00581CC9" w:rsidRPr="00581CC9" w:rsidRDefault="00581CC9" w:rsidP="00581CC9">
      <w:pPr>
        <w:pStyle w:val="ListParagraph"/>
        <w:numPr>
          <w:ilvl w:val="0"/>
          <w:numId w:val="11"/>
        </w:numPr>
        <w:spacing w:line="276" w:lineRule="auto"/>
        <w:rPr>
          <w:lang w:val="en-GB"/>
        </w:rPr>
      </w:pPr>
      <w:r w:rsidRPr="00581CC9">
        <w:rPr>
          <w:lang w:val="en-GB"/>
        </w:rPr>
        <w:t xml:space="preserve">Rang Mahal </w:t>
      </w:r>
    </w:p>
    <w:p w14:paraId="4017D0FF" w14:textId="77777777" w:rsidR="00581CC9" w:rsidRPr="00581CC9" w:rsidRDefault="00581CC9" w:rsidP="00581CC9">
      <w:pPr>
        <w:pStyle w:val="ListParagraph"/>
        <w:numPr>
          <w:ilvl w:val="0"/>
          <w:numId w:val="11"/>
        </w:numPr>
        <w:spacing w:line="276" w:lineRule="auto"/>
        <w:rPr>
          <w:lang w:val="en-GB"/>
        </w:rPr>
      </w:pPr>
      <w:r w:rsidRPr="00581CC9">
        <w:rPr>
          <w:lang w:val="en-GB"/>
        </w:rPr>
        <w:t xml:space="preserve">Moti Masjid </w:t>
      </w:r>
    </w:p>
    <w:p w14:paraId="6CB9A3EC" w14:textId="77777777" w:rsidR="00581CC9" w:rsidRPr="00581CC9" w:rsidRDefault="00581CC9" w:rsidP="00581CC9">
      <w:pPr>
        <w:pStyle w:val="ListParagraph"/>
        <w:numPr>
          <w:ilvl w:val="0"/>
          <w:numId w:val="11"/>
        </w:numPr>
        <w:spacing w:line="276" w:lineRule="auto"/>
        <w:rPr>
          <w:lang w:val="en-GB"/>
        </w:rPr>
      </w:pPr>
      <w:r w:rsidRPr="00581CC9">
        <w:rPr>
          <w:lang w:val="en-GB"/>
        </w:rPr>
        <w:t xml:space="preserve">Mughal garden layout </w:t>
      </w:r>
    </w:p>
    <w:p w14:paraId="28D2740B" w14:textId="77777777" w:rsidR="00581CC9" w:rsidRPr="00581CC9" w:rsidRDefault="00581CC9" w:rsidP="00581CC9">
      <w:pPr>
        <w:pStyle w:val="ListParagraph"/>
        <w:numPr>
          <w:ilvl w:val="0"/>
          <w:numId w:val="11"/>
        </w:numPr>
        <w:spacing w:line="276" w:lineRule="auto"/>
        <w:rPr>
          <w:lang w:val="en-GB"/>
        </w:rPr>
      </w:pPr>
      <w:r w:rsidRPr="00581CC9">
        <w:rPr>
          <w:lang w:val="en-GB"/>
        </w:rPr>
        <w:t xml:space="preserve">Intricate marble decorations </w:t>
      </w:r>
    </w:p>
    <w:p w14:paraId="2CBAA5A3" w14:textId="77777777" w:rsidR="00581CC9" w:rsidRPr="00581CC9" w:rsidRDefault="00581CC9" w:rsidP="00581CC9">
      <w:pPr>
        <w:pStyle w:val="ListParagraph"/>
        <w:numPr>
          <w:ilvl w:val="0"/>
          <w:numId w:val="11"/>
        </w:numPr>
        <w:spacing w:line="276" w:lineRule="auto"/>
        <w:rPr>
          <w:lang w:val="en-GB"/>
        </w:rPr>
      </w:pPr>
      <w:r w:rsidRPr="00581CC9">
        <w:rPr>
          <w:lang w:val="en-GB"/>
        </w:rPr>
        <w:t>Water channel system (Nahr-</w:t>
      </w:r>
      <w:proofErr w:type="spellStart"/>
      <w:r w:rsidRPr="00581CC9">
        <w:rPr>
          <w:lang w:val="en-GB"/>
        </w:rPr>
        <w:t>i</w:t>
      </w:r>
      <w:proofErr w:type="spellEnd"/>
      <w:r w:rsidRPr="00581CC9">
        <w:rPr>
          <w:lang w:val="en-GB"/>
        </w:rPr>
        <w:t>-</w:t>
      </w:r>
      <w:proofErr w:type="spellStart"/>
      <w:r w:rsidRPr="00581CC9">
        <w:rPr>
          <w:lang w:val="en-GB"/>
        </w:rPr>
        <w:t>Bihisht</w:t>
      </w:r>
      <w:proofErr w:type="spellEnd"/>
      <w:r w:rsidRPr="00581CC9">
        <w:rPr>
          <w:lang w:val="en-GB"/>
        </w:rPr>
        <w:t xml:space="preserve">) </w:t>
      </w:r>
    </w:p>
    <w:p w14:paraId="0F711750" w14:textId="77777777" w:rsidR="00581CC9" w:rsidRPr="00581CC9" w:rsidRDefault="00581CC9" w:rsidP="00581CC9">
      <w:pPr>
        <w:pStyle w:val="ListParagraph"/>
        <w:numPr>
          <w:ilvl w:val="0"/>
          <w:numId w:val="11"/>
        </w:numPr>
        <w:spacing w:line="276" w:lineRule="auto"/>
        <w:rPr>
          <w:lang w:val="en-GB"/>
        </w:rPr>
      </w:pPr>
      <w:r w:rsidRPr="00581CC9">
        <w:rPr>
          <w:lang w:val="en-GB"/>
        </w:rPr>
        <w:t xml:space="preserve">Association with Mughal rule </w:t>
      </w:r>
    </w:p>
    <w:p w14:paraId="00981B47" w14:textId="77777777" w:rsidR="00581CC9" w:rsidRPr="00581CC9" w:rsidRDefault="00581CC9" w:rsidP="00581CC9">
      <w:pPr>
        <w:pStyle w:val="ListParagraph"/>
        <w:numPr>
          <w:ilvl w:val="0"/>
          <w:numId w:val="11"/>
        </w:numPr>
        <w:spacing w:line="276" w:lineRule="auto"/>
        <w:rPr>
          <w:lang w:val="en-GB"/>
        </w:rPr>
      </w:pPr>
      <w:r w:rsidRPr="00581CC9">
        <w:rPr>
          <w:lang w:val="en-GB"/>
        </w:rPr>
        <w:t xml:space="preserve">Symbolic role in Indian Independence celebrations </w:t>
      </w:r>
    </w:p>
    <w:p w14:paraId="665B23A5" w14:textId="77777777" w:rsidR="00581CC9" w:rsidRPr="00581CC9" w:rsidRDefault="00581CC9" w:rsidP="00581CC9">
      <w:pPr>
        <w:pStyle w:val="ListParagraph"/>
        <w:spacing w:line="276" w:lineRule="auto"/>
        <w:rPr>
          <w:b/>
          <w:bCs/>
          <w:lang w:val="en-GB"/>
        </w:rPr>
      </w:pPr>
      <w:r w:rsidRPr="00581CC9">
        <w:rPr>
          <w:b/>
          <w:bCs/>
          <w:lang w:val="en-GB"/>
        </w:rPr>
        <w:t>Classification of Attributes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5"/>
        <w:gridCol w:w="6271"/>
      </w:tblGrid>
      <w:tr w:rsidR="00581CC9" w:rsidRPr="00581CC9" w14:paraId="6102B810" w14:textId="77777777">
        <w:trPr>
          <w:tblHeader/>
          <w:tblCellSpacing w:w="15" w:type="dxa"/>
        </w:trPr>
        <w:tc>
          <w:tcPr>
            <w:tcW w:w="0" w:type="auto"/>
            <w:vAlign w:val="center"/>
            <w:hideMark/>
          </w:tcPr>
          <w:p w14:paraId="51735B44" w14:textId="77777777" w:rsidR="00581CC9" w:rsidRPr="00581CC9" w:rsidRDefault="00581CC9" w:rsidP="00581CC9">
            <w:pPr>
              <w:pStyle w:val="ListParagraph"/>
              <w:spacing w:line="276" w:lineRule="auto"/>
              <w:rPr>
                <w:b/>
                <w:bCs/>
                <w:lang w:val="en-GB"/>
              </w:rPr>
            </w:pPr>
            <w:r w:rsidRPr="00581CC9">
              <w:rPr>
                <w:b/>
                <w:bCs/>
                <w:lang w:val="en-GB"/>
              </w:rPr>
              <w:t>Category</w:t>
            </w:r>
          </w:p>
        </w:tc>
        <w:tc>
          <w:tcPr>
            <w:tcW w:w="0" w:type="auto"/>
            <w:vAlign w:val="center"/>
            <w:hideMark/>
          </w:tcPr>
          <w:p w14:paraId="51811B57" w14:textId="77777777" w:rsidR="00581CC9" w:rsidRPr="00581CC9" w:rsidRDefault="00581CC9" w:rsidP="00581CC9">
            <w:pPr>
              <w:pStyle w:val="ListParagraph"/>
              <w:spacing w:line="276" w:lineRule="auto"/>
              <w:rPr>
                <w:b/>
                <w:bCs/>
                <w:lang w:val="en-GB"/>
              </w:rPr>
            </w:pPr>
            <w:r w:rsidRPr="00581CC9">
              <w:rPr>
                <w:b/>
                <w:bCs/>
                <w:lang w:val="en-GB"/>
              </w:rPr>
              <w:t>Attributes</w:t>
            </w:r>
          </w:p>
        </w:tc>
      </w:tr>
      <w:tr w:rsidR="00581CC9" w:rsidRPr="00581CC9" w14:paraId="39F54709" w14:textId="77777777">
        <w:trPr>
          <w:tblCellSpacing w:w="15" w:type="dxa"/>
        </w:trPr>
        <w:tc>
          <w:tcPr>
            <w:tcW w:w="0" w:type="auto"/>
            <w:vAlign w:val="center"/>
            <w:hideMark/>
          </w:tcPr>
          <w:p w14:paraId="405C2763" w14:textId="77777777" w:rsidR="00581CC9" w:rsidRPr="00581CC9" w:rsidRDefault="00581CC9" w:rsidP="00581CC9">
            <w:pPr>
              <w:pStyle w:val="ListParagraph"/>
              <w:spacing w:line="276" w:lineRule="auto"/>
              <w:rPr>
                <w:lang w:val="en-GB"/>
              </w:rPr>
            </w:pPr>
            <w:r w:rsidRPr="00581CC9">
              <w:rPr>
                <w:b/>
                <w:bCs/>
                <w:lang w:val="en-GB"/>
              </w:rPr>
              <w:t>Architectural Attributes</w:t>
            </w:r>
          </w:p>
        </w:tc>
        <w:tc>
          <w:tcPr>
            <w:tcW w:w="0" w:type="auto"/>
            <w:vAlign w:val="center"/>
            <w:hideMark/>
          </w:tcPr>
          <w:p w14:paraId="2A5FD82F" w14:textId="77777777" w:rsidR="00581CC9" w:rsidRPr="00581CC9" w:rsidRDefault="00581CC9" w:rsidP="00581CC9">
            <w:pPr>
              <w:pStyle w:val="ListParagraph"/>
              <w:spacing w:line="276" w:lineRule="auto"/>
              <w:rPr>
                <w:lang w:val="en-GB"/>
              </w:rPr>
            </w:pPr>
            <w:r w:rsidRPr="00581CC9">
              <w:rPr>
                <w:lang w:val="en-GB"/>
              </w:rPr>
              <w:t>Fort walls, Lahori Gate, Delhi Gate, Diwan-</w:t>
            </w:r>
            <w:proofErr w:type="spellStart"/>
            <w:r w:rsidRPr="00581CC9">
              <w:rPr>
                <w:lang w:val="en-GB"/>
              </w:rPr>
              <w:t>i</w:t>
            </w:r>
            <w:proofErr w:type="spellEnd"/>
            <w:r w:rsidRPr="00581CC9">
              <w:rPr>
                <w:lang w:val="en-GB"/>
              </w:rPr>
              <w:t>-Aam, Diwan-</w:t>
            </w:r>
            <w:proofErr w:type="spellStart"/>
            <w:r w:rsidRPr="00581CC9">
              <w:rPr>
                <w:lang w:val="en-GB"/>
              </w:rPr>
              <w:t>i</w:t>
            </w:r>
            <w:proofErr w:type="spellEnd"/>
            <w:r w:rsidRPr="00581CC9">
              <w:rPr>
                <w:lang w:val="en-GB"/>
              </w:rPr>
              <w:t>-Khas</w:t>
            </w:r>
          </w:p>
        </w:tc>
      </w:tr>
      <w:tr w:rsidR="00581CC9" w:rsidRPr="00581CC9" w14:paraId="726160F6" w14:textId="77777777">
        <w:trPr>
          <w:tblCellSpacing w:w="15" w:type="dxa"/>
        </w:trPr>
        <w:tc>
          <w:tcPr>
            <w:tcW w:w="0" w:type="auto"/>
            <w:vAlign w:val="center"/>
            <w:hideMark/>
          </w:tcPr>
          <w:p w14:paraId="11B2F472" w14:textId="77777777" w:rsidR="00581CC9" w:rsidRPr="00581CC9" w:rsidRDefault="00581CC9" w:rsidP="00581CC9">
            <w:pPr>
              <w:pStyle w:val="ListParagraph"/>
              <w:spacing w:line="276" w:lineRule="auto"/>
              <w:rPr>
                <w:lang w:val="en-GB"/>
              </w:rPr>
            </w:pPr>
            <w:r w:rsidRPr="00581CC9">
              <w:rPr>
                <w:b/>
                <w:bCs/>
                <w:lang w:val="en-GB"/>
              </w:rPr>
              <w:t>Artistic Attributes</w:t>
            </w:r>
          </w:p>
        </w:tc>
        <w:tc>
          <w:tcPr>
            <w:tcW w:w="0" w:type="auto"/>
            <w:vAlign w:val="center"/>
            <w:hideMark/>
          </w:tcPr>
          <w:p w14:paraId="19587A88" w14:textId="77777777" w:rsidR="00581CC9" w:rsidRPr="00581CC9" w:rsidRDefault="00581CC9" w:rsidP="00581CC9">
            <w:pPr>
              <w:pStyle w:val="ListParagraph"/>
              <w:spacing w:line="276" w:lineRule="auto"/>
              <w:rPr>
                <w:lang w:val="en-GB"/>
              </w:rPr>
            </w:pPr>
            <w:r w:rsidRPr="00581CC9">
              <w:rPr>
                <w:lang w:val="en-GB"/>
              </w:rPr>
              <w:t>Marble inlay work, carvings, decorative interiors</w:t>
            </w:r>
          </w:p>
        </w:tc>
      </w:tr>
      <w:tr w:rsidR="00581CC9" w:rsidRPr="00581CC9" w14:paraId="0A30EDDF" w14:textId="77777777">
        <w:trPr>
          <w:tblCellSpacing w:w="15" w:type="dxa"/>
        </w:trPr>
        <w:tc>
          <w:tcPr>
            <w:tcW w:w="0" w:type="auto"/>
            <w:vAlign w:val="center"/>
            <w:hideMark/>
          </w:tcPr>
          <w:p w14:paraId="1CD1A7FE" w14:textId="77777777" w:rsidR="00581CC9" w:rsidRPr="00581CC9" w:rsidRDefault="00581CC9" w:rsidP="00581CC9">
            <w:pPr>
              <w:pStyle w:val="ListParagraph"/>
              <w:spacing w:line="276" w:lineRule="auto"/>
              <w:rPr>
                <w:lang w:val="en-GB"/>
              </w:rPr>
            </w:pPr>
            <w:r w:rsidRPr="00581CC9">
              <w:rPr>
                <w:b/>
                <w:bCs/>
                <w:lang w:val="en-GB"/>
              </w:rPr>
              <w:t>Landscape Attributes</w:t>
            </w:r>
          </w:p>
        </w:tc>
        <w:tc>
          <w:tcPr>
            <w:tcW w:w="0" w:type="auto"/>
            <w:vAlign w:val="center"/>
            <w:hideMark/>
          </w:tcPr>
          <w:p w14:paraId="32268108" w14:textId="77777777" w:rsidR="00581CC9" w:rsidRPr="00581CC9" w:rsidRDefault="00581CC9" w:rsidP="00581CC9">
            <w:pPr>
              <w:pStyle w:val="ListParagraph"/>
              <w:spacing w:line="276" w:lineRule="auto"/>
              <w:rPr>
                <w:lang w:val="en-GB"/>
              </w:rPr>
            </w:pPr>
            <w:r w:rsidRPr="00581CC9">
              <w:rPr>
                <w:lang w:val="en-GB"/>
              </w:rPr>
              <w:t>Mughal gardens, water channels</w:t>
            </w:r>
          </w:p>
        </w:tc>
      </w:tr>
      <w:tr w:rsidR="00581CC9" w:rsidRPr="00581CC9" w14:paraId="11913F7C" w14:textId="77777777">
        <w:trPr>
          <w:tblCellSpacing w:w="15" w:type="dxa"/>
        </w:trPr>
        <w:tc>
          <w:tcPr>
            <w:tcW w:w="0" w:type="auto"/>
            <w:vAlign w:val="center"/>
            <w:hideMark/>
          </w:tcPr>
          <w:p w14:paraId="12222EF3" w14:textId="77777777" w:rsidR="00581CC9" w:rsidRPr="00581CC9" w:rsidRDefault="00581CC9" w:rsidP="00581CC9">
            <w:pPr>
              <w:pStyle w:val="ListParagraph"/>
              <w:spacing w:line="276" w:lineRule="auto"/>
              <w:rPr>
                <w:lang w:val="en-GB"/>
              </w:rPr>
            </w:pPr>
            <w:r w:rsidRPr="00581CC9">
              <w:rPr>
                <w:b/>
                <w:bCs/>
                <w:lang w:val="en-GB"/>
              </w:rPr>
              <w:t>Historical Attributes</w:t>
            </w:r>
          </w:p>
        </w:tc>
        <w:tc>
          <w:tcPr>
            <w:tcW w:w="0" w:type="auto"/>
            <w:vAlign w:val="center"/>
            <w:hideMark/>
          </w:tcPr>
          <w:p w14:paraId="446FD6D3" w14:textId="77777777" w:rsidR="00581CC9" w:rsidRPr="00581CC9" w:rsidRDefault="00581CC9" w:rsidP="00581CC9">
            <w:pPr>
              <w:pStyle w:val="ListParagraph"/>
              <w:spacing w:line="276" w:lineRule="auto"/>
              <w:rPr>
                <w:lang w:val="en-GB"/>
              </w:rPr>
            </w:pPr>
            <w:r w:rsidRPr="00581CC9">
              <w:rPr>
                <w:lang w:val="en-GB"/>
              </w:rPr>
              <w:t>Mughal Empire associations, imperial residence, Independence Day significance</w:t>
            </w:r>
          </w:p>
        </w:tc>
      </w:tr>
      <w:tr w:rsidR="00581CC9" w:rsidRPr="00581CC9" w14:paraId="7E355464" w14:textId="77777777">
        <w:trPr>
          <w:tblCellSpacing w:w="15" w:type="dxa"/>
        </w:trPr>
        <w:tc>
          <w:tcPr>
            <w:tcW w:w="0" w:type="auto"/>
            <w:vAlign w:val="center"/>
            <w:hideMark/>
          </w:tcPr>
          <w:p w14:paraId="0C3D41EE" w14:textId="77777777" w:rsidR="00581CC9" w:rsidRPr="00581CC9" w:rsidRDefault="00581CC9" w:rsidP="00581CC9">
            <w:pPr>
              <w:pStyle w:val="ListParagraph"/>
              <w:spacing w:line="276" w:lineRule="auto"/>
              <w:rPr>
                <w:lang w:val="en-GB"/>
              </w:rPr>
            </w:pPr>
            <w:r w:rsidRPr="00581CC9">
              <w:rPr>
                <w:b/>
                <w:bCs/>
                <w:lang w:val="en-GB"/>
              </w:rPr>
              <w:t>Cultural Attributes</w:t>
            </w:r>
          </w:p>
        </w:tc>
        <w:tc>
          <w:tcPr>
            <w:tcW w:w="0" w:type="auto"/>
            <w:vAlign w:val="center"/>
            <w:hideMark/>
          </w:tcPr>
          <w:p w14:paraId="2516FEAF" w14:textId="77777777" w:rsidR="00581CC9" w:rsidRPr="00581CC9" w:rsidRDefault="00581CC9" w:rsidP="00581CC9">
            <w:pPr>
              <w:pStyle w:val="ListParagraph"/>
              <w:spacing w:line="276" w:lineRule="auto"/>
              <w:rPr>
                <w:lang w:val="en-GB"/>
              </w:rPr>
            </w:pPr>
            <w:r w:rsidRPr="00581CC9">
              <w:rPr>
                <w:lang w:val="en-GB"/>
              </w:rPr>
              <w:t>National ceremonies, cultural identity, tourism value</w:t>
            </w:r>
          </w:p>
        </w:tc>
      </w:tr>
    </w:tbl>
    <w:p w14:paraId="5EF371D8" w14:textId="77777777" w:rsidR="00581CC9" w:rsidRPr="00581CC9" w:rsidRDefault="00581CC9" w:rsidP="00581CC9">
      <w:pPr>
        <w:pStyle w:val="ListParagraph"/>
        <w:spacing w:line="276" w:lineRule="auto"/>
        <w:rPr>
          <w:b/>
          <w:bCs/>
          <w:lang w:val="en-GB"/>
        </w:rPr>
      </w:pPr>
      <w:r w:rsidRPr="00581CC9">
        <w:rPr>
          <w:b/>
          <w:bCs/>
          <w:lang w:val="en-GB"/>
        </w:rPr>
        <w:t>Heritage Significance</w:t>
      </w:r>
    </w:p>
    <w:p w14:paraId="3C634C80" w14:textId="77777777" w:rsidR="00581CC9" w:rsidRPr="00581CC9" w:rsidRDefault="00581CC9" w:rsidP="00581CC9">
      <w:pPr>
        <w:pStyle w:val="ListParagraph"/>
        <w:spacing w:line="276" w:lineRule="auto"/>
        <w:rPr>
          <w:lang w:val="en-GB"/>
        </w:rPr>
      </w:pPr>
      <w:r w:rsidRPr="00581CC9">
        <w:rPr>
          <w:lang w:val="en-GB"/>
        </w:rPr>
        <w:t>The Red Fort's attributes collectively communicate its outstanding heritage significance. The massive red sandstone walls and monumental gateways demonstrate the strength and grandeur of Mughal architecture. Structures such as the Diwan-</w:t>
      </w:r>
      <w:proofErr w:type="spellStart"/>
      <w:r w:rsidRPr="00581CC9">
        <w:rPr>
          <w:lang w:val="en-GB"/>
        </w:rPr>
        <w:t>i</w:t>
      </w:r>
      <w:proofErr w:type="spellEnd"/>
      <w:r w:rsidRPr="00581CC9">
        <w:rPr>
          <w:lang w:val="en-GB"/>
        </w:rPr>
        <w:t>-Aam and Diwan-</w:t>
      </w:r>
      <w:proofErr w:type="spellStart"/>
      <w:r w:rsidRPr="00581CC9">
        <w:rPr>
          <w:lang w:val="en-GB"/>
        </w:rPr>
        <w:t>i</w:t>
      </w:r>
      <w:proofErr w:type="spellEnd"/>
      <w:r w:rsidRPr="00581CC9">
        <w:rPr>
          <w:lang w:val="en-GB"/>
        </w:rPr>
        <w:t>-Khas reveal the political and administrative functions of the Mughal court, while the Rang Mahal and Moti Masjid showcase artistic sophistication and royal lifestyle.</w:t>
      </w:r>
    </w:p>
    <w:p w14:paraId="487AACF5" w14:textId="77777777" w:rsidR="00581CC9" w:rsidRPr="00581CC9" w:rsidRDefault="00581CC9" w:rsidP="00581CC9">
      <w:pPr>
        <w:pStyle w:val="ListParagraph"/>
        <w:spacing w:line="276" w:lineRule="auto"/>
        <w:rPr>
          <w:lang w:val="en-GB"/>
        </w:rPr>
      </w:pPr>
      <w:r w:rsidRPr="00581CC9">
        <w:rPr>
          <w:lang w:val="en-GB"/>
        </w:rPr>
        <w:t>The Nahr-</w:t>
      </w:r>
      <w:proofErr w:type="spellStart"/>
      <w:r w:rsidRPr="00581CC9">
        <w:rPr>
          <w:lang w:val="en-GB"/>
        </w:rPr>
        <w:t>i</w:t>
      </w:r>
      <w:proofErr w:type="spellEnd"/>
      <w:r w:rsidRPr="00581CC9">
        <w:rPr>
          <w:lang w:val="en-GB"/>
        </w:rPr>
        <w:t>-</w:t>
      </w:r>
      <w:proofErr w:type="spellStart"/>
      <w:r w:rsidRPr="00581CC9">
        <w:rPr>
          <w:lang w:val="en-GB"/>
        </w:rPr>
        <w:t>Bihisht</w:t>
      </w:r>
      <w:proofErr w:type="spellEnd"/>
      <w:r w:rsidRPr="00581CC9">
        <w:rPr>
          <w:lang w:val="en-GB"/>
        </w:rPr>
        <w:t xml:space="preserve"> water system and formal gardens illustrate the Mughal concept of paradise and highlight advanced engineering techniques. Artistic elements including marble inlay work, floral motifs, and decorative carvings reflect exceptional craftsmanship and cultural expression.</w:t>
      </w:r>
    </w:p>
    <w:p w14:paraId="254A0068" w14:textId="77777777" w:rsidR="00581CC9" w:rsidRPr="00581CC9" w:rsidRDefault="00581CC9" w:rsidP="00581CC9">
      <w:pPr>
        <w:pStyle w:val="ListParagraph"/>
        <w:spacing w:line="276" w:lineRule="auto"/>
        <w:rPr>
          <w:lang w:val="en-GB"/>
        </w:rPr>
      </w:pPr>
      <w:r w:rsidRPr="00581CC9">
        <w:rPr>
          <w:lang w:val="en-GB"/>
        </w:rPr>
        <w:t>Historically, the Red Fort is closely associated with the Mughal Empire and played a central role in shaping India's political history. Following India's independence in 1947, the fort became a powerful national symbol, with the Prime Minister traditionally addressing the nation from its ramparts on Independence Day. This ongoing cultural and political significance enhances the site's heritage value.</w:t>
      </w:r>
    </w:p>
    <w:p w14:paraId="22FE619C" w14:textId="77777777" w:rsidR="00581CC9" w:rsidRPr="00581CC9" w:rsidRDefault="00581CC9" w:rsidP="00581CC9">
      <w:pPr>
        <w:pStyle w:val="ListParagraph"/>
        <w:spacing w:line="276" w:lineRule="auto"/>
        <w:rPr>
          <w:lang w:val="en-GB"/>
        </w:rPr>
      </w:pPr>
      <w:r w:rsidRPr="00581CC9">
        <w:rPr>
          <w:lang w:val="en-GB"/>
        </w:rPr>
        <w:lastRenderedPageBreak/>
        <w:t>Together, these attributes demonstrate the Red Fort's architectural brilliance, historical importance, and symbolic role in Indian identity. Protecting these attributes is essential for maintaining the site's authenticity, integrity, and Outstanding Universal Value for future generations (UNESCO, 2024; Pendlebury, 2013).</w:t>
      </w:r>
    </w:p>
    <w:p w14:paraId="7D343A28" w14:textId="04245BE7" w:rsidR="00581CC9" w:rsidRPr="00581CC9" w:rsidRDefault="00581CC9" w:rsidP="00581CC9">
      <w:pPr>
        <w:pStyle w:val="ListParagraph"/>
        <w:spacing w:line="276" w:lineRule="auto"/>
        <w:rPr>
          <w:lang w:val="en-GB"/>
        </w:rPr>
      </w:pPr>
    </w:p>
    <w:p w14:paraId="57A80BCA" w14:textId="77777777" w:rsidR="00581CC9" w:rsidRPr="00581CC9" w:rsidRDefault="00581CC9" w:rsidP="00581CC9">
      <w:pPr>
        <w:pStyle w:val="ListParagraph"/>
        <w:spacing w:line="276" w:lineRule="auto"/>
        <w:rPr>
          <w:b/>
          <w:bCs/>
          <w:lang w:val="en-GB"/>
        </w:rPr>
      </w:pPr>
      <w:r w:rsidRPr="00581CC9">
        <w:rPr>
          <w:b/>
          <w:bCs/>
          <w:lang w:val="en-GB"/>
        </w:rPr>
        <w:t>References</w:t>
      </w:r>
    </w:p>
    <w:p w14:paraId="64D91694" w14:textId="77777777" w:rsidR="00581CC9" w:rsidRPr="00581CC9" w:rsidRDefault="00581CC9" w:rsidP="00581CC9">
      <w:pPr>
        <w:pStyle w:val="ListParagraph"/>
        <w:spacing w:line="276" w:lineRule="auto"/>
        <w:rPr>
          <w:lang w:val="en-GB"/>
        </w:rPr>
      </w:pPr>
      <w:proofErr w:type="spellStart"/>
      <w:r w:rsidRPr="00581CC9">
        <w:rPr>
          <w:lang w:val="en-GB"/>
        </w:rPr>
        <w:t>Avrami</w:t>
      </w:r>
      <w:proofErr w:type="spellEnd"/>
      <w:r w:rsidRPr="00581CC9">
        <w:rPr>
          <w:lang w:val="en-GB"/>
        </w:rPr>
        <w:t xml:space="preserve">, E., Mason, R., &amp; de la Torre, M. (2000). </w:t>
      </w:r>
      <w:r w:rsidRPr="00581CC9">
        <w:rPr>
          <w:i/>
          <w:iCs/>
          <w:lang w:val="en-GB"/>
        </w:rPr>
        <w:t>Values and Heritage Conservation</w:t>
      </w:r>
      <w:r w:rsidRPr="00581CC9">
        <w:rPr>
          <w:lang w:val="en-GB"/>
        </w:rPr>
        <w:t>. Getty Conservation Institute. Google Scholar.</w:t>
      </w:r>
    </w:p>
    <w:p w14:paraId="77440F91" w14:textId="77777777" w:rsidR="00581CC9" w:rsidRPr="00581CC9" w:rsidRDefault="00581CC9" w:rsidP="00581CC9">
      <w:pPr>
        <w:pStyle w:val="ListParagraph"/>
        <w:spacing w:line="276" w:lineRule="auto"/>
        <w:rPr>
          <w:lang w:val="en-GB"/>
        </w:rPr>
      </w:pPr>
      <w:proofErr w:type="spellStart"/>
      <w:r w:rsidRPr="00581CC9">
        <w:rPr>
          <w:lang w:val="en-GB"/>
        </w:rPr>
        <w:t>Jokilehto</w:t>
      </w:r>
      <w:proofErr w:type="spellEnd"/>
      <w:r w:rsidRPr="00581CC9">
        <w:rPr>
          <w:lang w:val="en-GB"/>
        </w:rPr>
        <w:t xml:space="preserve">, J. (2006). Considerations on authenticity and integrity in World Heritage context. </w:t>
      </w:r>
      <w:r w:rsidRPr="00581CC9">
        <w:rPr>
          <w:i/>
          <w:iCs/>
          <w:lang w:val="en-GB"/>
        </w:rPr>
        <w:t>City &amp; Time</w:t>
      </w:r>
      <w:r w:rsidRPr="00581CC9">
        <w:rPr>
          <w:lang w:val="en-GB"/>
        </w:rPr>
        <w:t>, 2(1), 1–16. Google Scholar.</w:t>
      </w:r>
    </w:p>
    <w:p w14:paraId="09162BC9" w14:textId="77777777" w:rsidR="00581CC9" w:rsidRPr="00581CC9" w:rsidRDefault="00581CC9" w:rsidP="00581CC9">
      <w:pPr>
        <w:pStyle w:val="ListParagraph"/>
        <w:spacing w:line="276" w:lineRule="auto"/>
        <w:rPr>
          <w:lang w:val="en-GB"/>
        </w:rPr>
      </w:pPr>
      <w:r w:rsidRPr="00581CC9">
        <w:rPr>
          <w:lang w:val="en-GB"/>
        </w:rPr>
        <w:t xml:space="preserve">Pendlebury, J. (2013). Conservation values, the authorised heritage discourse and the conservation-planning assemblage. </w:t>
      </w:r>
      <w:r w:rsidRPr="00581CC9">
        <w:rPr>
          <w:i/>
          <w:iCs/>
          <w:lang w:val="en-GB"/>
        </w:rPr>
        <w:t>International Journal of Heritage Studies</w:t>
      </w:r>
      <w:r w:rsidRPr="00581CC9">
        <w:rPr>
          <w:lang w:val="en-GB"/>
        </w:rPr>
        <w:t xml:space="preserve">, 19(7), 709–727. </w:t>
      </w:r>
      <w:r w:rsidRPr="00581CC9">
        <w:rPr>
          <w:b/>
          <w:bCs/>
          <w:lang w:val="en-GB"/>
        </w:rPr>
        <w:t>DOI:</w:t>
      </w:r>
      <w:r w:rsidRPr="00581CC9">
        <w:rPr>
          <w:lang w:val="en-GB"/>
        </w:rPr>
        <w:t xml:space="preserve"> </w:t>
      </w:r>
      <w:hyperlink r:id="rId6" w:tgtFrame="_new" w:history="1">
        <w:r w:rsidRPr="00581CC9">
          <w:rPr>
            <w:rStyle w:val="Hyperlink"/>
            <w:lang w:val="en-GB"/>
          </w:rPr>
          <w:t>https://doi.org/10.1080/13527258.2012.700282</w:t>
        </w:r>
      </w:hyperlink>
    </w:p>
    <w:p w14:paraId="329A661B" w14:textId="77777777" w:rsidR="00581CC9" w:rsidRPr="00581CC9" w:rsidRDefault="00581CC9" w:rsidP="00581CC9">
      <w:pPr>
        <w:pStyle w:val="ListParagraph"/>
        <w:spacing w:line="276" w:lineRule="auto"/>
        <w:rPr>
          <w:lang w:val="en-GB"/>
        </w:rPr>
      </w:pPr>
      <w:r w:rsidRPr="00581CC9">
        <w:rPr>
          <w:lang w:val="en-GB"/>
        </w:rPr>
        <w:t xml:space="preserve">UNESCO. (2024). </w:t>
      </w:r>
      <w:r w:rsidRPr="00581CC9">
        <w:rPr>
          <w:i/>
          <w:iCs/>
          <w:lang w:val="en-GB"/>
        </w:rPr>
        <w:t>Red Fort Complex – World Heritage Centre</w:t>
      </w:r>
      <w:r w:rsidRPr="00581CC9">
        <w:rPr>
          <w:lang w:val="en-GB"/>
        </w:rPr>
        <w:t xml:space="preserve">. Available at UNESCO World Heritage documentation and Google Scholar: </w:t>
      </w:r>
      <w:hyperlink r:id="rId7" w:tgtFrame="_new" w:history="1">
        <w:r w:rsidRPr="00581CC9">
          <w:rPr>
            <w:rStyle w:val="Hyperlink"/>
            <w:lang w:val="en-GB"/>
          </w:rPr>
          <w:t>https://whc.unesco.org/en/list/231/</w:t>
        </w:r>
      </w:hyperlink>
    </w:p>
    <w:p w14:paraId="77EEBA32" w14:textId="77777777" w:rsidR="00AC08F9" w:rsidRPr="00832BE7" w:rsidRDefault="00AC08F9" w:rsidP="00581CC9">
      <w:pPr>
        <w:pStyle w:val="ListParagraph"/>
        <w:spacing w:line="276" w:lineRule="auto"/>
        <w:rPr>
          <w:lang w:val="en-US"/>
        </w:rPr>
      </w:pPr>
    </w:p>
    <w:sectPr w:rsidR="00AC08F9" w:rsidRPr="00832B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504C307B-AA68-4ACD-A11C-69902C84038C}"/>
    <w:embedBold r:id="rId2" w:fontKey="{B4D59F88-D5D0-48B1-823F-0E7E6DD48C8B}"/>
    <w:embedItalic r:id="rId3" w:fontKey="{C01B6D31-CD2D-496D-AC5D-0CF8CC97913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81B47B01-8B3A-4844-8997-5A76699D41B3}"/>
  </w:font>
  <w:font w:name="Calibri Light">
    <w:panose1 w:val="020F0302020204030204"/>
    <w:charset w:val="00"/>
    <w:family w:val="swiss"/>
    <w:pitch w:val="variable"/>
    <w:sig w:usb0="E4002EFF" w:usb1="C000247B" w:usb2="00000009" w:usb3="00000000" w:csb0="000001FF" w:csb1="00000000"/>
    <w:embedRegular r:id="rId5" w:fontKey="{1E7046A0-37F1-4EEB-B5CE-F108FCBE1E4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E43889"/>
    <w:multiLevelType w:val="multilevel"/>
    <w:tmpl w:val="5ACCD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DBF239E"/>
    <w:multiLevelType w:val="hybridMultilevel"/>
    <w:tmpl w:val="2E6AE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E179CD"/>
    <w:multiLevelType w:val="multilevel"/>
    <w:tmpl w:val="0BC83A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35F5758"/>
    <w:multiLevelType w:val="multilevel"/>
    <w:tmpl w:val="2FA88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B856FCF"/>
    <w:multiLevelType w:val="multilevel"/>
    <w:tmpl w:val="32CE59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55222506">
    <w:abstractNumId w:val="3"/>
  </w:num>
  <w:num w:numId="2" w16cid:durableId="1882092387">
    <w:abstractNumId w:val="7"/>
  </w:num>
  <w:num w:numId="3" w16cid:durableId="1544052912">
    <w:abstractNumId w:val="0"/>
  </w:num>
  <w:num w:numId="4" w16cid:durableId="746540664">
    <w:abstractNumId w:val="1"/>
  </w:num>
  <w:num w:numId="5" w16cid:durableId="1108088842">
    <w:abstractNumId w:val="4"/>
  </w:num>
  <w:num w:numId="6" w16cid:durableId="1713579031">
    <w:abstractNumId w:val="6"/>
  </w:num>
  <w:num w:numId="7" w16cid:durableId="612253008">
    <w:abstractNumId w:val="5"/>
  </w:num>
  <w:num w:numId="8" w16cid:durableId="1246383751">
    <w:abstractNumId w:val="2"/>
  </w:num>
  <w:num w:numId="9" w16cid:durableId="1809786798">
    <w:abstractNumId w:val="9"/>
  </w:num>
  <w:num w:numId="10" w16cid:durableId="1129545498">
    <w:abstractNumId w:val="8"/>
  </w:num>
  <w:num w:numId="11" w16cid:durableId="10618327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1700EC"/>
    <w:rsid w:val="00174BB1"/>
    <w:rsid w:val="00224FD9"/>
    <w:rsid w:val="002F4AE0"/>
    <w:rsid w:val="00384E8A"/>
    <w:rsid w:val="003D1074"/>
    <w:rsid w:val="00426865"/>
    <w:rsid w:val="00477CAA"/>
    <w:rsid w:val="00502E29"/>
    <w:rsid w:val="00581CC9"/>
    <w:rsid w:val="005E458B"/>
    <w:rsid w:val="00672345"/>
    <w:rsid w:val="00705037"/>
    <w:rsid w:val="007714DE"/>
    <w:rsid w:val="007C7917"/>
    <w:rsid w:val="00832BE7"/>
    <w:rsid w:val="00844EC2"/>
    <w:rsid w:val="008516FE"/>
    <w:rsid w:val="00942251"/>
    <w:rsid w:val="009C1D0A"/>
    <w:rsid w:val="00A044F7"/>
    <w:rsid w:val="00A057BE"/>
    <w:rsid w:val="00A343E6"/>
    <w:rsid w:val="00A8150E"/>
    <w:rsid w:val="00AC08F9"/>
    <w:rsid w:val="00B20343"/>
    <w:rsid w:val="00B85EA7"/>
    <w:rsid w:val="00BE65DD"/>
    <w:rsid w:val="00C612A4"/>
    <w:rsid w:val="00C80777"/>
    <w:rsid w:val="00CC6AD1"/>
    <w:rsid w:val="00CF34F8"/>
    <w:rsid w:val="00E6778A"/>
    <w:rsid w:val="00F25F5B"/>
    <w:rsid w:val="00F837B1"/>
    <w:rsid w:val="00F92749"/>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F4049"/>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AC08F9"/>
    <w:rPr>
      <w:color w:val="0563C1" w:themeColor="hyperlink"/>
      <w:u w:val="single"/>
    </w:rPr>
  </w:style>
  <w:style w:type="character" w:styleId="UnresolvedMention">
    <w:name w:val="Unresolved Mention"/>
    <w:basedOn w:val="DefaultParagraphFont"/>
    <w:uiPriority w:val="99"/>
    <w:semiHidden/>
    <w:unhideWhenUsed/>
    <w:rsid w:val="00AC08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hc.unesco.org/en/list/23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13527258.2012.700282"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982</Words>
  <Characters>5603</Characters>
  <Application>Microsoft Office Word</Application>
  <DocSecurity>0</DocSecurity>
  <Lines>46</Lines>
  <Paragraphs>13</Paragraphs>
  <ScaleCrop>false</ScaleCrop>
  <Company/>
  <LinksUpToDate>false</LinksUpToDate>
  <CharactersWithSpaces>6572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2026-06-11T17:53:00Z</dcterms:created>
  <dcterms:modified xsi:type="dcterms:W3CDTF">2026-06-11T17:53:00Z</dcterms:modified>
</cp:coreProperties>
</file>