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5C3E06"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5C3E06" w:rsidRDefault="004A1F6F" w:rsidP="00013DBD">
      <w:pPr>
        <w:spacing w:line="480" w:lineRule="auto"/>
        <w:rPr>
          <w:rFonts w:ascii="Times New Roman" w:hAnsi="Times New Roman" w:cs="Times New Roman"/>
          <w:color w:val="000000" w:themeColor="text1"/>
          <w:szCs w:val="24"/>
          <w:lang w:val="en-US"/>
        </w:rPr>
      </w:pPr>
      <w:r w:rsidRPr="005C3E06">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5C3E06"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5C3E06"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5C3E06" w:rsidRDefault="004A1F6F" w:rsidP="00013DBD">
      <w:pPr>
        <w:spacing w:line="480" w:lineRule="auto"/>
        <w:jc w:val="center"/>
        <w:rPr>
          <w:rFonts w:ascii="Times New Roman" w:hAnsi="Times New Roman" w:cs="Times New Roman"/>
          <w:color w:val="000000" w:themeColor="text1"/>
          <w:szCs w:val="24"/>
        </w:rPr>
      </w:pPr>
    </w:p>
    <w:p w14:paraId="3E48C347" w14:textId="38714760" w:rsidR="00F72ED2" w:rsidRPr="005C3E06" w:rsidRDefault="00523564" w:rsidP="00BF4B05">
      <w:pPr>
        <w:spacing w:line="480" w:lineRule="auto"/>
        <w:jc w:val="center"/>
        <w:rPr>
          <w:rFonts w:ascii="Times New Roman" w:hAnsi="Times New Roman" w:cs="Times New Roman"/>
          <w:b/>
          <w:bCs/>
          <w:color w:val="000000" w:themeColor="text1"/>
          <w:szCs w:val="24"/>
        </w:rPr>
      </w:pPr>
      <w:r w:rsidRPr="005C3E06">
        <w:rPr>
          <w:rFonts w:ascii="Times New Roman" w:hAnsi="Times New Roman" w:cs="Times New Roman"/>
          <w:b/>
          <w:bCs/>
          <w:color w:val="000000" w:themeColor="text1"/>
          <w:szCs w:val="24"/>
        </w:rPr>
        <w:t>Bachelors</w:t>
      </w:r>
      <w:r w:rsidR="00F72ED2" w:rsidRPr="005C3E06">
        <w:rPr>
          <w:rFonts w:ascii="Times New Roman" w:hAnsi="Times New Roman" w:cs="Times New Roman"/>
          <w:b/>
          <w:bCs/>
          <w:color w:val="000000" w:themeColor="text1"/>
          <w:szCs w:val="24"/>
        </w:rPr>
        <w:t xml:space="preserve"> in Tourism and Recreation</w:t>
      </w:r>
    </w:p>
    <w:p w14:paraId="381AABE5" w14:textId="77777777" w:rsidR="003A2BF6" w:rsidRPr="003A2BF6" w:rsidRDefault="003A2BF6" w:rsidP="00BF4B05">
      <w:pPr>
        <w:spacing w:line="480" w:lineRule="auto"/>
        <w:jc w:val="center"/>
        <w:rPr>
          <w:rFonts w:ascii="Times New Roman" w:hAnsi="Times New Roman" w:cs="Times New Roman"/>
          <w:b/>
          <w:bCs/>
          <w:color w:val="000000" w:themeColor="text1"/>
          <w:szCs w:val="24"/>
        </w:rPr>
      </w:pPr>
      <w:r w:rsidRPr="003A2BF6">
        <w:rPr>
          <w:rFonts w:ascii="Times New Roman" w:hAnsi="Times New Roman" w:cs="Times New Roman"/>
          <w:b/>
          <w:bCs/>
          <w:color w:val="000000" w:themeColor="text1"/>
          <w:szCs w:val="24"/>
        </w:rPr>
        <w:t>Planning and Mangement Assignment -3</w:t>
      </w:r>
    </w:p>
    <w:p w14:paraId="6ECEE797" w14:textId="6E90F8C7" w:rsidR="00857685" w:rsidRPr="005C3E06" w:rsidRDefault="0004743A" w:rsidP="00BF4B05">
      <w:pPr>
        <w:spacing w:line="480" w:lineRule="auto"/>
        <w:jc w:val="center"/>
        <w:rPr>
          <w:rFonts w:ascii="Times New Roman" w:hAnsi="Times New Roman" w:cs="Times New Roman"/>
          <w:color w:val="000000" w:themeColor="text1"/>
          <w:szCs w:val="24"/>
          <w:lang w:val="en-US"/>
        </w:rPr>
      </w:pPr>
      <w:r w:rsidRPr="005C3E06">
        <w:rPr>
          <w:rFonts w:ascii="Times New Roman" w:hAnsi="Times New Roman" w:cs="Times New Roman"/>
          <w:b/>
          <w:bCs/>
          <w:color w:val="000000" w:themeColor="text1"/>
          <w:szCs w:val="24"/>
        </w:rPr>
        <w:t xml:space="preserve">Option 3: </w:t>
      </w:r>
      <w:r w:rsidR="003A2BF6" w:rsidRPr="005C3E06">
        <w:rPr>
          <w:rFonts w:ascii="Times New Roman" w:hAnsi="Times New Roman" w:cs="Times New Roman"/>
          <w:b/>
          <w:bCs/>
          <w:color w:val="000000" w:themeColor="text1"/>
          <w:szCs w:val="24"/>
        </w:rPr>
        <w:t>Destination Management and Sustainable Tourism Planning for Christmas and the New Year</w:t>
      </w:r>
    </w:p>
    <w:p w14:paraId="6DAFC10D" w14:textId="77777777" w:rsidR="00857685" w:rsidRPr="005C3E06" w:rsidRDefault="00857685" w:rsidP="00013DBD">
      <w:pPr>
        <w:spacing w:line="480" w:lineRule="auto"/>
        <w:rPr>
          <w:rFonts w:ascii="Times New Roman" w:hAnsi="Times New Roman" w:cs="Times New Roman"/>
          <w:color w:val="000000" w:themeColor="text1"/>
          <w:szCs w:val="24"/>
          <w:lang w:val="en-US"/>
        </w:rPr>
      </w:pPr>
    </w:p>
    <w:p w14:paraId="390859B8" w14:textId="77777777" w:rsidR="003A2BF6" w:rsidRPr="005C3E06" w:rsidRDefault="00D33052" w:rsidP="003A2BF6">
      <w:pPr>
        <w:pStyle w:val="TOCHeading"/>
        <w:spacing w:line="480" w:lineRule="auto"/>
        <w:rPr>
          <w:rFonts w:ascii="Times New Roman" w:hAnsi="Times New Roman" w:cs="Times New Roman"/>
          <w:color w:val="000000" w:themeColor="text1"/>
          <w:sz w:val="24"/>
          <w:szCs w:val="24"/>
        </w:rPr>
      </w:pPr>
      <w:bookmarkStart w:id="0" w:name="_Toc216766358"/>
      <w:r w:rsidRPr="005C3E06">
        <w:rPr>
          <w:rStyle w:val="Heading1Char"/>
          <w:rFonts w:ascii="Times New Roman" w:hAnsi="Times New Roman" w:cs="Times New Roman"/>
          <w:b/>
          <w:bCs/>
          <w:color w:val="000000" w:themeColor="text1"/>
          <w:sz w:val="24"/>
          <w:szCs w:val="24"/>
        </w:rPr>
        <w:lastRenderedPageBreak/>
        <w:t>Abstract</w:t>
      </w:r>
      <w:bookmarkEnd w:id="0"/>
      <w:r w:rsidRPr="005C3E06">
        <w:rPr>
          <w:rFonts w:ascii="Times New Roman" w:hAnsi="Times New Roman" w:cs="Times New Roman"/>
          <w:color w:val="000000" w:themeColor="text1"/>
          <w:sz w:val="24"/>
          <w:szCs w:val="24"/>
        </w:rPr>
        <w:br/>
      </w:r>
      <w:r w:rsidR="003A2BF6" w:rsidRPr="005C3E06">
        <w:rPr>
          <w:rFonts w:ascii="Times New Roman" w:hAnsi="Times New Roman" w:cs="Times New Roman"/>
          <w:color w:val="000000" w:themeColor="text1"/>
          <w:sz w:val="24"/>
          <w:szCs w:val="24"/>
        </w:rPr>
        <w:t>The Christmas and New Year period is one of the busiest times of year for travel around the world. This puts a lot of stress on tourist destinations in terms of infrastructure capacity, environmental sustainability, and community well-being. This research investigates destination management and sustainable tourism planning during the Christmas and New Year period, emphasizing how destinations prepare for peak visitor demand while maintaining sustainability goals. During the holiday season, destinations become overcrowded, produce more waste, use more energy, and cause social problems. This makes effective planning even more important for making sure that destinations stay strong over time.</w:t>
      </w:r>
    </w:p>
    <w:p w14:paraId="1066BEC4" w14:textId="77777777" w:rsidR="003A2BF6" w:rsidRPr="005C3E06" w:rsidRDefault="003A2BF6" w:rsidP="003A2BF6">
      <w:pPr>
        <w:pStyle w:val="TOCHeading"/>
        <w:spacing w:line="480" w:lineRule="auto"/>
        <w:rPr>
          <w:rFonts w:ascii="Times New Roman" w:hAnsi="Times New Roman" w:cs="Times New Roman"/>
          <w:color w:val="000000" w:themeColor="text1"/>
          <w:sz w:val="24"/>
          <w:szCs w:val="24"/>
        </w:rPr>
      </w:pPr>
    </w:p>
    <w:p w14:paraId="50B10D4A" w14:textId="77777777" w:rsidR="003A2BF6" w:rsidRPr="005C3E06" w:rsidRDefault="003A2BF6" w:rsidP="003A2BF6">
      <w:pPr>
        <w:pStyle w:val="TOCHeading"/>
        <w:spacing w:line="480" w:lineRule="auto"/>
        <w:rPr>
          <w:rFonts w:ascii="Times New Roman" w:hAnsi="Times New Roman" w:cs="Times New Roman"/>
          <w:color w:val="000000" w:themeColor="text1"/>
          <w:sz w:val="24"/>
          <w:szCs w:val="24"/>
        </w:rPr>
      </w:pPr>
      <w:r w:rsidRPr="005C3E06">
        <w:rPr>
          <w:rFonts w:ascii="Times New Roman" w:hAnsi="Times New Roman" w:cs="Times New Roman"/>
          <w:color w:val="000000" w:themeColor="text1"/>
          <w:sz w:val="24"/>
          <w:szCs w:val="24"/>
        </w:rPr>
        <w:t>This study employs a qualitative secondary research methodology to examine academic literature, policy reports, and destination management case studies, focusing on sustainable strategies implemented during the festive period. The analysis underscores the significance of cohesive destination management planning, encompassing visitor flow management, sustainable transportation systems, environmental conservation initiatives, and stakeholder collaboration. The literature underscores the significance of destination management organizations (DMOs) in orchestrating collaboration among public and private stakeholders to harmonize festive tourism activities with sustainability objectives.</w:t>
      </w:r>
    </w:p>
    <w:p w14:paraId="3357B08B" w14:textId="77777777" w:rsidR="003A2BF6" w:rsidRPr="005C3E06" w:rsidRDefault="003A2BF6" w:rsidP="003A2BF6">
      <w:pPr>
        <w:pStyle w:val="TOCHeading"/>
        <w:spacing w:line="480" w:lineRule="auto"/>
        <w:rPr>
          <w:rFonts w:ascii="Times New Roman" w:hAnsi="Times New Roman" w:cs="Times New Roman"/>
          <w:color w:val="000000" w:themeColor="text1"/>
          <w:sz w:val="24"/>
          <w:szCs w:val="24"/>
        </w:rPr>
      </w:pPr>
    </w:p>
    <w:p w14:paraId="351F5C48" w14:textId="41628FBA" w:rsidR="00506AB2" w:rsidRPr="005C3E06" w:rsidRDefault="003A2BF6" w:rsidP="003A2BF6">
      <w:pPr>
        <w:pStyle w:val="TOCHeading"/>
        <w:spacing w:line="480" w:lineRule="auto"/>
        <w:rPr>
          <w:rFonts w:ascii="Times New Roman" w:hAnsi="Times New Roman" w:cs="Times New Roman"/>
          <w:sz w:val="24"/>
          <w:szCs w:val="24"/>
        </w:rPr>
      </w:pPr>
      <w:r w:rsidRPr="005C3E06">
        <w:rPr>
          <w:rFonts w:ascii="Times New Roman" w:hAnsi="Times New Roman" w:cs="Times New Roman"/>
          <w:color w:val="000000" w:themeColor="text1"/>
          <w:sz w:val="24"/>
          <w:szCs w:val="24"/>
        </w:rPr>
        <w:lastRenderedPageBreak/>
        <w:t xml:space="preserve">The results show that proactive planning can help destinations improve the experience of visitors while reducing negative effects on the environment and society. During the Christmas and New Year holidays, strategies like crowd dispersion, event scheduling, green infrastructure, waste reduction initiatives, and community engagement have been shown to work especially well. However, it is still hard to find a balance between economic benefits and sustainability goals, especially in places that rely heavily on seasonal tourism. This study enhances comprehension of sustainable destination planning during peak festive periods and provides insights for policymakers and destination managers aiming to foster responsible tourism growth. </w:t>
      </w:r>
    </w:p>
    <w:p w14:paraId="4D5A4CA6" w14:textId="77777777" w:rsidR="009044A7" w:rsidRPr="005C3E06" w:rsidRDefault="009044A7" w:rsidP="00506AB2">
      <w:pPr>
        <w:rPr>
          <w:rFonts w:ascii="Times New Roman" w:hAnsi="Times New Roman" w:cs="Times New Roman"/>
          <w:szCs w:val="24"/>
          <w:lang w:val="en-US" w:bidi="ar-SA"/>
        </w:rPr>
      </w:pPr>
    </w:p>
    <w:p w14:paraId="2D7E22EE" w14:textId="77777777" w:rsidR="009044A7" w:rsidRPr="005C3E06" w:rsidRDefault="009044A7" w:rsidP="00506AB2">
      <w:pPr>
        <w:rPr>
          <w:rFonts w:ascii="Times New Roman" w:hAnsi="Times New Roman" w:cs="Times New Roman"/>
          <w:szCs w:val="24"/>
          <w:lang w:val="en-US" w:bidi="ar-SA"/>
        </w:rPr>
      </w:pPr>
    </w:p>
    <w:p w14:paraId="63E0683D" w14:textId="77777777" w:rsidR="009044A7" w:rsidRPr="005C3E06" w:rsidRDefault="009044A7" w:rsidP="00506AB2">
      <w:pPr>
        <w:rPr>
          <w:rFonts w:ascii="Times New Roman" w:hAnsi="Times New Roman" w:cs="Times New Roman"/>
          <w:szCs w:val="24"/>
          <w:lang w:val="en-US" w:bidi="ar-SA"/>
        </w:rPr>
      </w:pPr>
    </w:p>
    <w:p w14:paraId="6866C0C3" w14:textId="77777777" w:rsidR="009044A7" w:rsidRPr="005C3E06" w:rsidRDefault="009044A7" w:rsidP="00506AB2">
      <w:pPr>
        <w:rPr>
          <w:rFonts w:ascii="Times New Roman" w:hAnsi="Times New Roman" w:cs="Times New Roman"/>
          <w:szCs w:val="24"/>
          <w:lang w:val="en-US" w:bidi="ar-SA"/>
        </w:rPr>
      </w:pPr>
    </w:p>
    <w:p w14:paraId="4E56FA10" w14:textId="77777777" w:rsidR="009044A7" w:rsidRPr="005C3E06" w:rsidRDefault="009044A7" w:rsidP="00506AB2">
      <w:pPr>
        <w:rPr>
          <w:rFonts w:ascii="Times New Roman" w:hAnsi="Times New Roman" w:cs="Times New Roman"/>
          <w:szCs w:val="24"/>
          <w:lang w:val="en-US" w:bidi="ar-SA"/>
        </w:rPr>
      </w:pPr>
    </w:p>
    <w:p w14:paraId="7022B9A4" w14:textId="77777777" w:rsidR="009044A7" w:rsidRPr="005C3E06" w:rsidRDefault="009044A7" w:rsidP="00506AB2">
      <w:pPr>
        <w:rPr>
          <w:rFonts w:ascii="Times New Roman" w:hAnsi="Times New Roman" w:cs="Times New Roman"/>
          <w:szCs w:val="24"/>
          <w:lang w:val="en-US" w:bidi="ar-SA"/>
        </w:rPr>
      </w:pPr>
    </w:p>
    <w:p w14:paraId="770AE15A" w14:textId="77777777" w:rsidR="00A6019D" w:rsidRPr="005C3E06" w:rsidRDefault="00A6019D" w:rsidP="00506AB2">
      <w:pPr>
        <w:rPr>
          <w:rFonts w:ascii="Times New Roman" w:hAnsi="Times New Roman" w:cs="Times New Roman"/>
          <w:szCs w:val="24"/>
          <w:lang w:val="en-US" w:bidi="ar-SA"/>
        </w:rPr>
      </w:pPr>
    </w:p>
    <w:p w14:paraId="5C474C3B" w14:textId="77777777" w:rsidR="00515206" w:rsidRPr="005C3E06" w:rsidRDefault="00515206" w:rsidP="00506AB2">
      <w:pPr>
        <w:rPr>
          <w:rFonts w:ascii="Times New Roman" w:hAnsi="Times New Roman" w:cs="Times New Roman"/>
          <w:szCs w:val="24"/>
          <w:lang w:val="en-US" w:bidi="ar-SA"/>
        </w:rPr>
      </w:pPr>
    </w:p>
    <w:p w14:paraId="759D24DE" w14:textId="77777777" w:rsidR="00515206" w:rsidRPr="005C3E06" w:rsidRDefault="00515206" w:rsidP="00506AB2">
      <w:pPr>
        <w:rPr>
          <w:rFonts w:ascii="Times New Roman" w:hAnsi="Times New Roman" w:cs="Times New Roman"/>
          <w:szCs w:val="24"/>
          <w:lang w:val="en-US" w:bidi="ar-SA"/>
        </w:rPr>
      </w:pPr>
    </w:p>
    <w:p w14:paraId="0D074331" w14:textId="77777777" w:rsidR="00515206" w:rsidRPr="005C3E06" w:rsidRDefault="00515206" w:rsidP="00506AB2">
      <w:pPr>
        <w:rPr>
          <w:rFonts w:ascii="Times New Roman" w:hAnsi="Times New Roman" w:cs="Times New Roman"/>
          <w:szCs w:val="24"/>
          <w:lang w:val="en-US" w:bidi="ar-SA"/>
        </w:rPr>
      </w:pPr>
    </w:p>
    <w:p w14:paraId="4E1AEA86" w14:textId="77777777" w:rsidR="00D6495A" w:rsidRPr="005C3E06" w:rsidRDefault="00D6495A" w:rsidP="00506AB2">
      <w:pPr>
        <w:rPr>
          <w:rFonts w:ascii="Times New Roman" w:hAnsi="Times New Roman" w:cs="Times New Roman"/>
          <w:szCs w:val="24"/>
          <w:lang w:val="en-US" w:bidi="ar-SA"/>
        </w:rPr>
      </w:pPr>
    </w:p>
    <w:p w14:paraId="23DE5281" w14:textId="77777777" w:rsidR="00D6495A" w:rsidRPr="005C3E06" w:rsidRDefault="00D6495A" w:rsidP="00506AB2">
      <w:pPr>
        <w:rPr>
          <w:rFonts w:ascii="Times New Roman" w:hAnsi="Times New Roman" w:cs="Times New Roman"/>
          <w:szCs w:val="24"/>
          <w:lang w:val="en-US" w:bidi="ar-SA"/>
        </w:rPr>
      </w:pPr>
    </w:p>
    <w:p w14:paraId="33E5042C" w14:textId="77777777" w:rsidR="00D6495A" w:rsidRPr="005C3E06" w:rsidRDefault="00D6495A" w:rsidP="00506AB2">
      <w:pPr>
        <w:rPr>
          <w:rFonts w:ascii="Times New Roman" w:hAnsi="Times New Roman" w:cs="Times New Roman"/>
          <w:szCs w:val="24"/>
          <w:lang w:val="en-US" w:bidi="ar-SA"/>
        </w:rPr>
      </w:pPr>
    </w:p>
    <w:p w14:paraId="1FD58336" w14:textId="77777777" w:rsidR="00D6495A" w:rsidRPr="005C3E06" w:rsidRDefault="00D6495A" w:rsidP="00506AB2">
      <w:pPr>
        <w:rPr>
          <w:rFonts w:ascii="Times New Roman" w:hAnsi="Times New Roman" w:cs="Times New Roman"/>
          <w:szCs w:val="24"/>
          <w:lang w:val="en-US" w:bidi="ar-SA"/>
        </w:rPr>
      </w:pPr>
    </w:p>
    <w:p w14:paraId="3CD8EC9A" w14:textId="77777777" w:rsidR="00A6019D" w:rsidRPr="005C3E06" w:rsidRDefault="00A6019D" w:rsidP="00506AB2">
      <w:pPr>
        <w:rPr>
          <w:rFonts w:ascii="Times New Roman" w:hAnsi="Times New Roman" w:cs="Times New Roman"/>
          <w:szCs w:val="24"/>
          <w:lang w:val="en-US" w:bidi="ar-SA"/>
        </w:rPr>
      </w:pPr>
    </w:p>
    <w:p w14:paraId="72D49A58" w14:textId="77777777" w:rsidR="00506AB2" w:rsidRPr="005C3E06" w:rsidRDefault="00506AB2" w:rsidP="00506AB2">
      <w:pPr>
        <w:rPr>
          <w:rFonts w:ascii="Times New Roman" w:hAnsi="Times New Roman" w:cs="Times New Roman"/>
          <w:szCs w:val="24"/>
          <w:lang w:val="en-US" w:bidi="ar-SA"/>
        </w:rPr>
      </w:pPr>
    </w:p>
    <w:p w14:paraId="5A0292FE" w14:textId="77777777" w:rsidR="00506AB2" w:rsidRPr="005C3E06" w:rsidRDefault="00506AB2" w:rsidP="00506AB2">
      <w:pPr>
        <w:rPr>
          <w:rFonts w:ascii="Times New Roman" w:hAnsi="Times New Roman" w:cs="Times New Roman"/>
          <w:szCs w:val="24"/>
          <w:lang w:val="en-US" w:bidi="ar-SA"/>
        </w:rPr>
      </w:pPr>
    </w:p>
    <w:p w14:paraId="4F2C7E5F" w14:textId="77777777" w:rsidR="0004743A" w:rsidRPr="005C3E06" w:rsidRDefault="0004743A" w:rsidP="00506AB2">
      <w:pPr>
        <w:rPr>
          <w:rFonts w:ascii="Times New Roman" w:hAnsi="Times New Roman" w:cs="Times New Roman"/>
          <w:szCs w:val="24"/>
          <w:lang w:val="en-US" w:bidi="ar-SA"/>
        </w:rPr>
      </w:pPr>
    </w:p>
    <w:p w14:paraId="7DC2BF05" w14:textId="77777777" w:rsidR="0004743A" w:rsidRPr="005C3E06" w:rsidRDefault="0004743A" w:rsidP="00506AB2">
      <w:pPr>
        <w:rPr>
          <w:rFonts w:ascii="Times New Roman" w:hAnsi="Times New Roman" w:cs="Times New Roman"/>
          <w:szCs w:val="24"/>
          <w:lang w:val="en-US" w:bidi="ar-SA"/>
        </w:rPr>
      </w:pPr>
    </w:p>
    <w:p w14:paraId="0A37B86D" w14:textId="77777777" w:rsidR="00506AB2" w:rsidRPr="005C3E06" w:rsidRDefault="00506AB2" w:rsidP="00506AB2">
      <w:pPr>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noProof/>
        </w:rPr>
      </w:sdtEndPr>
      <w:sdtContent>
        <w:p w14:paraId="3C74B5CB" w14:textId="21C64F95" w:rsidR="004D7D13" w:rsidRPr="005C3E06" w:rsidRDefault="004D7D13" w:rsidP="005B0192">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Contents</w:t>
          </w:r>
        </w:p>
        <w:p w14:paraId="1DFDE9E3" w14:textId="3C653531" w:rsidR="00496E55" w:rsidRPr="005C3E06"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5C3E06">
            <w:rPr>
              <w:rFonts w:ascii="Times New Roman" w:hAnsi="Times New Roman"/>
              <w:color w:val="000000" w:themeColor="text1"/>
              <w:sz w:val="24"/>
              <w:szCs w:val="24"/>
            </w:rPr>
            <w:fldChar w:fldCharType="begin"/>
          </w:r>
          <w:r w:rsidRPr="005C3E06">
            <w:rPr>
              <w:rFonts w:ascii="Times New Roman" w:hAnsi="Times New Roman"/>
              <w:color w:val="000000" w:themeColor="text1"/>
              <w:sz w:val="24"/>
              <w:szCs w:val="24"/>
            </w:rPr>
            <w:instrText xml:space="preserve"> TOC \o "1-3" \h \z \u </w:instrText>
          </w:r>
          <w:r w:rsidRPr="005C3E06">
            <w:rPr>
              <w:rFonts w:ascii="Times New Roman" w:hAnsi="Times New Roman"/>
              <w:color w:val="000000" w:themeColor="text1"/>
              <w:sz w:val="24"/>
              <w:szCs w:val="24"/>
            </w:rPr>
            <w:fldChar w:fldCharType="separate"/>
          </w:r>
          <w:hyperlink w:anchor="_Toc216766358" w:history="1">
            <w:r w:rsidR="00496E55" w:rsidRPr="005C3E06">
              <w:rPr>
                <w:rStyle w:val="Hyperlink"/>
                <w:rFonts w:ascii="Times New Roman" w:hAnsi="Times New Roman"/>
                <w:noProof/>
                <w:sz w:val="24"/>
                <w:szCs w:val="24"/>
              </w:rPr>
              <w:t>Abstract</w:t>
            </w:r>
            <w:r w:rsidR="00496E55" w:rsidRPr="005C3E06">
              <w:rPr>
                <w:rFonts w:ascii="Times New Roman" w:hAnsi="Times New Roman"/>
                <w:noProof/>
                <w:webHidden/>
                <w:sz w:val="24"/>
                <w:szCs w:val="24"/>
              </w:rPr>
              <w:tab/>
            </w:r>
            <w:r w:rsidR="00496E55" w:rsidRPr="005C3E06">
              <w:rPr>
                <w:rFonts w:ascii="Times New Roman" w:hAnsi="Times New Roman"/>
                <w:noProof/>
                <w:webHidden/>
                <w:sz w:val="24"/>
                <w:szCs w:val="24"/>
              </w:rPr>
              <w:fldChar w:fldCharType="begin"/>
            </w:r>
            <w:r w:rsidR="00496E55" w:rsidRPr="005C3E06">
              <w:rPr>
                <w:rFonts w:ascii="Times New Roman" w:hAnsi="Times New Roman"/>
                <w:noProof/>
                <w:webHidden/>
                <w:sz w:val="24"/>
                <w:szCs w:val="24"/>
              </w:rPr>
              <w:instrText xml:space="preserve"> PAGEREF _Toc216766358 \h </w:instrText>
            </w:r>
            <w:r w:rsidR="00496E55" w:rsidRPr="005C3E06">
              <w:rPr>
                <w:rFonts w:ascii="Times New Roman" w:hAnsi="Times New Roman"/>
                <w:noProof/>
                <w:webHidden/>
                <w:sz w:val="24"/>
                <w:szCs w:val="24"/>
              </w:rPr>
            </w:r>
            <w:r w:rsidR="00496E55" w:rsidRPr="005C3E06">
              <w:rPr>
                <w:rFonts w:ascii="Times New Roman" w:hAnsi="Times New Roman"/>
                <w:noProof/>
                <w:webHidden/>
                <w:sz w:val="24"/>
                <w:szCs w:val="24"/>
              </w:rPr>
              <w:fldChar w:fldCharType="separate"/>
            </w:r>
            <w:r w:rsidR="00496E55" w:rsidRPr="005C3E06">
              <w:rPr>
                <w:rFonts w:ascii="Times New Roman" w:hAnsi="Times New Roman"/>
                <w:noProof/>
                <w:webHidden/>
                <w:sz w:val="24"/>
                <w:szCs w:val="24"/>
              </w:rPr>
              <w:t>2</w:t>
            </w:r>
            <w:r w:rsidR="00496E55" w:rsidRPr="005C3E06">
              <w:rPr>
                <w:rFonts w:ascii="Times New Roman" w:hAnsi="Times New Roman"/>
                <w:noProof/>
                <w:webHidden/>
                <w:sz w:val="24"/>
                <w:szCs w:val="24"/>
              </w:rPr>
              <w:fldChar w:fldCharType="end"/>
            </w:r>
          </w:hyperlink>
        </w:p>
        <w:p w14:paraId="31027465" w14:textId="1D592646" w:rsidR="00496E55" w:rsidRPr="005C3E06"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59" w:history="1">
            <w:r w:rsidRPr="005C3E06">
              <w:rPr>
                <w:rStyle w:val="Hyperlink"/>
                <w:rFonts w:ascii="Times New Roman" w:hAnsi="Times New Roman"/>
                <w:noProof/>
                <w:sz w:val="24"/>
                <w:szCs w:val="24"/>
              </w:rPr>
              <w:t>1.Introduction</w:t>
            </w:r>
            <w:r w:rsidRPr="005C3E06">
              <w:rPr>
                <w:rFonts w:ascii="Times New Roman" w:hAnsi="Times New Roman"/>
                <w:noProof/>
                <w:webHidden/>
                <w:sz w:val="24"/>
                <w:szCs w:val="24"/>
              </w:rPr>
              <w:tab/>
            </w:r>
            <w:r w:rsidRPr="005C3E06">
              <w:rPr>
                <w:rFonts w:ascii="Times New Roman" w:hAnsi="Times New Roman"/>
                <w:noProof/>
                <w:webHidden/>
                <w:sz w:val="24"/>
                <w:szCs w:val="24"/>
              </w:rPr>
              <w:fldChar w:fldCharType="begin"/>
            </w:r>
            <w:r w:rsidRPr="005C3E06">
              <w:rPr>
                <w:rFonts w:ascii="Times New Roman" w:hAnsi="Times New Roman"/>
                <w:noProof/>
                <w:webHidden/>
                <w:sz w:val="24"/>
                <w:szCs w:val="24"/>
              </w:rPr>
              <w:instrText xml:space="preserve"> PAGEREF _Toc216766359 \h </w:instrText>
            </w:r>
            <w:r w:rsidRPr="005C3E06">
              <w:rPr>
                <w:rFonts w:ascii="Times New Roman" w:hAnsi="Times New Roman"/>
                <w:noProof/>
                <w:webHidden/>
                <w:sz w:val="24"/>
                <w:szCs w:val="24"/>
              </w:rPr>
            </w:r>
            <w:r w:rsidRPr="005C3E06">
              <w:rPr>
                <w:rFonts w:ascii="Times New Roman" w:hAnsi="Times New Roman"/>
                <w:noProof/>
                <w:webHidden/>
                <w:sz w:val="24"/>
                <w:szCs w:val="24"/>
              </w:rPr>
              <w:fldChar w:fldCharType="separate"/>
            </w:r>
            <w:r w:rsidRPr="005C3E06">
              <w:rPr>
                <w:rFonts w:ascii="Times New Roman" w:hAnsi="Times New Roman"/>
                <w:noProof/>
                <w:webHidden/>
                <w:sz w:val="24"/>
                <w:szCs w:val="24"/>
              </w:rPr>
              <w:t>4</w:t>
            </w:r>
            <w:r w:rsidRPr="005C3E06">
              <w:rPr>
                <w:rFonts w:ascii="Times New Roman" w:hAnsi="Times New Roman"/>
                <w:noProof/>
                <w:webHidden/>
                <w:sz w:val="24"/>
                <w:szCs w:val="24"/>
              </w:rPr>
              <w:fldChar w:fldCharType="end"/>
            </w:r>
          </w:hyperlink>
        </w:p>
        <w:p w14:paraId="463812BE" w14:textId="1A69D4B7" w:rsidR="00496E55" w:rsidRPr="005C3E06"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0" w:history="1">
            <w:r w:rsidRPr="005C3E06">
              <w:rPr>
                <w:rStyle w:val="Hyperlink"/>
                <w:rFonts w:ascii="Times New Roman" w:hAnsi="Times New Roman"/>
                <w:noProof/>
                <w:sz w:val="24"/>
                <w:szCs w:val="24"/>
              </w:rPr>
              <w:t>2. Literature Review</w:t>
            </w:r>
            <w:r w:rsidRPr="005C3E06">
              <w:rPr>
                <w:rFonts w:ascii="Times New Roman" w:hAnsi="Times New Roman"/>
                <w:noProof/>
                <w:webHidden/>
                <w:sz w:val="24"/>
                <w:szCs w:val="24"/>
              </w:rPr>
              <w:tab/>
            </w:r>
            <w:r w:rsidRPr="005C3E06">
              <w:rPr>
                <w:rFonts w:ascii="Times New Roman" w:hAnsi="Times New Roman"/>
                <w:noProof/>
                <w:webHidden/>
                <w:sz w:val="24"/>
                <w:szCs w:val="24"/>
              </w:rPr>
              <w:fldChar w:fldCharType="begin"/>
            </w:r>
            <w:r w:rsidRPr="005C3E06">
              <w:rPr>
                <w:rFonts w:ascii="Times New Roman" w:hAnsi="Times New Roman"/>
                <w:noProof/>
                <w:webHidden/>
                <w:sz w:val="24"/>
                <w:szCs w:val="24"/>
              </w:rPr>
              <w:instrText xml:space="preserve"> PAGEREF _Toc216766360 \h </w:instrText>
            </w:r>
            <w:r w:rsidRPr="005C3E06">
              <w:rPr>
                <w:rFonts w:ascii="Times New Roman" w:hAnsi="Times New Roman"/>
                <w:noProof/>
                <w:webHidden/>
                <w:sz w:val="24"/>
                <w:szCs w:val="24"/>
              </w:rPr>
            </w:r>
            <w:r w:rsidRPr="005C3E06">
              <w:rPr>
                <w:rFonts w:ascii="Times New Roman" w:hAnsi="Times New Roman"/>
                <w:noProof/>
                <w:webHidden/>
                <w:sz w:val="24"/>
                <w:szCs w:val="24"/>
              </w:rPr>
              <w:fldChar w:fldCharType="separate"/>
            </w:r>
            <w:r w:rsidRPr="005C3E06">
              <w:rPr>
                <w:rFonts w:ascii="Times New Roman" w:hAnsi="Times New Roman"/>
                <w:noProof/>
                <w:webHidden/>
                <w:sz w:val="24"/>
                <w:szCs w:val="24"/>
              </w:rPr>
              <w:t>6</w:t>
            </w:r>
            <w:r w:rsidRPr="005C3E06">
              <w:rPr>
                <w:rFonts w:ascii="Times New Roman" w:hAnsi="Times New Roman"/>
                <w:noProof/>
                <w:webHidden/>
                <w:sz w:val="24"/>
                <w:szCs w:val="24"/>
              </w:rPr>
              <w:fldChar w:fldCharType="end"/>
            </w:r>
          </w:hyperlink>
        </w:p>
        <w:p w14:paraId="7033EADF" w14:textId="77D20FDA" w:rsidR="00496E55" w:rsidRPr="005C3E06"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1" w:history="1">
            <w:r w:rsidRPr="005C3E06">
              <w:rPr>
                <w:rStyle w:val="Hyperlink"/>
                <w:rFonts w:ascii="Times New Roman" w:hAnsi="Times New Roman"/>
                <w:noProof/>
                <w:sz w:val="24"/>
                <w:szCs w:val="24"/>
              </w:rPr>
              <w:t>3 Methodology</w:t>
            </w:r>
            <w:r w:rsidRPr="005C3E06">
              <w:rPr>
                <w:rFonts w:ascii="Times New Roman" w:hAnsi="Times New Roman"/>
                <w:noProof/>
                <w:webHidden/>
                <w:sz w:val="24"/>
                <w:szCs w:val="24"/>
              </w:rPr>
              <w:tab/>
            </w:r>
            <w:r w:rsidRPr="005C3E06">
              <w:rPr>
                <w:rFonts w:ascii="Times New Roman" w:hAnsi="Times New Roman"/>
                <w:noProof/>
                <w:webHidden/>
                <w:sz w:val="24"/>
                <w:szCs w:val="24"/>
              </w:rPr>
              <w:fldChar w:fldCharType="begin"/>
            </w:r>
            <w:r w:rsidRPr="005C3E06">
              <w:rPr>
                <w:rFonts w:ascii="Times New Roman" w:hAnsi="Times New Roman"/>
                <w:noProof/>
                <w:webHidden/>
                <w:sz w:val="24"/>
                <w:szCs w:val="24"/>
              </w:rPr>
              <w:instrText xml:space="preserve"> PAGEREF _Toc216766361 \h </w:instrText>
            </w:r>
            <w:r w:rsidRPr="005C3E06">
              <w:rPr>
                <w:rFonts w:ascii="Times New Roman" w:hAnsi="Times New Roman"/>
                <w:noProof/>
                <w:webHidden/>
                <w:sz w:val="24"/>
                <w:szCs w:val="24"/>
              </w:rPr>
            </w:r>
            <w:r w:rsidRPr="005C3E06">
              <w:rPr>
                <w:rFonts w:ascii="Times New Roman" w:hAnsi="Times New Roman"/>
                <w:noProof/>
                <w:webHidden/>
                <w:sz w:val="24"/>
                <w:szCs w:val="24"/>
              </w:rPr>
              <w:fldChar w:fldCharType="separate"/>
            </w:r>
            <w:r w:rsidRPr="005C3E06">
              <w:rPr>
                <w:rFonts w:ascii="Times New Roman" w:hAnsi="Times New Roman"/>
                <w:noProof/>
                <w:webHidden/>
                <w:sz w:val="24"/>
                <w:szCs w:val="24"/>
              </w:rPr>
              <w:t>11</w:t>
            </w:r>
            <w:r w:rsidRPr="005C3E06">
              <w:rPr>
                <w:rFonts w:ascii="Times New Roman" w:hAnsi="Times New Roman"/>
                <w:noProof/>
                <w:webHidden/>
                <w:sz w:val="24"/>
                <w:szCs w:val="24"/>
              </w:rPr>
              <w:fldChar w:fldCharType="end"/>
            </w:r>
          </w:hyperlink>
        </w:p>
        <w:p w14:paraId="12C663C7" w14:textId="19A07D0D" w:rsidR="00496E55" w:rsidRPr="005C3E06"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2" w:history="1">
            <w:r w:rsidRPr="005C3E06">
              <w:rPr>
                <w:rStyle w:val="Hyperlink"/>
                <w:rFonts w:ascii="Times New Roman" w:hAnsi="Times New Roman"/>
                <w:noProof/>
                <w:sz w:val="24"/>
                <w:szCs w:val="24"/>
              </w:rPr>
              <w:t>4 Finding</w:t>
            </w:r>
            <w:r w:rsidRPr="005C3E06">
              <w:rPr>
                <w:rFonts w:ascii="Times New Roman" w:hAnsi="Times New Roman"/>
                <w:noProof/>
                <w:webHidden/>
                <w:sz w:val="24"/>
                <w:szCs w:val="24"/>
              </w:rPr>
              <w:tab/>
            </w:r>
            <w:r w:rsidRPr="005C3E06">
              <w:rPr>
                <w:rFonts w:ascii="Times New Roman" w:hAnsi="Times New Roman"/>
                <w:noProof/>
                <w:webHidden/>
                <w:sz w:val="24"/>
                <w:szCs w:val="24"/>
              </w:rPr>
              <w:fldChar w:fldCharType="begin"/>
            </w:r>
            <w:r w:rsidRPr="005C3E06">
              <w:rPr>
                <w:rFonts w:ascii="Times New Roman" w:hAnsi="Times New Roman"/>
                <w:noProof/>
                <w:webHidden/>
                <w:sz w:val="24"/>
                <w:szCs w:val="24"/>
              </w:rPr>
              <w:instrText xml:space="preserve"> PAGEREF _Toc216766362 \h </w:instrText>
            </w:r>
            <w:r w:rsidRPr="005C3E06">
              <w:rPr>
                <w:rFonts w:ascii="Times New Roman" w:hAnsi="Times New Roman"/>
                <w:noProof/>
                <w:webHidden/>
                <w:sz w:val="24"/>
                <w:szCs w:val="24"/>
              </w:rPr>
            </w:r>
            <w:r w:rsidRPr="005C3E06">
              <w:rPr>
                <w:rFonts w:ascii="Times New Roman" w:hAnsi="Times New Roman"/>
                <w:noProof/>
                <w:webHidden/>
                <w:sz w:val="24"/>
                <w:szCs w:val="24"/>
              </w:rPr>
              <w:fldChar w:fldCharType="separate"/>
            </w:r>
            <w:r w:rsidRPr="005C3E06">
              <w:rPr>
                <w:rFonts w:ascii="Times New Roman" w:hAnsi="Times New Roman"/>
                <w:noProof/>
                <w:webHidden/>
                <w:sz w:val="24"/>
                <w:szCs w:val="24"/>
              </w:rPr>
              <w:t>13</w:t>
            </w:r>
            <w:r w:rsidRPr="005C3E06">
              <w:rPr>
                <w:rFonts w:ascii="Times New Roman" w:hAnsi="Times New Roman"/>
                <w:noProof/>
                <w:webHidden/>
                <w:sz w:val="24"/>
                <w:szCs w:val="24"/>
              </w:rPr>
              <w:fldChar w:fldCharType="end"/>
            </w:r>
          </w:hyperlink>
        </w:p>
        <w:p w14:paraId="5FEE7905" w14:textId="7D49E72F" w:rsidR="00496E55" w:rsidRPr="005C3E06"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3" w:history="1">
            <w:r w:rsidRPr="005C3E06">
              <w:rPr>
                <w:rStyle w:val="Hyperlink"/>
                <w:rFonts w:ascii="Times New Roman" w:hAnsi="Times New Roman"/>
                <w:noProof/>
                <w:sz w:val="24"/>
                <w:szCs w:val="24"/>
              </w:rPr>
              <w:t>5. Discussion</w:t>
            </w:r>
            <w:r w:rsidRPr="005C3E06">
              <w:rPr>
                <w:rFonts w:ascii="Times New Roman" w:hAnsi="Times New Roman"/>
                <w:noProof/>
                <w:webHidden/>
                <w:sz w:val="24"/>
                <w:szCs w:val="24"/>
              </w:rPr>
              <w:tab/>
            </w:r>
            <w:r w:rsidRPr="005C3E06">
              <w:rPr>
                <w:rFonts w:ascii="Times New Roman" w:hAnsi="Times New Roman"/>
                <w:noProof/>
                <w:webHidden/>
                <w:sz w:val="24"/>
                <w:szCs w:val="24"/>
              </w:rPr>
              <w:fldChar w:fldCharType="begin"/>
            </w:r>
            <w:r w:rsidRPr="005C3E06">
              <w:rPr>
                <w:rFonts w:ascii="Times New Roman" w:hAnsi="Times New Roman"/>
                <w:noProof/>
                <w:webHidden/>
                <w:sz w:val="24"/>
                <w:szCs w:val="24"/>
              </w:rPr>
              <w:instrText xml:space="preserve"> PAGEREF _Toc216766363 \h </w:instrText>
            </w:r>
            <w:r w:rsidRPr="005C3E06">
              <w:rPr>
                <w:rFonts w:ascii="Times New Roman" w:hAnsi="Times New Roman"/>
                <w:noProof/>
                <w:webHidden/>
                <w:sz w:val="24"/>
                <w:szCs w:val="24"/>
              </w:rPr>
            </w:r>
            <w:r w:rsidRPr="005C3E06">
              <w:rPr>
                <w:rFonts w:ascii="Times New Roman" w:hAnsi="Times New Roman"/>
                <w:noProof/>
                <w:webHidden/>
                <w:sz w:val="24"/>
                <w:szCs w:val="24"/>
              </w:rPr>
              <w:fldChar w:fldCharType="separate"/>
            </w:r>
            <w:r w:rsidRPr="005C3E06">
              <w:rPr>
                <w:rFonts w:ascii="Times New Roman" w:hAnsi="Times New Roman"/>
                <w:noProof/>
                <w:webHidden/>
                <w:sz w:val="24"/>
                <w:szCs w:val="24"/>
              </w:rPr>
              <w:t>17</w:t>
            </w:r>
            <w:r w:rsidRPr="005C3E06">
              <w:rPr>
                <w:rFonts w:ascii="Times New Roman" w:hAnsi="Times New Roman"/>
                <w:noProof/>
                <w:webHidden/>
                <w:sz w:val="24"/>
                <w:szCs w:val="24"/>
              </w:rPr>
              <w:fldChar w:fldCharType="end"/>
            </w:r>
          </w:hyperlink>
        </w:p>
        <w:p w14:paraId="5AA5A9B4" w14:textId="310EC4ED" w:rsidR="00496E55" w:rsidRPr="005C3E06"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4" w:history="1">
            <w:r w:rsidRPr="005C3E06">
              <w:rPr>
                <w:rStyle w:val="Hyperlink"/>
                <w:rFonts w:ascii="Times New Roman" w:hAnsi="Times New Roman"/>
                <w:noProof/>
                <w:sz w:val="24"/>
                <w:szCs w:val="24"/>
              </w:rPr>
              <w:t>7. Recommendation</w:t>
            </w:r>
            <w:r w:rsidRPr="005C3E06">
              <w:rPr>
                <w:rFonts w:ascii="Times New Roman" w:hAnsi="Times New Roman"/>
                <w:noProof/>
                <w:webHidden/>
                <w:sz w:val="24"/>
                <w:szCs w:val="24"/>
              </w:rPr>
              <w:tab/>
            </w:r>
            <w:r w:rsidRPr="005C3E06">
              <w:rPr>
                <w:rFonts w:ascii="Times New Roman" w:hAnsi="Times New Roman"/>
                <w:noProof/>
                <w:webHidden/>
                <w:sz w:val="24"/>
                <w:szCs w:val="24"/>
              </w:rPr>
              <w:fldChar w:fldCharType="begin"/>
            </w:r>
            <w:r w:rsidRPr="005C3E06">
              <w:rPr>
                <w:rFonts w:ascii="Times New Roman" w:hAnsi="Times New Roman"/>
                <w:noProof/>
                <w:webHidden/>
                <w:sz w:val="24"/>
                <w:szCs w:val="24"/>
              </w:rPr>
              <w:instrText xml:space="preserve"> PAGEREF _Toc216766364 \h </w:instrText>
            </w:r>
            <w:r w:rsidRPr="005C3E06">
              <w:rPr>
                <w:rFonts w:ascii="Times New Roman" w:hAnsi="Times New Roman"/>
                <w:noProof/>
                <w:webHidden/>
                <w:sz w:val="24"/>
                <w:szCs w:val="24"/>
              </w:rPr>
            </w:r>
            <w:r w:rsidRPr="005C3E06">
              <w:rPr>
                <w:rFonts w:ascii="Times New Roman" w:hAnsi="Times New Roman"/>
                <w:noProof/>
                <w:webHidden/>
                <w:sz w:val="24"/>
                <w:szCs w:val="24"/>
              </w:rPr>
              <w:fldChar w:fldCharType="separate"/>
            </w:r>
            <w:r w:rsidRPr="005C3E06">
              <w:rPr>
                <w:rFonts w:ascii="Times New Roman" w:hAnsi="Times New Roman"/>
                <w:noProof/>
                <w:webHidden/>
                <w:sz w:val="24"/>
                <w:szCs w:val="24"/>
              </w:rPr>
              <w:t>20</w:t>
            </w:r>
            <w:r w:rsidRPr="005C3E06">
              <w:rPr>
                <w:rFonts w:ascii="Times New Roman" w:hAnsi="Times New Roman"/>
                <w:noProof/>
                <w:webHidden/>
                <w:sz w:val="24"/>
                <w:szCs w:val="24"/>
              </w:rPr>
              <w:fldChar w:fldCharType="end"/>
            </w:r>
          </w:hyperlink>
        </w:p>
        <w:p w14:paraId="206C4605" w14:textId="4DEE379D" w:rsidR="00496E55" w:rsidRPr="005C3E06"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5" w:history="1">
            <w:r w:rsidRPr="005C3E06">
              <w:rPr>
                <w:rStyle w:val="Hyperlink"/>
                <w:rFonts w:ascii="Times New Roman" w:hAnsi="Times New Roman"/>
                <w:noProof/>
                <w:sz w:val="24"/>
                <w:szCs w:val="24"/>
              </w:rPr>
              <w:t>8. Conclusion</w:t>
            </w:r>
            <w:r w:rsidRPr="005C3E06">
              <w:rPr>
                <w:rFonts w:ascii="Times New Roman" w:hAnsi="Times New Roman"/>
                <w:noProof/>
                <w:webHidden/>
                <w:sz w:val="24"/>
                <w:szCs w:val="24"/>
              </w:rPr>
              <w:tab/>
            </w:r>
            <w:r w:rsidRPr="005C3E06">
              <w:rPr>
                <w:rFonts w:ascii="Times New Roman" w:hAnsi="Times New Roman"/>
                <w:noProof/>
                <w:webHidden/>
                <w:sz w:val="24"/>
                <w:szCs w:val="24"/>
              </w:rPr>
              <w:fldChar w:fldCharType="begin"/>
            </w:r>
            <w:r w:rsidRPr="005C3E06">
              <w:rPr>
                <w:rFonts w:ascii="Times New Roman" w:hAnsi="Times New Roman"/>
                <w:noProof/>
                <w:webHidden/>
                <w:sz w:val="24"/>
                <w:szCs w:val="24"/>
              </w:rPr>
              <w:instrText xml:space="preserve"> PAGEREF _Toc216766365 \h </w:instrText>
            </w:r>
            <w:r w:rsidRPr="005C3E06">
              <w:rPr>
                <w:rFonts w:ascii="Times New Roman" w:hAnsi="Times New Roman"/>
                <w:noProof/>
                <w:webHidden/>
                <w:sz w:val="24"/>
                <w:szCs w:val="24"/>
              </w:rPr>
            </w:r>
            <w:r w:rsidRPr="005C3E06">
              <w:rPr>
                <w:rFonts w:ascii="Times New Roman" w:hAnsi="Times New Roman"/>
                <w:noProof/>
                <w:webHidden/>
                <w:sz w:val="24"/>
                <w:szCs w:val="24"/>
              </w:rPr>
              <w:fldChar w:fldCharType="separate"/>
            </w:r>
            <w:r w:rsidRPr="005C3E06">
              <w:rPr>
                <w:rFonts w:ascii="Times New Roman" w:hAnsi="Times New Roman"/>
                <w:noProof/>
                <w:webHidden/>
                <w:sz w:val="24"/>
                <w:szCs w:val="24"/>
              </w:rPr>
              <w:t>22</w:t>
            </w:r>
            <w:r w:rsidRPr="005C3E06">
              <w:rPr>
                <w:rFonts w:ascii="Times New Roman" w:hAnsi="Times New Roman"/>
                <w:noProof/>
                <w:webHidden/>
                <w:sz w:val="24"/>
                <w:szCs w:val="24"/>
              </w:rPr>
              <w:fldChar w:fldCharType="end"/>
            </w:r>
          </w:hyperlink>
        </w:p>
        <w:p w14:paraId="74C6E94E" w14:textId="756ED05D" w:rsidR="00496E55" w:rsidRPr="005C3E06"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6" w:history="1">
            <w:r w:rsidRPr="005C3E06">
              <w:rPr>
                <w:rStyle w:val="Hyperlink"/>
                <w:rFonts w:ascii="Times New Roman" w:hAnsi="Times New Roman"/>
                <w:noProof/>
                <w:sz w:val="24"/>
                <w:szCs w:val="24"/>
              </w:rPr>
              <w:t>Reference List</w:t>
            </w:r>
            <w:r w:rsidRPr="005C3E06">
              <w:rPr>
                <w:rFonts w:ascii="Times New Roman" w:hAnsi="Times New Roman"/>
                <w:noProof/>
                <w:webHidden/>
                <w:sz w:val="24"/>
                <w:szCs w:val="24"/>
              </w:rPr>
              <w:tab/>
            </w:r>
            <w:r w:rsidRPr="005C3E06">
              <w:rPr>
                <w:rFonts w:ascii="Times New Roman" w:hAnsi="Times New Roman"/>
                <w:noProof/>
                <w:webHidden/>
                <w:sz w:val="24"/>
                <w:szCs w:val="24"/>
              </w:rPr>
              <w:fldChar w:fldCharType="begin"/>
            </w:r>
            <w:r w:rsidRPr="005C3E06">
              <w:rPr>
                <w:rFonts w:ascii="Times New Roman" w:hAnsi="Times New Roman"/>
                <w:noProof/>
                <w:webHidden/>
                <w:sz w:val="24"/>
                <w:szCs w:val="24"/>
              </w:rPr>
              <w:instrText xml:space="preserve"> PAGEREF _Toc216766366 \h </w:instrText>
            </w:r>
            <w:r w:rsidRPr="005C3E06">
              <w:rPr>
                <w:rFonts w:ascii="Times New Roman" w:hAnsi="Times New Roman"/>
                <w:noProof/>
                <w:webHidden/>
                <w:sz w:val="24"/>
                <w:szCs w:val="24"/>
              </w:rPr>
            </w:r>
            <w:r w:rsidRPr="005C3E06">
              <w:rPr>
                <w:rFonts w:ascii="Times New Roman" w:hAnsi="Times New Roman"/>
                <w:noProof/>
                <w:webHidden/>
                <w:sz w:val="24"/>
                <w:szCs w:val="24"/>
              </w:rPr>
              <w:fldChar w:fldCharType="separate"/>
            </w:r>
            <w:r w:rsidRPr="005C3E06">
              <w:rPr>
                <w:rFonts w:ascii="Times New Roman" w:hAnsi="Times New Roman"/>
                <w:noProof/>
                <w:webHidden/>
                <w:sz w:val="24"/>
                <w:szCs w:val="24"/>
              </w:rPr>
              <w:t>24</w:t>
            </w:r>
            <w:r w:rsidRPr="005C3E06">
              <w:rPr>
                <w:rFonts w:ascii="Times New Roman" w:hAnsi="Times New Roman"/>
                <w:noProof/>
                <w:webHidden/>
                <w:sz w:val="24"/>
                <w:szCs w:val="24"/>
              </w:rPr>
              <w:fldChar w:fldCharType="end"/>
            </w:r>
          </w:hyperlink>
        </w:p>
        <w:p w14:paraId="646EF9D8" w14:textId="0DF15E15" w:rsidR="004D7D13" w:rsidRPr="005C3E06" w:rsidRDefault="004D7D13" w:rsidP="00013DBD">
          <w:pPr>
            <w:spacing w:line="480" w:lineRule="auto"/>
            <w:rPr>
              <w:rFonts w:ascii="Times New Roman" w:hAnsi="Times New Roman" w:cs="Times New Roman"/>
              <w:color w:val="000000" w:themeColor="text1"/>
              <w:szCs w:val="24"/>
            </w:rPr>
          </w:pPr>
          <w:r w:rsidRPr="005C3E06">
            <w:rPr>
              <w:rFonts w:ascii="Times New Roman" w:hAnsi="Times New Roman" w:cs="Times New Roman"/>
              <w:noProof/>
              <w:color w:val="000000" w:themeColor="text1"/>
              <w:szCs w:val="24"/>
            </w:rPr>
            <w:fldChar w:fldCharType="end"/>
          </w:r>
        </w:p>
      </w:sdtContent>
    </w:sdt>
    <w:p w14:paraId="1EDA022C" w14:textId="77777777" w:rsidR="004D7D13" w:rsidRPr="005C3E06" w:rsidRDefault="004D7D13" w:rsidP="00013DBD">
      <w:pPr>
        <w:spacing w:line="480" w:lineRule="auto"/>
        <w:rPr>
          <w:rFonts w:ascii="Times New Roman" w:hAnsi="Times New Roman" w:cs="Times New Roman"/>
          <w:color w:val="000000" w:themeColor="text1"/>
          <w:szCs w:val="24"/>
        </w:rPr>
      </w:pPr>
    </w:p>
    <w:p w14:paraId="19B15F5F" w14:textId="77777777" w:rsidR="0095171B" w:rsidRPr="005C3E06" w:rsidRDefault="0095171B" w:rsidP="00013DBD">
      <w:pPr>
        <w:spacing w:line="480" w:lineRule="auto"/>
        <w:rPr>
          <w:rFonts w:ascii="Times New Roman" w:hAnsi="Times New Roman" w:cs="Times New Roman"/>
          <w:color w:val="000000" w:themeColor="text1"/>
          <w:szCs w:val="24"/>
        </w:rPr>
      </w:pPr>
    </w:p>
    <w:p w14:paraId="73636B03" w14:textId="77777777" w:rsidR="0095171B" w:rsidRPr="005C3E06" w:rsidRDefault="0095171B" w:rsidP="00013DBD">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br w:type="page"/>
      </w:r>
    </w:p>
    <w:p w14:paraId="6481512E" w14:textId="072866A3" w:rsidR="0086710E" w:rsidRPr="005C3E06" w:rsidRDefault="002B0CE3" w:rsidP="0086710E">
      <w:pPr>
        <w:spacing w:line="480" w:lineRule="auto"/>
        <w:rPr>
          <w:rFonts w:ascii="Times New Roman" w:hAnsi="Times New Roman" w:cs="Times New Roman"/>
          <w:b/>
          <w:bCs/>
          <w:color w:val="000000" w:themeColor="text1"/>
          <w:szCs w:val="24"/>
        </w:rPr>
      </w:pPr>
      <w:bookmarkStart w:id="1" w:name="_Toc216766359"/>
      <w:r w:rsidRPr="005C3E06">
        <w:rPr>
          <w:rStyle w:val="Heading1Char"/>
          <w:rFonts w:ascii="Times New Roman" w:hAnsi="Times New Roman" w:cs="Times New Roman"/>
          <w:b/>
          <w:bCs/>
          <w:color w:val="000000" w:themeColor="text1"/>
          <w:sz w:val="24"/>
          <w:szCs w:val="24"/>
        </w:rPr>
        <w:lastRenderedPageBreak/>
        <w:t>1</w:t>
      </w:r>
      <w:r w:rsidR="004D7D13" w:rsidRPr="005C3E06">
        <w:rPr>
          <w:rStyle w:val="Heading1Char"/>
          <w:rFonts w:ascii="Times New Roman" w:hAnsi="Times New Roman" w:cs="Times New Roman"/>
          <w:b/>
          <w:bCs/>
          <w:color w:val="000000" w:themeColor="text1"/>
          <w:sz w:val="24"/>
          <w:szCs w:val="24"/>
        </w:rPr>
        <w:t>.</w:t>
      </w:r>
      <w:r w:rsidR="0095171B" w:rsidRPr="005C3E06">
        <w:rPr>
          <w:rStyle w:val="Heading1Char"/>
          <w:rFonts w:ascii="Times New Roman" w:hAnsi="Times New Roman" w:cs="Times New Roman"/>
          <w:b/>
          <w:bCs/>
          <w:color w:val="000000" w:themeColor="text1"/>
          <w:sz w:val="24"/>
          <w:szCs w:val="24"/>
        </w:rPr>
        <w:t>Introduction</w:t>
      </w:r>
      <w:bookmarkEnd w:id="1"/>
      <w:r w:rsidR="0095171B" w:rsidRPr="005C3E06">
        <w:rPr>
          <w:rStyle w:val="Heading1Char"/>
          <w:rFonts w:ascii="Times New Roman" w:hAnsi="Times New Roman" w:cs="Times New Roman"/>
          <w:b/>
          <w:bCs/>
          <w:color w:val="000000" w:themeColor="text1"/>
          <w:sz w:val="24"/>
          <w:szCs w:val="24"/>
        </w:rPr>
        <w:t xml:space="preserve"> </w:t>
      </w:r>
    </w:p>
    <w:p w14:paraId="6D1F0418" w14:textId="5A6F9DFE" w:rsidR="003A63C5" w:rsidRPr="005C3E06" w:rsidRDefault="003A63C5" w:rsidP="003A63C5">
      <w:pPr>
        <w:spacing w:line="480" w:lineRule="auto"/>
        <w:rPr>
          <w:rFonts w:ascii="Times New Roman" w:hAnsi="Times New Roman" w:cs="Times New Roman"/>
          <w:color w:val="000000" w:themeColor="text1"/>
          <w:szCs w:val="24"/>
        </w:rPr>
      </w:pPr>
      <w:bookmarkStart w:id="2" w:name="_Toc216766360"/>
      <w:r w:rsidRPr="005C3E06">
        <w:rPr>
          <w:rFonts w:ascii="Times New Roman" w:hAnsi="Times New Roman" w:cs="Times New Roman"/>
          <w:color w:val="000000" w:themeColor="text1"/>
          <w:szCs w:val="24"/>
        </w:rPr>
        <w:t>The Christmas and New Year season is one of the busiest times for tourism around the world. More people want to travel, there are big events going on, and the economy is busier. Many people from both the US and other countries visit popular places during this time, which causes traffic jams, environmental stress, and social pressure on the communities that host them. Festive tourism brings in a lot of money, but it also makes problems with sustainability, destination carrying capacity, and the quality of life for residents worse. As a result, managing the Christmas and New Year tourism surge has made destination management and sustainable tourism planning very important.</w:t>
      </w:r>
    </w:p>
    <w:p w14:paraId="7377C9B0" w14:textId="4839549B" w:rsidR="003A63C5" w:rsidRPr="005C3E06" w:rsidRDefault="003A63C5" w:rsidP="003A63C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Destination management is the coordinated management of all the parts that make up a tourist destination, such as attractions, infrastructure, services, stakeholders, and the local community (UNWTO, 2019). During busy holiday times, destination management organizations (DMOs) are in charge of planning and coordinating tourism activities to make sure that visitor demand is met without harming the environment or social cohesion. In this case, sustainable tourism planning tries to find a balance between protecting the environment and the economy and preserving cultural and social values.</w:t>
      </w:r>
    </w:p>
    <w:p w14:paraId="5C82B0E5" w14:textId="4373B025" w:rsidR="003A63C5" w:rsidRPr="005C3E06" w:rsidRDefault="003A63C5" w:rsidP="003A63C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The Christmas and New Year season brings its own set of problems for sustainability. More visitors put a strain on transportation systems, places to stay, public spaces, and natural resources. During holidays and celebrations, people usually make more waste, use more energy, use more water, and release more carbon dioxide (Gössling et al., 2020). Also, too many tourists and too many people living in an area may make visitors less happy and make locals think less of tourism. These problems show how important it is to use proactive and integrated planning methods that include sustainability principles in destination management strategies.</w:t>
      </w:r>
    </w:p>
    <w:p w14:paraId="6C71D8CE" w14:textId="525C8C00" w:rsidR="003A63C5" w:rsidRPr="005C3E06" w:rsidRDefault="003A63C5" w:rsidP="003A63C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lastRenderedPageBreak/>
        <w:t>Sustainable tourism planning focuses on making destinations more resilient in the long term by encouraging responsible use of resources, protecting the environment, and getting the community involved (Bramwell &amp; Lane, 2011). This includes things like managing the flow of visitors, spreading out crowds by scheduling events, promoting attractions that are less busy, and encouraging people to use public transportation. Also, good planning means getting local stakeholders, such as residents, businesses, and public authorities, involved to make sure that tourism development fits with the values and goals of the community and the environment.</w:t>
      </w:r>
    </w:p>
    <w:p w14:paraId="5585DCBA" w14:textId="2583F50C" w:rsidR="003A63C5" w:rsidRPr="005C3E06" w:rsidRDefault="003A63C5" w:rsidP="003A63C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Recent studies show that visitor experience and sustainability don't have to be at odds with each other; in fact, they can work together to make each other better. Timur and Getz (2009) say that well-planned holiday events, good public transportation, and clean, well-kept public spaces make both visitors happier and the destination more sustainable. If a destination doesn't plan well, it could hurt its reputation for a long time, harm the environment, and make the community less welcoming to tourists.</w:t>
      </w:r>
    </w:p>
    <w:p w14:paraId="6C38D11E" w14:textId="0B71BD9D" w:rsidR="00515206" w:rsidRPr="005C3E06" w:rsidRDefault="003A63C5" w:rsidP="003A63C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This report's goal is to look at how tourist spots get ready for the Christmas and New Year rush while keeping sustainability in mind. It will also talk about how destination planning can help balance visitor experience with sustainability goals. This study aims to offer insights into optimal practices for the sustainable management of festive tourism and the facilitation of long-term destination development by synthesizing academic literature and policy-oriented evidence.</w:t>
      </w:r>
    </w:p>
    <w:p w14:paraId="60AB1029" w14:textId="77777777" w:rsidR="00515206" w:rsidRPr="005C3E06" w:rsidRDefault="00515206" w:rsidP="005A0604">
      <w:pPr>
        <w:spacing w:line="480" w:lineRule="auto"/>
        <w:rPr>
          <w:rFonts w:ascii="Times New Roman" w:hAnsi="Times New Roman" w:cs="Times New Roman"/>
          <w:color w:val="000000" w:themeColor="text1"/>
          <w:szCs w:val="24"/>
        </w:rPr>
      </w:pPr>
    </w:p>
    <w:p w14:paraId="10424250" w14:textId="77777777" w:rsidR="005A0604" w:rsidRPr="005C3E06" w:rsidRDefault="005A0604" w:rsidP="005660B8">
      <w:pPr>
        <w:spacing w:line="480" w:lineRule="auto"/>
        <w:rPr>
          <w:rStyle w:val="Heading1Char"/>
          <w:rFonts w:ascii="Times New Roman" w:hAnsi="Times New Roman" w:cs="Times New Roman"/>
          <w:color w:val="000000" w:themeColor="text1"/>
          <w:sz w:val="24"/>
          <w:szCs w:val="24"/>
        </w:rPr>
      </w:pPr>
    </w:p>
    <w:p w14:paraId="1695542F" w14:textId="77777777" w:rsidR="003A63C5" w:rsidRPr="005C3E06" w:rsidRDefault="003A63C5" w:rsidP="005660B8">
      <w:pPr>
        <w:spacing w:line="480" w:lineRule="auto"/>
        <w:rPr>
          <w:rStyle w:val="Heading1Char"/>
          <w:rFonts w:ascii="Times New Roman" w:hAnsi="Times New Roman" w:cs="Times New Roman"/>
          <w:color w:val="000000" w:themeColor="text1"/>
          <w:sz w:val="24"/>
          <w:szCs w:val="24"/>
        </w:rPr>
      </w:pPr>
    </w:p>
    <w:p w14:paraId="6E355E6E" w14:textId="7382AC08" w:rsidR="008C6497" w:rsidRPr="005C3E06" w:rsidRDefault="002B0CE3" w:rsidP="008C6497">
      <w:pPr>
        <w:spacing w:line="480" w:lineRule="auto"/>
        <w:rPr>
          <w:rFonts w:ascii="Times New Roman" w:hAnsi="Times New Roman" w:cs="Times New Roman"/>
          <w:color w:val="000000" w:themeColor="text1"/>
          <w:szCs w:val="24"/>
        </w:rPr>
      </w:pPr>
      <w:r w:rsidRPr="005C3E06">
        <w:rPr>
          <w:rStyle w:val="Heading1Char"/>
          <w:rFonts w:ascii="Times New Roman" w:hAnsi="Times New Roman" w:cs="Times New Roman"/>
          <w:b/>
          <w:bCs/>
          <w:color w:val="000000" w:themeColor="text1"/>
          <w:sz w:val="24"/>
          <w:szCs w:val="24"/>
        </w:rPr>
        <w:lastRenderedPageBreak/>
        <w:t>2</w:t>
      </w:r>
      <w:r w:rsidR="0095171B" w:rsidRPr="005C3E06">
        <w:rPr>
          <w:rStyle w:val="Heading1Char"/>
          <w:rFonts w:ascii="Times New Roman" w:hAnsi="Times New Roman" w:cs="Times New Roman"/>
          <w:b/>
          <w:bCs/>
          <w:color w:val="000000" w:themeColor="text1"/>
          <w:sz w:val="24"/>
          <w:szCs w:val="24"/>
        </w:rPr>
        <w:t>. Literature Review</w:t>
      </w:r>
      <w:bookmarkEnd w:id="2"/>
      <w:r w:rsidR="0095171B" w:rsidRPr="005C3E06">
        <w:rPr>
          <w:rFonts w:ascii="Times New Roman" w:hAnsi="Times New Roman" w:cs="Times New Roman"/>
          <w:color w:val="000000" w:themeColor="text1"/>
          <w:szCs w:val="24"/>
        </w:rPr>
        <w:t xml:space="preserve"> </w:t>
      </w:r>
      <w:r w:rsidR="0095171B" w:rsidRPr="005C3E06">
        <w:rPr>
          <w:rFonts w:ascii="Times New Roman" w:hAnsi="Times New Roman" w:cs="Times New Roman"/>
          <w:color w:val="000000" w:themeColor="text1"/>
          <w:szCs w:val="24"/>
        </w:rPr>
        <w:br/>
      </w:r>
      <w:bookmarkStart w:id="3" w:name="_Toc216766361"/>
      <w:r w:rsidR="008C6497" w:rsidRPr="005C3E06">
        <w:rPr>
          <w:rFonts w:ascii="Times New Roman" w:hAnsi="Times New Roman" w:cs="Times New Roman"/>
          <w:color w:val="000000" w:themeColor="text1"/>
          <w:szCs w:val="24"/>
        </w:rPr>
        <w:t>The Christmas and New Year holidays are a very stressful time for tourist destinations because they are the busiest times of the year and the most pressure is put on the environment, society, and infrastructure. The literature on destination management and sustainable tourism planning emphasizes the necessity of proactive, integrated strategies for managing festive tourism while ensuring the long-term sustainability of destinations. This review critically evaluates current research on destination management during peak seasons, sustainable tourism planning frameworks, visitor management strategies, and the equilibrium between visitor experience and sustainability objectives.</w:t>
      </w:r>
      <w:r w:rsidR="008C6497" w:rsidRPr="005C3E06">
        <w:rPr>
          <w:rFonts w:ascii="Times New Roman" w:hAnsi="Times New Roman" w:cs="Times New Roman"/>
          <w:color w:val="000000" w:themeColor="text1"/>
          <w:szCs w:val="24"/>
        </w:rPr>
        <w:br/>
        <w:t>2.1 Managing Destinations and Tourism During Peak Season</w:t>
      </w:r>
      <w:r w:rsidR="008C6497" w:rsidRPr="005C3E06">
        <w:rPr>
          <w:rFonts w:ascii="Times New Roman" w:hAnsi="Times New Roman" w:cs="Times New Roman"/>
          <w:color w:val="000000" w:themeColor="text1"/>
          <w:szCs w:val="24"/>
        </w:rPr>
        <w:br/>
        <w:t>The UNWTO (2019) says that destination management is the coordinated process of planning, developing, and managing tourism resources, services, and stakeholders to get long-term results for the destination. Managing a destination is especially hard during busy times like Christmas and New Year when there are a lot of visitors, events that happen at certain times, and more people needing services. Research indicates that destinations without coordinated management frameworks are more susceptible to overcrowding, service disruptions, and environmental degradation during festive seasons (Timur &amp; Getz, 2009).</w:t>
      </w:r>
      <w:r w:rsidR="008C6497" w:rsidRPr="005C3E06">
        <w:rPr>
          <w:rFonts w:ascii="Times New Roman" w:hAnsi="Times New Roman" w:cs="Times New Roman"/>
          <w:color w:val="000000" w:themeColor="text1"/>
          <w:szCs w:val="24"/>
        </w:rPr>
        <w:br/>
        <w:t xml:space="preserve">Destination management organizations (DMOs) are very important for planning festive tourism events. Studies show that DMOs help public authorities, tourism businesses, transportation providers, and local communities work together to make sure that short-term event planning is in line with long-term sustainability goals (Bramwell &amp; Lane, 2011). To manage a destination well during Christmas, you need to keep an eye on the number of visitors, the capacity of the infrastructure, and environmental indicators in real time to make sure that demand doesn't exceed </w:t>
      </w:r>
      <w:r w:rsidR="008C6497" w:rsidRPr="005C3E06">
        <w:rPr>
          <w:rFonts w:ascii="Times New Roman" w:hAnsi="Times New Roman" w:cs="Times New Roman"/>
          <w:color w:val="000000" w:themeColor="text1"/>
          <w:szCs w:val="24"/>
        </w:rPr>
        <w:lastRenderedPageBreak/>
        <w:t>capacity.</w:t>
      </w:r>
      <w:r w:rsidR="008C6497" w:rsidRPr="005C3E06">
        <w:rPr>
          <w:rFonts w:ascii="Times New Roman" w:hAnsi="Times New Roman" w:cs="Times New Roman"/>
          <w:color w:val="000000" w:themeColor="text1"/>
          <w:szCs w:val="24"/>
        </w:rPr>
        <w:br/>
        <w:t>2.2 Frameworks for Planning Sustainable Tourism</w:t>
      </w:r>
      <w:r w:rsidR="008C6497" w:rsidRPr="005C3E06">
        <w:rPr>
          <w:rFonts w:ascii="Times New Roman" w:hAnsi="Times New Roman" w:cs="Times New Roman"/>
          <w:color w:val="000000" w:themeColor="text1"/>
          <w:szCs w:val="24"/>
        </w:rPr>
        <w:br/>
        <w:t>The principles of environmental protection, socio-cultural integrity, and economic viability are the basis for sustainable tourism planning. The literature stresses that sustainability should be an integral part of destination planning, not an extra feature, especially during busy times like holidays (Hall, 2011). Strategic planning frameworks promote long-term visioning, stakeholder involvement, and adaptive management to respond to changing patterns of demand.</w:t>
      </w:r>
      <w:r w:rsidR="008C6497" w:rsidRPr="005C3E06">
        <w:rPr>
          <w:rFonts w:ascii="Times New Roman" w:hAnsi="Times New Roman" w:cs="Times New Roman"/>
          <w:color w:val="000000" w:themeColor="text1"/>
          <w:szCs w:val="24"/>
        </w:rPr>
        <w:br/>
        <w:t>Numerous studies underscore the significance of carrying capacity and limits of acceptable change (LAC) frameworks in the management of festive tourism (McCool &amp; Lime, 2001). These frameworks assist destination managers in recognizing thresholds at which the impacts of tourism become intolerable. During Christmas and New Year, temporary spikes in visitor numbers may push destinations over these limits, so it is important to plan ahead and have ways to deal with the situation.</w:t>
      </w:r>
      <w:r w:rsidR="008C6497" w:rsidRPr="005C3E06">
        <w:rPr>
          <w:rFonts w:ascii="Times New Roman" w:hAnsi="Times New Roman" w:cs="Times New Roman"/>
          <w:color w:val="000000" w:themeColor="text1"/>
          <w:szCs w:val="24"/>
        </w:rPr>
        <w:br/>
        <w:t>2.3 Managing crowds and visitor flow</w:t>
      </w:r>
      <w:r w:rsidR="008C6497" w:rsidRPr="005C3E06">
        <w:rPr>
          <w:rFonts w:ascii="Times New Roman" w:hAnsi="Times New Roman" w:cs="Times New Roman"/>
          <w:color w:val="000000" w:themeColor="text1"/>
          <w:szCs w:val="24"/>
        </w:rPr>
        <w:br/>
        <w:t>One of the most talked-about ideas in the literature on sustainable destination management is how to handle the flow of visitors. Gössling et al. (2020) say that overcrowding at Christmas markets, New Year's celebrations, and winter festivals is a big problem for cities and heritage sites. When there are a lot of visitors in one area, it makes both visitors and residents' lives worse.</w:t>
      </w:r>
      <w:r w:rsidR="008C6497" w:rsidRPr="005C3E06">
        <w:rPr>
          <w:rFonts w:ascii="Times New Roman" w:hAnsi="Times New Roman" w:cs="Times New Roman"/>
          <w:color w:val="000000" w:themeColor="text1"/>
          <w:szCs w:val="24"/>
        </w:rPr>
        <w:br/>
        <w:t xml:space="preserve">Research indicates that crowd management techniques, including timed entry systems, spatial dispersion of events, and the promotion of alternative attractions, can significantly alleviate pressure on critical sites (UNWTO, 2021). During the holiday season, scheduling events at different places and times works best because it spreads out the demand for visitors more evenly. </w:t>
      </w:r>
      <w:r w:rsidR="008C6497" w:rsidRPr="005C3E06">
        <w:rPr>
          <w:rFonts w:ascii="Times New Roman" w:hAnsi="Times New Roman" w:cs="Times New Roman"/>
          <w:color w:val="000000" w:themeColor="text1"/>
          <w:szCs w:val="24"/>
        </w:rPr>
        <w:lastRenderedPageBreak/>
        <w:t>Digital tools, such as real-time visitor information systems, are being used more and more to direct tourists to less crowded areas. This helps achieve sustainability goals while keeping visitors happy.</w:t>
      </w:r>
      <w:r w:rsidR="008C6497" w:rsidRPr="005C3E06">
        <w:rPr>
          <w:rFonts w:ascii="Times New Roman" w:hAnsi="Times New Roman" w:cs="Times New Roman"/>
          <w:color w:val="000000" w:themeColor="text1"/>
          <w:szCs w:val="24"/>
        </w:rPr>
        <w:br/>
      </w:r>
      <w:r w:rsidR="008C6497" w:rsidRPr="005C3E06">
        <w:rPr>
          <w:rFonts w:ascii="Times New Roman" w:hAnsi="Times New Roman" w:cs="Times New Roman"/>
          <w:color w:val="000000" w:themeColor="text1"/>
          <w:szCs w:val="24"/>
        </w:rPr>
        <w:br/>
        <w:t>2.4 Planning for Sustainable Transportation and Infrastructure</w:t>
      </w:r>
      <w:r w:rsidR="008C6497" w:rsidRPr="005C3E06">
        <w:rPr>
          <w:rFonts w:ascii="Times New Roman" w:hAnsi="Times New Roman" w:cs="Times New Roman"/>
          <w:color w:val="000000" w:themeColor="text1"/>
          <w:szCs w:val="24"/>
        </w:rPr>
        <w:br/>
        <w:t>During the Christmas and New Year holidays, transportation systems are put under a lot of stress, which causes traffic jams, pollution, and noise. The literature consistently recognizes sustainable transport planning as an essential element of destination management during peak seasons (Peeters et al., 2016). Common ways to lessen the environmental effects of holiday events include encouraging people to use public transportation, making pedestrian zones, and building park-and-ride facilities.</w:t>
      </w:r>
      <w:r w:rsidR="008C6497" w:rsidRPr="005C3E06">
        <w:rPr>
          <w:rFonts w:ascii="Times New Roman" w:hAnsi="Times New Roman" w:cs="Times New Roman"/>
          <w:color w:val="000000" w:themeColor="text1"/>
          <w:szCs w:val="24"/>
        </w:rPr>
        <w:br/>
        <w:t>Planning infrastructure is also very important for handling the seasonal influx of tourists. Temporary infrastructure solutions like pop-up waste facilities, mobile sanitation units, and seasonal energy management systems help places deal with more visitors without having to build permanent overcapacity (Gössling et al., 2018). These adaptable methods are in line with sustainability principles because they leave the smallest possible environmental footprints over time.</w:t>
      </w:r>
      <w:r w:rsidR="008C6497" w:rsidRPr="005C3E06">
        <w:rPr>
          <w:rFonts w:ascii="Times New Roman" w:hAnsi="Times New Roman" w:cs="Times New Roman"/>
          <w:color w:val="000000" w:themeColor="text1"/>
          <w:szCs w:val="24"/>
        </w:rPr>
        <w:br/>
      </w:r>
      <w:r w:rsidR="008C6497" w:rsidRPr="005C3E06">
        <w:rPr>
          <w:rFonts w:ascii="Times New Roman" w:hAnsi="Times New Roman" w:cs="Times New Roman"/>
          <w:color w:val="000000" w:themeColor="text1"/>
          <w:szCs w:val="24"/>
        </w:rPr>
        <w:br/>
        <w:t>2.5 Managing the Environment During Holidays</w:t>
      </w:r>
      <w:r w:rsidR="008C6497" w:rsidRPr="005C3E06">
        <w:rPr>
          <w:rFonts w:ascii="Times New Roman" w:hAnsi="Times New Roman" w:cs="Times New Roman"/>
          <w:color w:val="000000" w:themeColor="text1"/>
          <w:szCs w:val="24"/>
        </w:rPr>
        <w:br/>
        <w:t xml:space="preserve">The environmental effects of Christmas and New Year tourism include more trash, more energy use, and stress on natural ecosystems. The literature shows that holiday parties often create too much single-use waste, decorations, and food waste (Zero Waste Europe, 2020). So, when planning for a sustainable destination, it's important to focus on reducing waste, recycling, and </w:t>
      </w:r>
      <w:r w:rsidR="008C6497" w:rsidRPr="005C3E06">
        <w:rPr>
          <w:rFonts w:ascii="Times New Roman" w:hAnsi="Times New Roman" w:cs="Times New Roman"/>
          <w:color w:val="000000" w:themeColor="text1"/>
          <w:szCs w:val="24"/>
        </w:rPr>
        <w:lastRenderedPageBreak/>
        <w:t>using circular economy practices during the holidays.</w:t>
      </w:r>
      <w:r w:rsidR="008C6497" w:rsidRPr="005C3E06">
        <w:rPr>
          <w:rFonts w:ascii="Times New Roman" w:hAnsi="Times New Roman" w:cs="Times New Roman"/>
          <w:color w:val="000000" w:themeColor="text1"/>
          <w:szCs w:val="24"/>
        </w:rPr>
        <w:br/>
        <w:t>Research indicates that destinations adopting green event protocols, renewable energy utilization, and sustainable procurement practices encounter diminished environmental effects and enhanced public perception (Bramwell et al., 2017). Environmental certification programs and standards for sustainability also give destinations a way to plan their sustainability efforts during busy times of the year.</w:t>
      </w:r>
      <w:r w:rsidR="008C6497" w:rsidRPr="005C3E06">
        <w:rPr>
          <w:rFonts w:ascii="Times New Roman" w:hAnsi="Times New Roman" w:cs="Times New Roman"/>
          <w:color w:val="000000" w:themeColor="text1"/>
          <w:szCs w:val="24"/>
        </w:rPr>
        <w:br/>
      </w:r>
      <w:r w:rsidR="008C6497" w:rsidRPr="005C3E06">
        <w:rPr>
          <w:rFonts w:ascii="Times New Roman" w:hAnsi="Times New Roman" w:cs="Times New Roman"/>
          <w:color w:val="000000" w:themeColor="text1"/>
          <w:szCs w:val="24"/>
        </w:rPr>
        <w:br/>
        <w:t>2.6 Community Involvement and Social Sustainability</w:t>
      </w:r>
      <w:r w:rsidR="008C6497" w:rsidRPr="005C3E06">
        <w:rPr>
          <w:rFonts w:ascii="Times New Roman" w:hAnsi="Times New Roman" w:cs="Times New Roman"/>
          <w:color w:val="000000" w:themeColor="text1"/>
          <w:szCs w:val="24"/>
        </w:rPr>
        <w:br/>
        <w:t>Social sustainability is a major topic in destination management literature, especially during busy tourist seasons. During Christmas and New Year celebrations, residents often have to deal with problems like traffic jams, noise, and rising prices. Studies show that residents who don't feel like they have a say in planning processes are more likely to have negative feelings about tourism (Nunkoo &amp; Gursoy, 2012).</w:t>
      </w:r>
      <w:r w:rsidR="008C6497" w:rsidRPr="005C3E06">
        <w:rPr>
          <w:rFonts w:ascii="Times New Roman" w:hAnsi="Times New Roman" w:cs="Times New Roman"/>
          <w:color w:val="000000" w:themeColor="text1"/>
          <w:szCs w:val="24"/>
        </w:rPr>
        <w:br/>
        <w:t>For long-term planning of festive tourism, it is important to involve the community. Participatory planning methods let residents have a say in where events should be held, when they should happen, and what tourism development should be the most important. Studies indicate that destinations that actively engage local communities are more effective in reconciling visitor enjoyment with resident welfare, thereby maintaining social license for tourism expansion.</w:t>
      </w:r>
      <w:r w:rsidR="008C6497" w:rsidRPr="005C3E06">
        <w:rPr>
          <w:rFonts w:ascii="Times New Roman" w:hAnsi="Times New Roman" w:cs="Times New Roman"/>
          <w:color w:val="000000" w:themeColor="text1"/>
          <w:szCs w:val="24"/>
        </w:rPr>
        <w:br/>
        <w:t>2.7 The Balance Between Visitor Experience and Sustainability</w:t>
      </w:r>
      <w:r w:rsidR="008C6497" w:rsidRPr="005C3E06">
        <w:rPr>
          <w:rFonts w:ascii="Times New Roman" w:hAnsi="Times New Roman" w:cs="Times New Roman"/>
          <w:color w:val="000000" w:themeColor="text1"/>
          <w:szCs w:val="24"/>
        </w:rPr>
        <w:br/>
        <w:t xml:space="preserve">More and more, the literature says that visitor experience and sustainability goals are not at odds with each other. During busy times, overcrowding, environmental degradation, and bad management of infrastructure can all make visitors less happy (Gössling et al., 2020). On the other hand, clean environments, good public transportation, and well-kept public spaces improve </w:t>
      </w:r>
      <w:r w:rsidR="008C6497" w:rsidRPr="005C3E06">
        <w:rPr>
          <w:rFonts w:ascii="Times New Roman" w:hAnsi="Times New Roman" w:cs="Times New Roman"/>
          <w:color w:val="000000" w:themeColor="text1"/>
          <w:szCs w:val="24"/>
        </w:rPr>
        <w:lastRenderedPageBreak/>
        <w:t>both sustainability outcomes and how visitors feel about the place.</w:t>
      </w:r>
      <w:r w:rsidR="008C6497" w:rsidRPr="005C3E06">
        <w:rPr>
          <w:rFonts w:ascii="Times New Roman" w:hAnsi="Times New Roman" w:cs="Times New Roman"/>
          <w:color w:val="000000" w:themeColor="text1"/>
          <w:szCs w:val="24"/>
        </w:rPr>
        <w:br/>
        <w:t>Research shows that planning for sustainable destinations leads to better visitor experiences by cutting down on traffic, making it easier to get around, and protecting cultural and natural resources (Bramwell &amp; Lane, 2011). During Christmas and New Year, destinations that prioritize sustainability in planning are better able to provide memorable experiences without sacrificing long-term resilience.</w:t>
      </w:r>
      <w:r w:rsidR="008C6497" w:rsidRPr="005C3E06">
        <w:rPr>
          <w:rFonts w:ascii="Times New Roman" w:hAnsi="Times New Roman" w:cs="Times New Roman"/>
          <w:color w:val="000000" w:themeColor="text1"/>
          <w:szCs w:val="24"/>
        </w:rPr>
        <w:br/>
      </w:r>
      <w:r w:rsidR="008C6497" w:rsidRPr="005C3E06">
        <w:rPr>
          <w:rFonts w:ascii="Times New Roman" w:hAnsi="Times New Roman" w:cs="Times New Roman"/>
          <w:color w:val="000000" w:themeColor="text1"/>
          <w:szCs w:val="24"/>
        </w:rPr>
        <w:br/>
        <w:t>Summary</w:t>
      </w:r>
      <w:r w:rsidR="008C6497" w:rsidRPr="005C3E06">
        <w:rPr>
          <w:rFonts w:ascii="Times New Roman" w:hAnsi="Times New Roman" w:cs="Times New Roman"/>
          <w:color w:val="000000" w:themeColor="text1"/>
          <w:szCs w:val="24"/>
        </w:rPr>
        <w:br/>
        <w:t>The literature shows that managing the Christmas and New Year tourism boom requires good destination management and planning for sustainable tourism. Integrated planning frameworks, visitor flow management, sustainable transportation systems, environmental protection measures, and community engagement are essential strategies for reconciling visitor experience with sustainability objectives. This review offers a robust theoretical framework for analyzing how destinations prepare for festive tourism while fostering long-term sustainability.</w:t>
      </w:r>
    </w:p>
    <w:p w14:paraId="7B023A14" w14:textId="10748266" w:rsidR="002B0CE3" w:rsidRPr="005C3E06" w:rsidRDefault="002B0CE3" w:rsidP="002B0CE3">
      <w:pPr>
        <w:spacing w:line="480" w:lineRule="auto"/>
        <w:rPr>
          <w:rFonts w:ascii="Times New Roman" w:hAnsi="Times New Roman" w:cs="Times New Roman"/>
          <w:color w:val="000000" w:themeColor="text1"/>
          <w:szCs w:val="24"/>
        </w:rPr>
      </w:pPr>
    </w:p>
    <w:p w14:paraId="4E968322" w14:textId="77777777" w:rsidR="002B0CE3" w:rsidRPr="005C3E06" w:rsidRDefault="002B0CE3" w:rsidP="002B0CE3">
      <w:pPr>
        <w:spacing w:line="480" w:lineRule="auto"/>
        <w:rPr>
          <w:rFonts w:ascii="Times New Roman" w:hAnsi="Times New Roman" w:cs="Times New Roman"/>
          <w:color w:val="000000" w:themeColor="text1"/>
          <w:szCs w:val="24"/>
        </w:rPr>
      </w:pPr>
    </w:p>
    <w:p w14:paraId="2D236F0C" w14:textId="77777777" w:rsidR="002B0CE3" w:rsidRPr="005C3E06" w:rsidRDefault="002B0CE3" w:rsidP="002B0CE3">
      <w:pPr>
        <w:spacing w:line="480" w:lineRule="auto"/>
        <w:rPr>
          <w:rFonts w:ascii="Times New Roman" w:hAnsi="Times New Roman" w:cs="Times New Roman"/>
          <w:color w:val="000000" w:themeColor="text1"/>
          <w:szCs w:val="24"/>
        </w:rPr>
      </w:pPr>
    </w:p>
    <w:p w14:paraId="062932B4" w14:textId="77777777" w:rsidR="002B0CE3" w:rsidRPr="005C3E06" w:rsidRDefault="002B0CE3" w:rsidP="002B0CE3">
      <w:pPr>
        <w:spacing w:line="480" w:lineRule="auto"/>
        <w:rPr>
          <w:rFonts w:ascii="Times New Roman" w:hAnsi="Times New Roman" w:cs="Times New Roman"/>
          <w:color w:val="000000" w:themeColor="text1"/>
          <w:szCs w:val="24"/>
        </w:rPr>
      </w:pPr>
    </w:p>
    <w:p w14:paraId="09AE3EE5" w14:textId="77777777" w:rsidR="008C6497" w:rsidRPr="005C3E06" w:rsidRDefault="008C6497" w:rsidP="002B0CE3">
      <w:pPr>
        <w:spacing w:line="480" w:lineRule="auto"/>
        <w:rPr>
          <w:rFonts w:ascii="Times New Roman" w:hAnsi="Times New Roman" w:cs="Times New Roman"/>
          <w:color w:val="000000" w:themeColor="text1"/>
          <w:szCs w:val="24"/>
        </w:rPr>
      </w:pPr>
    </w:p>
    <w:p w14:paraId="75C38FA7" w14:textId="77777777" w:rsidR="008C6497" w:rsidRPr="005C3E06" w:rsidRDefault="008C6497" w:rsidP="002B0CE3">
      <w:pPr>
        <w:spacing w:line="480" w:lineRule="auto"/>
        <w:rPr>
          <w:rFonts w:ascii="Times New Roman" w:hAnsi="Times New Roman" w:cs="Times New Roman"/>
          <w:color w:val="000000" w:themeColor="text1"/>
          <w:szCs w:val="24"/>
        </w:rPr>
      </w:pPr>
    </w:p>
    <w:p w14:paraId="22714F3F" w14:textId="77777777" w:rsidR="008C6497" w:rsidRPr="005C3E06" w:rsidRDefault="008C6497" w:rsidP="002B0CE3">
      <w:pPr>
        <w:spacing w:line="480" w:lineRule="auto"/>
        <w:rPr>
          <w:rFonts w:ascii="Times New Roman" w:hAnsi="Times New Roman" w:cs="Times New Roman"/>
          <w:color w:val="000000" w:themeColor="text1"/>
          <w:szCs w:val="24"/>
        </w:rPr>
      </w:pPr>
    </w:p>
    <w:p w14:paraId="64E8E12C" w14:textId="518B9D77" w:rsidR="00D727D5" w:rsidRPr="005C3E06" w:rsidRDefault="000A012D" w:rsidP="00D727D5">
      <w:pPr>
        <w:spacing w:line="480" w:lineRule="auto"/>
        <w:rPr>
          <w:rFonts w:ascii="Times New Roman" w:hAnsi="Times New Roman" w:cs="Times New Roman"/>
          <w:color w:val="000000" w:themeColor="text1"/>
          <w:szCs w:val="24"/>
        </w:rPr>
      </w:pPr>
      <w:r w:rsidRPr="005C3E06">
        <w:rPr>
          <w:rStyle w:val="Heading1Char"/>
          <w:rFonts w:ascii="Times New Roman" w:hAnsi="Times New Roman" w:cs="Times New Roman"/>
          <w:b/>
          <w:bCs/>
          <w:color w:val="000000" w:themeColor="text1"/>
          <w:sz w:val="24"/>
          <w:szCs w:val="24"/>
        </w:rPr>
        <w:lastRenderedPageBreak/>
        <w:t>3.</w:t>
      </w:r>
      <w:r w:rsidR="00582227" w:rsidRPr="005C3E06">
        <w:rPr>
          <w:rStyle w:val="Heading1Char"/>
          <w:rFonts w:ascii="Times New Roman" w:hAnsi="Times New Roman" w:cs="Times New Roman"/>
          <w:b/>
          <w:bCs/>
          <w:color w:val="000000" w:themeColor="text1"/>
          <w:sz w:val="24"/>
          <w:szCs w:val="24"/>
        </w:rPr>
        <w:t xml:space="preserve"> Methodology</w:t>
      </w:r>
      <w:bookmarkEnd w:id="3"/>
      <w:r w:rsidR="00582227" w:rsidRPr="005C3E06">
        <w:rPr>
          <w:rFonts w:ascii="Times New Roman" w:hAnsi="Times New Roman" w:cs="Times New Roman"/>
          <w:color w:val="000000" w:themeColor="text1"/>
          <w:szCs w:val="24"/>
        </w:rPr>
        <w:br/>
      </w:r>
      <w:r w:rsidR="00D727D5" w:rsidRPr="005C3E06">
        <w:rPr>
          <w:rFonts w:ascii="Times New Roman" w:hAnsi="Times New Roman" w:cs="Times New Roman"/>
          <w:color w:val="000000" w:themeColor="text1"/>
          <w:szCs w:val="24"/>
        </w:rPr>
        <w:t>This study utilizes a qualitative research methodology grounded in secondary data analysis to investigate destination management and sustainable tourism planning during the Christmas and New Year period. A qualitative methodology is suitable as the research seeks to investigate planning strategies, sustainability practices, and stakeholder coordination rather than to measure causal relationships. This method helps us fully understand how places handle peak holiday tourism while also meeting their goals for sustainability.</w:t>
      </w:r>
    </w:p>
    <w:p w14:paraId="61A984C1" w14:textId="75301B13"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3.1 Plan for the Research</w:t>
      </w:r>
    </w:p>
    <w:p w14:paraId="002DD487" w14:textId="7424B7EB"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The research design is both exploratory and descriptive. It focuses on finding common themes and best practices for getting ready for visitors, managing them, protecting the environment, and getting the community involved during the holidays. The research is based on theories of sustainable tourism, frameworks for managing destinations, and models for planning and governance that stress long-term destination resilience and working together with stakeholders (Bramwell &amp; Lane, 2011; Hall, 2011).</w:t>
      </w:r>
    </w:p>
    <w:p w14:paraId="7F71C3E8" w14:textId="48440993"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3.2 Sources of Data</w:t>
      </w:r>
    </w:p>
    <w:p w14:paraId="1EAC60D8" w14:textId="3FB09C78"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 xml:space="preserve">Data were gathered solely from reputable secondary sources to guarantee academic integrity. We got peer-reviewed journal articles from databases like Google Scholar, ScienceDirect, and JSTOR. These articles were about destination management, sustainable tourism planning, overtourism, and peak-season tourism. Policy reports and guidelines from organizations like the European Commission, OECD, and the United Nations World Tourism Organization (UNWTO) were also looked at to get a sense of how planning works at the destination level. We also looked </w:t>
      </w:r>
      <w:r w:rsidRPr="005C3E06">
        <w:rPr>
          <w:rFonts w:ascii="Times New Roman" w:hAnsi="Times New Roman" w:cs="Times New Roman"/>
          <w:color w:val="000000" w:themeColor="text1"/>
          <w:szCs w:val="24"/>
        </w:rPr>
        <w:lastRenderedPageBreak/>
        <w:t>at case studies of places that run Christmas markets, winter festivals, and New Year's events to get practical ideas.</w:t>
      </w:r>
    </w:p>
    <w:p w14:paraId="27B74FC3" w14:textId="53B45595"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3.3 Gathering and Analyzing Data</w:t>
      </w:r>
    </w:p>
    <w:p w14:paraId="2C0B2504" w14:textId="756F8939"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A systematic literature review process was utilized, emphasizing sources published in the last ten to twelve years to guarantee relevance. The chosen literature underwent thematic analysis, entailing the categorization of data into themes including visitor flow management, sustainable transportation, environmental stewardship, community engagement, and visitor experience. Comparative analysis was employed to discern similarities and differences among destinations and planning methodologies.</w:t>
      </w:r>
    </w:p>
    <w:p w14:paraId="55916046" w14:textId="3F2A4560"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3.4 Ethical Considerations</w:t>
      </w:r>
    </w:p>
    <w:p w14:paraId="0EA52B0A" w14:textId="52F0438C"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Ethical considerations were met by using only publicly available secondary data and making sure that APA-style citations were used to give credit where credit was due. Since no primary data with human participants were gathered, concerns regarding consent and confidentiality were irrelevant.</w:t>
      </w:r>
    </w:p>
    <w:p w14:paraId="12EE0EAE" w14:textId="497596E2"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3.5 Limitations</w:t>
      </w:r>
    </w:p>
    <w:p w14:paraId="4868EF14" w14:textId="51B5E095" w:rsidR="00FE2757" w:rsidRPr="005C3E06" w:rsidRDefault="00D727D5" w:rsidP="00D727D5">
      <w:pPr>
        <w:spacing w:line="480" w:lineRule="auto"/>
        <w:rPr>
          <w:rStyle w:val="Heading1Char"/>
          <w:rFonts w:ascii="Times New Roman" w:hAnsi="Times New Roman" w:cs="Times New Roman"/>
          <w:color w:val="000000" w:themeColor="text1"/>
          <w:sz w:val="24"/>
          <w:szCs w:val="24"/>
        </w:rPr>
      </w:pPr>
      <w:r w:rsidRPr="005C3E06">
        <w:rPr>
          <w:rFonts w:ascii="Times New Roman" w:hAnsi="Times New Roman" w:cs="Times New Roman"/>
          <w:color w:val="000000" w:themeColor="text1"/>
          <w:szCs w:val="24"/>
        </w:rPr>
        <w:t>The use of secondary data may make it harder to understand the real-time problems that destinations have to deal with during busy times. Also, the differences between destinations may make it harder to generalize. Future research may utilize primary data methodologies, including interviews with destination managers or surveys of residents.</w:t>
      </w:r>
    </w:p>
    <w:p w14:paraId="0F094DBA" w14:textId="77777777" w:rsidR="00C435B3" w:rsidRPr="005C3E06" w:rsidRDefault="00C435B3" w:rsidP="005660B8">
      <w:pPr>
        <w:spacing w:line="480" w:lineRule="auto"/>
        <w:rPr>
          <w:rStyle w:val="Heading1Char"/>
          <w:rFonts w:ascii="Times New Roman" w:hAnsi="Times New Roman" w:cs="Times New Roman"/>
          <w:color w:val="000000" w:themeColor="text1"/>
          <w:sz w:val="24"/>
          <w:szCs w:val="24"/>
        </w:rPr>
      </w:pPr>
    </w:p>
    <w:p w14:paraId="77FCCF98" w14:textId="77777777" w:rsidR="00D727D5" w:rsidRPr="005C3E06" w:rsidRDefault="00D727D5" w:rsidP="005660B8">
      <w:pPr>
        <w:spacing w:line="480" w:lineRule="auto"/>
        <w:rPr>
          <w:rStyle w:val="Heading1Char"/>
          <w:rFonts w:ascii="Times New Roman" w:hAnsi="Times New Roman" w:cs="Times New Roman"/>
          <w:color w:val="000000" w:themeColor="text1"/>
          <w:sz w:val="24"/>
          <w:szCs w:val="24"/>
        </w:rPr>
      </w:pPr>
    </w:p>
    <w:p w14:paraId="33BFA5F9" w14:textId="1DEFA268" w:rsidR="00C82410" w:rsidRPr="005C3E06" w:rsidRDefault="000A012D" w:rsidP="00FF5677">
      <w:pPr>
        <w:spacing w:line="480" w:lineRule="auto"/>
        <w:rPr>
          <w:rStyle w:val="Heading1Char"/>
          <w:rFonts w:ascii="Times New Roman" w:hAnsi="Times New Roman" w:cs="Times New Roman"/>
          <w:b/>
          <w:bCs/>
          <w:color w:val="000000" w:themeColor="text1"/>
          <w:sz w:val="24"/>
          <w:szCs w:val="24"/>
        </w:rPr>
      </w:pPr>
      <w:bookmarkStart w:id="4" w:name="_Toc216766362"/>
      <w:r w:rsidRPr="005C3E06">
        <w:rPr>
          <w:rStyle w:val="Heading1Char"/>
          <w:rFonts w:ascii="Times New Roman" w:hAnsi="Times New Roman" w:cs="Times New Roman"/>
          <w:b/>
          <w:bCs/>
          <w:color w:val="000000" w:themeColor="text1"/>
          <w:sz w:val="24"/>
          <w:szCs w:val="24"/>
        </w:rPr>
        <w:lastRenderedPageBreak/>
        <w:t>4</w:t>
      </w:r>
      <w:r w:rsidR="00582227" w:rsidRPr="005C3E06">
        <w:rPr>
          <w:rStyle w:val="Heading1Char"/>
          <w:rFonts w:ascii="Times New Roman" w:hAnsi="Times New Roman" w:cs="Times New Roman"/>
          <w:b/>
          <w:bCs/>
          <w:color w:val="000000" w:themeColor="text1"/>
          <w:sz w:val="24"/>
          <w:szCs w:val="24"/>
        </w:rPr>
        <w:t xml:space="preserve"> </w:t>
      </w:r>
      <w:r w:rsidR="00160E9C" w:rsidRPr="005C3E06">
        <w:rPr>
          <w:rStyle w:val="Heading1Char"/>
          <w:rFonts w:ascii="Times New Roman" w:hAnsi="Times New Roman" w:cs="Times New Roman"/>
          <w:b/>
          <w:bCs/>
          <w:color w:val="000000" w:themeColor="text1"/>
          <w:sz w:val="24"/>
          <w:szCs w:val="24"/>
        </w:rPr>
        <w:t>Finding</w:t>
      </w:r>
      <w:bookmarkEnd w:id="4"/>
    </w:p>
    <w:p w14:paraId="258CE13B" w14:textId="77777777"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This section summarizes the most important results from looking at academic papers, policy papers, and case studies of destinations that are related to planning for sustainable tourism during the Christmas and New Year holidays. The results are grouped by theme to show how destinations get ready for times when they have a lot of visitors while still meeting their sustainability goals and making sure visitors have a good time.</w:t>
      </w:r>
    </w:p>
    <w:p w14:paraId="28A95B51" w14:textId="77777777" w:rsidR="00D727D5" w:rsidRPr="005C3E06" w:rsidRDefault="00D727D5" w:rsidP="00D727D5">
      <w:pPr>
        <w:spacing w:line="480" w:lineRule="auto"/>
        <w:rPr>
          <w:rFonts w:ascii="Times New Roman" w:hAnsi="Times New Roman" w:cs="Times New Roman"/>
          <w:color w:val="000000" w:themeColor="text1"/>
          <w:szCs w:val="24"/>
        </w:rPr>
      </w:pPr>
    </w:p>
    <w:p w14:paraId="042105D3" w14:textId="77777777"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4.1 More Planning During the Holidays</w:t>
      </w:r>
    </w:p>
    <w:p w14:paraId="01E92980" w14:textId="77777777" w:rsidR="00D727D5" w:rsidRPr="005C3E06" w:rsidRDefault="00D727D5" w:rsidP="00D727D5">
      <w:pPr>
        <w:spacing w:line="480" w:lineRule="auto"/>
        <w:rPr>
          <w:rFonts w:ascii="Times New Roman" w:hAnsi="Times New Roman" w:cs="Times New Roman"/>
          <w:color w:val="000000" w:themeColor="text1"/>
          <w:szCs w:val="24"/>
        </w:rPr>
      </w:pPr>
    </w:p>
    <w:p w14:paraId="68E9CFAA" w14:textId="77777777"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The results show that planning and coordinating trips to the destination is much more important during the Christmas and New Year holidays than during off-peak times. When a lot of people visit a destination, the management puts in place temporary measures like longer public transportation hours, more waste management facilities, and better visitor information systems. Proactive planning helps destinations avoid traffic jams and keep service quality high during busy holiday times.</w:t>
      </w:r>
    </w:p>
    <w:p w14:paraId="6CD0A77E" w14:textId="77777777" w:rsidR="00D727D5" w:rsidRPr="005C3E06" w:rsidRDefault="00D727D5" w:rsidP="00D727D5">
      <w:pPr>
        <w:spacing w:line="480" w:lineRule="auto"/>
        <w:rPr>
          <w:rFonts w:ascii="Times New Roman" w:hAnsi="Times New Roman" w:cs="Times New Roman"/>
          <w:color w:val="000000" w:themeColor="text1"/>
          <w:szCs w:val="24"/>
        </w:rPr>
      </w:pPr>
    </w:p>
    <w:p w14:paraId="1BB66B7C" w14:textId="77777777"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4.2 Strategies for Managing Visitor Flow and Crowds</w:t>
      </w:r>
    </w:p>
    <w:p w14:paraId="40463E4D" w14:textId="77777777" w:rsidR="00D727D5" w:rsidRPr="005C3E06" w:rsidRDefault="00D727D5" w:rsidP="00D727D5">
      <w:pPr>
        <w:spacing w:line="480" w:lineRule="auto"/>
        <w:rPr>
          <w:rFonts w:ascii="Times New Roman" w:hAnsi="Times New Roman" w:cs="Times New Roman"/>
          <w:color w:val="000000" w:themeColor="text1"/>
          <w:szCs w:val="24"/>
        </w:rPr>
      </w:pPr>
    </w:p>
    <w:p w14:paraId="61D0EA09" w14:textId="77777777"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 xml:space="preserve">Managing the flow of visitors became one of the most important parts of planning a festive destination. The results show that too many people at Christmas markets, city centres, and famous landmarks makes both visitors and residents unhappy. Destinations that do a good job of </w:t>
      </w:r>
      <w:r w:rsidRPr="005C3E06">
        <w:rPr>
          <w:rFonts w:ascii="Times New Roman" w:hAnsi="Times New Roman" w:cs="Times New Roman"/>
          <w:color w:val="000000" w:themeColor="text1"/>
          <w:szCs w:val="24"/>
        </w:rPr>
        <w:lastRenderedPageBreak/>
        <w:t>managing crowds use strategies like spreading out events over a large area, scheduling them at different times, and promoting other attractions.</w:t>
      </w:r>
    </w:p>
    <w:p w14:paraId="26AF41D9" w14:textId="77777777" w:rsidR="00D727D5" w:rsidRPr="005C3E06" w:rsidRDefault="00D727D5" w:rsidP="00D727D5">
      <w:pPr>
        <w:spacing w:line="480" w:lineRule="auto"/>
        <w:rPr>
          <w:rFonts w:ascii="Times New Roman" w:hAnsi="Times New Roman" w:cs="Times New Roman"/>
          <w:color w:val="000000" w:themeColor="text1"/>
          <w:szCs w:val="24"/>
        </w:rPr>
      </w:pPr>
    </w:p>
    <w:p w14:paraId="2C7DEEDC" w14:textId="77777777"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Timed entry systems and technologies that let you see how many people are in real time were found to be very useful for controlling the number of visitors. These steps help keep crowds from getting too big and improve the experience for visitors by cutting down on wait times and traffic.</w:t>
      </w:r>
    </w:p>
    <w:p w14:paraId="76413D45" w14:textId="77777777" w:rsidR="00D727D5" w:rsidRPr="005C3E06" w:rsidRDefault="00D727D5" w:rsidP="00D727D5">
      <w:pPr>
        <w:spacing w:line="480" w:lineRule="auto"/>
        <w:rPr>
          <w:rFonts w:ascii="Times New Roman" w:hAnsi="Times New Roman" w:cs="Times New Roman"/>
          <w:color w:val="000000" w:themeColor="text1"/>
          <w:szCs w:val="24"/>
        </w:rPr>
      </w:pPr>
    </w:p>
    <w:p w14:paraId="3FD8679E" w14:textId="77777777"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4.3 Planning for long-term transportation</w:t>
      </w:r>
    </w:p>
    <w:p w14:paraId="6C0BF36F" w14:textId="77777777" w:rsidR="00D727D5" w:rsidRPr="005C3E06" w:rsidRDefault="00D727D5" w:rsidP="00D727D5">
      <w:pPr>
        <w:spacing w:line="480" w:lineRule="auto"/>
        <w:rPr>
          <w:rFonts w:ascii="Times New Roman" w:hAnsi="Times New Roman" w:cs="Times New Roman"/>
          <w:color w:val="000000" w:themeColor="text1"/>
          <w:szCs w:val="24"/>
        </w:rPr>
      </w:pPr>
    </w:p>
    <w:p w14:paraId="2186DDC4" w14:textId="77777777"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Sustainable transportation plans are very important for handling the large number of tourists during Christmas and New Year. The results show that places that encourage public transportation, walking, cycling, and park-and-ride facilities have less traffic and lower emissions during holiday events. To improve air quality and make the experience better for visitors, city centres often close roads and limit traffic.</w:t>
      </w:r>
    </w:p>
    <w:p w14:paraId="4DF6662B" w14:textId="77777777" w:rsidR="00D727D5" w:rsidRPr="005C3E06" w:rsidRDefault="00D727D5" w:rsidP="00D727D5">
      <w:pPr>
        <w:spacing w:line="480" w:lineRule="auto"/>
        <w:rPr>
          <w:rFonts w:ascii="Times New Roman" w:hAnsi="Times New Roman" w:cs="Times New Roman"/>
          <w:color w:val="000000" w:themeColor="text1"/>
          <w:szCs w:val="24"/>
        </w:rPr>
      </w:pPr>
    </w:p>
    <w:p w14:paraId="00BA61C8" w14:textId="77777777"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Destinations that combine transportation planning with event scheduling can better manage visitor flows and reduce their impact on the environment. Sustainable transportation projects also help improve the image of a destination and the happiness of its visitors.</w:t>
      </w:r>
    </w:p>
    <w:p w14:paraId="0945E730" w14:textId="77777777" w:rsidR="00D727D5" w:rsidRPr="005C3E06" w:rsidRDefault="00D727D5" w:rsidP="00D727D5">
      <w:pPr>
        <w:spacing w:line="480" w:lineRule="auto"/>
        <w:rPr>
          <w:rFonts w:ascii="Times New Roman" w:hAnsi="Times New Roman" w:cs="Times New Roman"/>
          <w:color w:val="000000" w:themeColor="text1"/>
          <w:szCs w:val="24"/>
        </w:rPr>
      </w:pPr>
    </w:p>
    <w:p w14:paraId="59C2D263" w14:textId="77777777"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4.4 Managing the environment and using resources</w:t>
      </w:r>
    </w:p>
    <w:p w14:paraId="220DFCEA" w14:textId="77777777" w:rsidR="00D727D5" w:rsidRPr="005C3E06" w:rsidRDefault="00D727D5" w:rsidP="00D727D5">
      <w:pPr>
        <w:spacing w:line="480" w:lineRule="auto"/>
        <w:rPr>
          <w:rFonts w:ascii="Times New Roman" w:hAnsi="Times New Roman" w:cs="Times New Roman"/>
          <w:color w:val="000000" w:themeColor="text1"/>
          <w:szCs w:val="24"/>
        </w:rPr>
      </w:pPr>
    </w:p>
    <w:p w14:paraId="0DAC702E" w14:textId="77777777"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During festive tourism, environmental pressures rise a lot, especially when it comes to waste production, energy use, and water use. The results show that places that use sustainable waste management methods like recycling stations, less single-use plastics, and programs to cut down on food waste have less of an effect on the environment.</w:t>
      </w:r>
    </w:p>
    <w:p w14:paraId="2B586004" w14:textId="77777777" w:rsidR="00D727D5" w:rsidRPr="005C3E06" w:rsidRDefault="00D727D5" w:rsidP="00D727D5">
      <w:pPr>
        <w:spacing w:line="480" w:lineRule="auto"/>
        <w:rPr>
          <w:rFonts w:ascii="Times New Roman" w:hAnsi="Times New Roman" w:cs="Times New Roman"/>
          <w:color w:val="000000" w:themeColor="text1"/>
          <w:szCs w:val="24"/>
        </w:rPr>
      </w:pPr>
    </w:p>
    <w:p w14:paraId="786841FB" w14:textId="77777777"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For Christmas decorations and events, many places use energy-efficient lighting, green event rules, and renewable energy sources. These practices connect holiday tourism with bigger sustainability goals and make people think more positively about being environmentally responsible.</w:t>
      </w:r>
    </w:p>
    <w:p w14:paraId="52B833CB" w14:textId="77777777" w:rsidR="00D727D5" w:rsidRPr="005C3E06" w:rsidRDefault="00D727D5" w:rsidP="00D727D5">
      <w:pPr>
        <w:spacing w:line="480" w:lineRule="auto"/>
        <w:rPr>
          <w:rFonts w:ascii="Times New Roman" w:hAnsi="Times New Roman" w:cs="Times New Roman"/>
          <w:color w:val="000000" w:themeColor="text1"/>
          <w:szCs w:val="24"/>
        </w:rPr>
      </w:pPr>
    </w:p>
    <w:p w14:paraId="7FA7C517" w14:textId="77777777"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4.5 Getting people involved in the community and making it socially sustainable</w:t>
      </w:r>
    </w:p>
    <w:p w14:paraId="6240F518" w14:textId="77777777" w:rsidR="00D727D5" w:rsidRPr="005C3E06" w:rsidRDefault="00D727D5" w:rsidP="00D727D5">
      <w:pPr>
        <w:spacing w:line="480" w:lineRule="auto"/>
        <w:rPr>
          <w:rFonts w:ascii="Times New Roman" w:hAnsi="Times New Roman" w:cs="Times New Roman"/>
          <w:color w:val="000000" w:themeColor="text1"/>
          <w:szCs w:val="24"/>
        </w:rPr>
      </w:pPr>
    </w:p>
    <w:p w14:paraId="71078FBA" w14:textId="77777777"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Community engagement became a crucial factor in effective festive tourism planning. The results show that places that involve local people and businesses in the planning process are more likely to be accepted and work together. Participatory planning methods can help with problems like noise, traffic jams, and interruptions during Christmas and New Year's celebrations.</w:t>
      </w:r>
    </w:p>
    <w:p w14:paraId="4A21D5FF" w14:textId="77777777" w:rsidR="00D727D5" w:rsidRPr="005C3E06" w:rsidRDefault="00D727D5" w:rsidP="00D727D5">
      <w:pPr>
        <w:spacing w:line="480" w:lineRule="auto"/>
        <w:rPr>
          <w:rFonts w:ascii="Times New Roman" w:hAnsi="Times New Roman" w:cs="Times New Roman"/>
          <w:color w:val="000000" w:themeColor="text1"/>
          <w:szCs w:val="24"/>
        </w:rPr>
      </w:pPr>
    </w:p>
    <w:p w14:paraId="0F1B6232" w14:textId="77777777"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lastRenderedPageBreak/>
        <w:t>Festivals that support local businesses and cultural traditions help people feel more connected to their community and make sure that the economic benefits are shared more widely. This helps keep society going and supports tourism development in the long run.</w:t>
      </w:r>
    </w:p>
    <w:p w14:paraId="2892C160" w14:textId="77777777" w:rsidR="00D727D5" w:rsidRPr="005C3E06" w:rsidRDefault="00D727D5" w:rsidP="00D727D5">
      <w:pPr>
        <w:spacing w:line="480" w:lineRule="auto"/>
        <w:rPr>
          <w:rFonts w:ascii="Times New Roman" w:hAnsi="Times New Roman" w:cs="Times New Roman"/>
          <w:color w:val="000000" w:themeColor="text1"/>
          <w:szCs w:val="24"/>
        </w:rPr>
      </w:pPr>
    </w:p>
    <w:p w14:paraId="211155F8" w14:textId="77777777"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4.6 Finding a Balance Between Visitor Experience and Sustainability Goals</w:t>
      </w:r>
    </w:p>
    <w:p w14:paraId="311BD99F" w14:textId="77777777" w:rsidR="00D727D5" w:rsidRPr="005C3E06" w:rsidRDefault="00D727D5" w:rsidP="00D727D5">
      <w:pPr>
        <w:spacing w:line="480" w:lineRule="auto"/>
        <w:rPr>
          <w:rFonts w:ascii="Times New Roman" w:hAnsi="Times New Roman" w:cs="Times New Roman"/>
          <w:color w:val="000000" w:themeColor="text1"/>
          <w:szCs w:val="24"/>
        </w:rPr>
      </w:pPr>
    </w:p>
    <w:p w14:paraId="6A884A09" w14:textId="656EF364"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The results show that sustainability and the experience of visitors are closely related. Places that spend money on clean public spaces, good transportation, and well-organized events give visitors better experiences while also cutting down on negative effects. On the other hand, bad planning and too many people at a destination make visitors less happy and hurt the reputation of the destination.</w:t>
      </w:r>
    </w:p>
    <w:p w14:paraId="71DB4A0C" w14:textId="05B7561B" w:rsidR="00BB783D"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Integrated destination management strategies that put sustainability first make destinations more resilient and competitive in the long run. Well-planned holiday tourism not only helps the economy, but it also protects social and environmental resources for the future</w:t>
      </w:r>
    </w:p>
    <w:p w14:paraId="1FAB4BA2" w14:textId="77777777" w:rsidR="000A012D" w:rsidRPr="005C3E06" w:rsidRDefault="000A012D" w:rsidP="00C435B3">
      <w:pPr>
        <w:spacing w:line="480" w:lineRule="auto"/>
        <w:rPr>
          <w:rFonts w:ascii="Times New Roman" w:hAnsi="Times New Roman" w:cs="Times New Roman"/>
          <w:color w:val="000000" w:themeColor="text1"/>
          <w:szCs w:val="24"/>
        </w:rPr>
      </w:pPr>
    </w:p>
    <w:p w14:paraId="3D0B427E" w14:textId="77777777" w:rsidR="000A012D" w:rsidRPr="005C3E06" w:rsidRDefault="000A012D" w:rsidP="00C435B3">
      <w:pPr>
        <w:spacing w:line="480" w:lineRule="auto"/>
        <w:rPr>
          <w:rFonts w:ascii="Times New Roman" w:hAnsi="Times New Roman" w:cs="Times New Roman"/>
          <w:color w:val="000000" w:themeColor="text1"/>
          <w:szCs w:val="24"/>
        </w:rPr>
      </w:pPr>
    </w:p>
    <w:p w14:paraId="238021EE" w14:textId="77777777" w:rsidR="000A012D" w:rsidRPr="005C3E06" w:rsidRDefault="000A012D" w:rsidP="00C435B3">
      <w:pPr>
        <w:spacing w:line="480" w:lineRule="auto"/>
        <w:rPr>
          <w:rFonts w:ascii="Times New Roman" w:hAnsi="Times New Roman" w:cs="Times New Roman"/>
          <w:color w:val="000000" w:themeColor="text1"/>
          <w:szCs w:val="24"/>
        </w:rPr>
      </w:pPr>
    </w:p>
    <w:p w14:paraId="42D1E07A" w14:textId="77777777" w:rsidR="000A012D" w:rsidRPr="005C3E06" w:rsidRDefault="000A012D" w:rsidP="00C435B3">
      <w:pPr>
        <w:spacing w:line="480" w:lineRule="auto"/>
        <w:rPr>
          <w:rFonts w:ascii="Times New Roman" w:hAnsi="Times New Roman" w:cs="Times New Roman"/>
          <w:color w:val="000000" w:themeColor="text1"/>
          <w:szCs w:val="24"/>
        </w:rPr>
      </w:pPr>
    </w:p>
    <w:p w14:paraId="20BC7188" w14:textId="77777777" w:rsidR="00BB783D" w:rsidRPr="005C3E06" w:rsidRDefault="00BB783D" w:rsidP="00C435B3">
      <w:pPr>
        <w:spacing w:line="480" w:lineRule="auto"/>
        <w:rPr>
          <w:rFonts w:ascii="Times New Roman" w:hAnsi="Times New Roman" w:cs="Times New Roman"/>
          <w:color w:val="000000" w:themeColor="text1"/>
          <w:szCs w:val="24"/>
        </w:rPr>
      </w:pPr>
    </w:p>
    <w:p w14:paraId="018F8CA6" w14:textId="77777777" w:rsidR="00BB783D" w:rsidRPr="005C3E06" w:rsidRDefault="00BB783D" w:rsidP="00C435B3">
      <w:pPr>
        <w:spacing w:line="480" w:lineRule="auto"/>
        <w:rPr>
          <w:rFonts w:ascii="Times New Roman" w:hAnsi="Times New Roman" w:cs="Times New Roman"/>
          <w:color w:val="000000" w:themeColor="text1"/>
          <w:szCs w:val="24"/>
        </w:rPr>
      </w:pPr>
    </w:p>
    <w:p w14:paraId="3DD06EC6" w14:textId="77777777" w:rsidR="005C3E06" w:rsidRPr="005C3E06" w:rsidRDefault="006A4481" w:rsidP="005C3E06">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lastRenderedPageBreak/>
        <w:br/>
      </w:r>
      <w:r w:rsidRPr="005C3E06">
        <w:rPr>
          <w:rFonts w:ascii="Times New Roman" w:hAnsi="Times New Roman" w:cs="Times New Roman"/>
          <w:b/>
          <w:bCs/>
          <w:color w:val="000000" w:themeColor="text1"/>
          <w:szCs w:val="24"/>
        </w:rPr>
        <w:t xml:space="preserve">5. Discussion </w:t>
      </w:r>
      <w:r w:rsidRPr="005C3E06">
        <w:rPr>
          <w:rFonts w:ascii="Times New Roman" w:hAnsi="Times New Roman" w:cs="Times New Roman"/>
          <w:b/>
          <w:bCs/>
          <w:color w:val="000000" w:themeColor="text1"/>
          <w:szCs w:val="24"/>
        </w:rPr>
        <w:br/>
      </w:r>
      <w:bookmarkStart w:id="5" w:name="_Toc216766365"/>
      <w:r w:rsidR="005C3E06" w:rsidRPr="005C3E06">
        <w:rPr>
          <w:rFonts w:ascii="Times New Roman" w:hAnsi="Times New Roman" w:cs="Times New Roman"/>
          <w:color w:val="000000" w:themeColor="text1"/>
          <w:szCs w:val="24"/>
        </w:rPr>
        <w:t>The findings of this study highlight the increasing importance of destination management and sustainable tourism planning during the Christmas and New Year period, a time characterised by peak visitor demand and intensified pressure on destination resources. This discussion interprets the findings in relation to established theories of sustainable tourism, destination governance, and visitor management, while critically evaluating how planning strategies balance visitor experience with sustainability goals.</w:t>
      </w:r>
    </w:p>
    <w:p w14:paraId="0036812B" w14:textId="77777777" w:rsidR="005C3E06" w:rsidRPr="005C3E06" w:rsidRDefault="005C3E06" w:rsidP="005C3E06">
      <w:pPr>
        <w:spacing w:line="480" w:lineRule="auto"/>
        <w:rPr>
          <w:rFonts w:ascii="Times New Roman" w:hAnsi="Times New Roman" w:cs="Times New Roman"/>
          <w:color w:val="000000" w:themeColor="text1"/>
          <w:szCs w:val="24"/>
        </w:rPr>
      </w:pPr>
    </w:p>
    <w:p w14:paraId="4605FCED" w14:textId="77777777" w:rsidR="005C3E06" w:rsidRPr="005C3E06" w:rsidRDefault="005C3E06" w:rsidP="005C3E06">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One of the key insights from the findings is that proactive destination planning is essential during festive peak periods. Consistent with sustainable tourism theory, destinations that anticipate seasonal surges and adopt adaptive management strategies are better positioned to mitigate negative environmental and social impacts (Bramwell &amp; Lane, 2011). During Christmas and New Year, temporary yet targeted planning measures—such as extended public services, crowd monitoring, and event scheduling—enable destinations to maintain operational efficiency without committing to permanent overcapacity. This supports Hall’s (2011) assertion that flexibility and long-term vision are central to sustainable destination governance.</w:t>
      </w:r>
    </w:p>
    <w:p w14:paraId="6EC4F3AD" w14:textId="77777777" w:rsidR="005C3E06" w:rsidRPr="005C3E06" w:rsidRDefault="005C3E06" w:rsidP="005C3E06">
      <w:pPr>
        <w:spacing w:line="480" w:lineRule="auto"/>
        <w:rPr>
          <w:rFonts w:ascii="Times New Roman" w:hAnsi="Times New Roman" w:cs="Times New Roman"/>
          <w:color w:val="000000" w:themeColor="text1"/>
          <w:szCs w:val="24"/>
        </w:rPr>
      </w:pPr>
    </w:p>
    <w:p w14:paraId="14C52B70" w14:textId="77777777" w:rsidR="005C3E06" w:rsidRPr="005C3E06" w:rsidRDefault="005C3E06" w:rsidP="005C3E06">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 xml:space="preserve">Visitor flow and crowd management emerged as particularly critical for balancing sustainability and visitor satisfaction. The findings reinforce the view that overcrowding not only degrades environmental quality but also diminishes visitor experience and resident well-being (Gössling et al., 2020). Destinations that successfully disperse visitors spatially and temporally—through </w:t>
      </w:r>
      <w:r w:rsidRPr="005C3E06">
        <w:rPr>
          <w:rFonts w:ascii="Times New Roman" w:hAnsi="Times New Roman" w:cs="Times New Roman"/>
          <w:color w:val="000000" w:themeColor="text1"/>
          <w:szCs w:val="24"/>
        </w:rPr>
        <w:lastRenderedPageBreak/>
        <w:t>multiple event locations and staggered programming—demonstrate that sustainability and experience enhancement can be mutually reinforcing. These practices align with the limits of acceptable change framework, which emphasises managing impacts rather than simply restricting visitor numbers (McCool &amp; Lime, 2001).</w:t>
      </w:r>
    </w:p>
    <w:p w14:paraId="6B201744" w14:textId="77777777" w:rsidR="005C3E06" w:rsidRPr="005C3E06" w:rsidRDefault="005C3E06" w:rsidP="005C3E06">
      <w:pPr>
        <w:spacing w:line="480" w:lineRule="auto"/>
        <w:rPr>
          <w:rFonts w:ascii="Times New Roman" w:hAnsi="Times New Roman" w:cs="Times New Roman"/>
          <w:color w:val="000000" w:themeColor="text1"/>
          <w:szCs w:val="24"/>
        </w:rPr>
      </w:pPr>
    </w:p>
    <w:p w14:paraId="492972A8" w14:textId="77777777" w:rsidR="005C3E06" w:rsidRPr="005C3E06" w:rsidRDefault="005C3E06" w:rsidP="005C3E06">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Sustainable transport planning also plays a pivotal role during the festive season. The findings indicate that encouraging public transport, pedestrianisation, and low-emission mobility significantly reduces congestion and environmental impact while enhancing accessibility and visitor enjoyment. This supports existing research that positions transport planning as a cornerstone of sustainable destination management, particularly during high-density events (Peeters et al., 2016). Destinations that integrate transport strategies with event planning achieve more balanced visitor distribution and improved environmental outcomes.</w:t>
      </w:r>
    </w:p>
    <w:p w14:paraId="562060AF" w14:textId="77777777" w:rsidR="005C3E06" w:rsidRPr="005C3E06" w:rsidRDefault="005C3E06" w:rsidP="005C3E06">
      <w:pPr>
        <w:spacing w:line="480" w:lineRule="auto"/>
        <w:rPr>
          <w:rFonts w:ascii="Times New Roman" w:hAnsi="Times New Roman" w:cs="Times New Roman"/>
          <w:color w:val="000000" w:themeColor="text1"/>
          <w:szCs w:val="24"/>
        </w:rPr>
      </w:pPr>
    </w:p>
    <w:p w14:paraId="332A089E" w14:textId="77777777" w:rsidR="005C3E06" w:rsidRPr="005C3E06" w:rsidRDefault="005C3E06" w:rsidP="005C3E06">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Environmental management practices—such as waste reduction, energy-efficient lighting, and green event standards—were found to be essential for managing the environmental footprint of festive tourism. These findings align with research emphasising the role of circular economy principles and resource efficiency in sustainable tourism planning (Gössling et al., 2018). Importantly, visible sustainability initiatives during Christmas and New Year celebrations enhance destination image and signal environmental responsibility to visitors.</w:t>
      </w:r>
    </w:p>
    <w:p w14:paraId="6E997694" w14:textId="77777777" w:rsidR="005C3E06" w:rsidRPr="005C3E06" w:rsidRDefault="005C3E06" w:rsidP="005C3E06">
      <w:pPr>
        <w:spacing w:line="480" w:lineRule="auto"/>
        <w:rPr>
          <w:rFonts w:ascii="Times New Roman" w:hAnsi="Times New Roman" w:cs="Times New Roman"/>
          <w:color w:val="000000" w:themeColor="text1"/>
          <w:szCs w:val="24"/>
        </w:rPr>
      </w:pPr>
    </w:p>
    <w:p w14:paraId="1066FC29" w14:textId="77777777" w:rsidR="005C3E06" w:rsidRPr="005C3E06" w:rsidRDefault="005C3E06" w:rsidP="005C3E06">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 xml:space="preserve">Community engagement emerged as a decisive factor in achieving social sustainability. The discussion highlights that resident involvement in planning processes reduces conflict, increases </w:t>
      </w:r>
      <w:r w:rsidRPr="005C3E06">
        <w:rPr>
          <w:rFonts w:ascii="Times New Roman" w:hAnsi="Times New Roman" w:cs="Times New Roman"/>
          <w:color w:val="000000" w:themeColor="text1"/>
          <w:szCs w:val="24"/>
        </w:rPr>
        <w:lastRenderedPageBreak/>
        <w:t>acceptance of festive tourism, and strengthens local identity. This finding supports social exchange theory, which suggests that residents are more supportive of tourism when perceived benefits outweigh costs (Nunkoo &amp; Gursoy, 2012). Destinations that prioritise community participation are therefore more likely to sustain long-term tourism development.</w:t>
      </w:r>
    </w:p>
    <w:p w14:paraId="59E4760D" w14:textId="77777777" w:rsidR="005C3E06" w:rsidRPr="005C3E06" w:rsidRDefault="005C3E06" w:rsidP="005C3E06">
      <w:pPr>
        <w:spacing w:line="480" w:lineRule="auto"/>
        <w:rPr>
          <w:rFonts w:ascii="Times New Roman" w:hAnsi="Times New Roman" w:cs="Times New Roman"/>
          <w:color w:val="000000" w:themeColor="text1"/>
          <w:szCs w:val="24"/>
        </w:rPr>
      </w:pPr>
    </w:p>
    <w:p w14:paraId="2B54B041" w14:textId="77777777" w:rsidR="005C3E06" w:rsidRPr="005C3E06" w:rsidRDefault="005C3E06" w:rsidP="005C3E06">
      <w:pPr>
        <w:spacing w:line="480" w:lineRule="auto"/>
        <w:rPr>
          <w:rStyle w:val="Heading1Char"/>
          <w:rFonts w:ascii="Times New Roman" w:hAnsi="Times New Roman" w:cs="Times New Roman"/>
          <w:b/>
          <w:bCs/>
          <w:color w:val="000000" w:themeColor="text1"/>
          <w:sz w:val="24"/>
          <w:szCs w:val="24"/>
        </w:rPr>
      </w:pPr>
      <w:r w:rsidRPr="005C3E06">
        <w:rPr>
          <w:rFonts w:ascii="Times New Roman" w:hAnsi="Times New Roman" w:cs="Times New Roman"/>
          <w:color w:val="000000" w:themeColor="text1"/>
          <w:szCs w:val="24"/>
        </w:rPr>
        <w:t>Overall, the discussion demonstrates that effective destination management during Christmas and New Year requires integrated planning that aligns visitor experience with sustainability objectives. Festive tourism can generate significant economic benefits without compromising destination resilience when guided by strategic, inclusive, and sustainability-focused planning.</w:t>
      </w:r>
      <w:r w:rsidRPr="005C3E06">
        <w:rPr>
          <w:rStyle w:val="Heading1Char"/>
          <w:rFonts w:ascii="Times New Roman" w:hAnsi="Times New Roman" w:cs="Times New Roman"/>
          <w:b/>
          <w:bCs/>
          <w:color w:val="000000" w:themeColor="text1"/>
          <w:sz w:val="24"/>
          <w:szCs w:val="24"/>
        </w:rPr>
        <w:t xml:space="preserve"> </w:t>
      </w:r>
    </w:p>
    <w:p w14:paraId="239C3352" w14:textId="77777777" w:rsidR="005C3E06" w:rsidRPr="005C3E06" w:rsidRDefault="005C3E06" w:rsidP="005C3E06">
      <w:pPr>
        <w:spacing w:line="480" w:lineRule="auto"/>
        <w:rPr>
          <w:rStyle w:val="Heading1Char"/>
          <w:rFonts w:ascii="Times New Roman" w:hAnsi="Times New Roman" w:cs="Times New Roman"/>
          <w:b/>
          <w:bCs/>
          <w:color w:val="000000" w:themeColor="text1"/>
          <w:sz w:val="24"/>
          <w:szCs w:val="24"/>
        </w:rPr>
      </w:pPr>
    </w:p>
    <w:p w14:paraId="00794E8C" w14:textId="77777777" w:rsidR="005C3E06" w:rsidRPr="005C3E06" w:rsidRDefault="005C3E06" w:rsidP="005C3E06">
      <w:pPr>
        <w:spacing w:line="480" w:lineRule="auto"/>
        <w:rPr>
          <w:rStyle w:val="Heading1Char"/>
          <w:rFonts w:ascii="Times New Roman" w:hAnsi="Times New Roman" w:cs="Times New Roman"/>
          <w:b/>
          <w:bCs/>
          <w:color w:val="000000" w:themeColor="text1"/>
          <w:sz w:val="24"/>
          <w:szCs w:val="24"/>
        </w:rPr>
      </w:pPr>
    </w:p>
    <w:p w14:paraId="156E6F62" w14:textId="77777777" w:rsidR="005C3E06" w:rsidRPr="005C3E06" w:rsidRDefault="005C3E06" w:rsidP="005C3E06">
      <w:pPr>
        <w:spacing w:line="480" w:lineRule="auto"/>
        <w:rPr>
          <w:rStyle w:val="Heading1Char"/>
          <w:rFonts w:ascii="Times New Roman" w:hAnsi="Times New Roman" w:cs="Times New Roman"/>
          <w:b/>
          <w:bCs/>
          <w:color w:val="000000" w:themeColor="text1"/>
          <w:sz w:val="24"/>
          <w:szCs w:val="24"/>
        </w:rPr>
      </w:pPr>
    </w:p>
    <w:p w14:paraId="7D0A02FB" w14:textId="77777777" w:rsidR="005C3E06" w:rsidRPr="005C3E06" w:rsidRDefault="00EB264E" w:rsidP="005C3E06">
      <w:pPr>
        <w:spacing w:line="480" w:lineRule="auto"/>
        <w:rPr>
          <w:rFonts w:ascii="Times New Roman" w:hAnsi="Times New Roman" w:cs="Times New Roman"/>
          <w:color w:val="000000" w:themeColor="text1"/>
          <w:szCs w:val="24"/>
        </w:rPr>
      </w:pPr>
      <w:r w:rsidRPr="005C3E06">
        <w:rPr>
          <w:rStyle w:val="Heading1Char"/>
          <w:rFonts w:ascii="Times New Roman" w:hAnsi="Times New Roman" w:cs="Times New Roman"/>
          <w:b/>
          <w:bCs/>
          <w:color w:val="000000" w:themeColor="text1"/>
          <w:sz w:val="24"/>
          <w:szCs w:val="24"/>
        </w:rPr>
        <w:t>6</w:t>
      </w:r>
      <w:r w:rsidR="00F11085" w:rsidRPr="005C3E06">
        <w:rPr>
          <w:rStyle w:val="Heading1Char"/>
          <w:rFonts w:ascii="Times New Roman" w:hAnsi="Times New Roman" w:cs="Times New Roman"/>
          <w:b/>
          <w:bCs/>
          <w:color w:val="000000" w:themeColor="text1"/>
          <w:sz w:val="24"/>
          <w:szCs w:val="24"/>
        </w:rPr>
        <w:t>. Conclusion</w:t>
      </w:r>
      <w:bookmarkEnd w:id="5"/>
      <w:r w:rsidR="00F11085" w:rsidRPr="005C3E06">
        <w:rPr>
          <w:rFonts w:ascii="Times New Roman" w:hAnsi="Times New Roman" w:cs="Times New Roman"/>
          <w:color w:val="000000" w:themeColor="text1"/>
          <w:szCs w:val="24"/>
        </w:rPr>
        <w:t xml:space="preserve"> </w:t>
      </w:r>
      <w:r w:rsidR="00F11085" w:rsidRPr="005C3E06">
        <w:rPr>
          <w:rFonts w:ascii="Times New Roman" w:hAnsi="Times New Roman" w:cs="Times New Roman"/>
          <w:color w:val="000000" w:themeColor="text1"/>
          <w:szCs w:val="24"/>
        </w:rPr>
        <w:br/>
      </w:r>
      <w:bookmarkStart w:id="6" w:name="_Toc216766366"/>
      <w:r w:rsidR="005C3E06" w:rsidRPr="005C3E06">
        <w:rPr>
          <w:rFonts w:ascii="Times New Roman" w:hAnsi="Times New Roman" w:cs="Times New Roman"/>
          <w:color w:val="000000" w:themeColor="text1"/>
          <w:szCs w:val="24"/>
        </w:rPr>
        <w:t>This report examined destination management and sustainable tourism planning for the Christmas and New Year period, focusing on how destinations prepare for peak visitor demand while balancing sustainability goals and visitor experience. The analysis demonstrates that festive tourism represents both an opportunity for economic growth and a challenge for destination sustainability.</w:t>
      </w:r>
    </w:p>
    <w:p w14:paraId="04214914" w14:textId="77777777" w:rsidR="005C3E06" w:rsidRPr="005C3E06" w:rsidRDefault="005C3E06" w:rsidP="005C3E06">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 xml:space="preserve">The findings indicate that proactive and integrated destination planning is essential for managing the environmental, social, and infrastructural pressures associated with peak festive tourism. Strategies such as visitor flow management, sustainable transport planning, environmental </w:t>
      </w:r>
      <w:r w:rsidRPr="005C3E06">
        <w:rPr>
          <w:rFonts w:ascii="Times New Roman" w:hAnsi="Times New Roman" w:cs="Times New Roman"/>
          <w:color w:val="000000" w:themeColor="text1"/>
          <w:szCs w:val="24"/>
        </w:rPr>
        <w:lastRenderedPageBreak/>
        <w:t>protection measures, and community engagement enable destinations to cope with increased demand while preserving long-term destination quality. Importantly, the study shows that sustainability and visitor experience are not competing objectives; rather, well-managed destinations achieve both enhanced visitor satisfaction and reduced negative impacts.</w:t>
      </w:r>
    </w:p>
    <w:p w14:paraId="0BFD3B57" w14:textId="77777777" w:rsidR="005C3E06" w:rsidRPr="005C3E06" w:rsidRDefault="005C3E06" w:rsidP="005C3E06">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The report also highlights the central role of destination management organisations in coordinating stakeholders and aligning short-term festive activities with long-term sustainability strategies. Destinations that adopt flexible, data-informed, and participatory planning approaches are better positioned to maintain resilience and social acceptance during high-impact seasons such as Christmas and New Year.</w:t>
      </w:r>
    </w:p>
    <w:p w14:paraId="0CDA3F7E" w14:textId="77777777" w:rsidR="005C3E06" w:rsidRPr="005C3E06" w:rsidRDefault="005C3E06" w:rsidP="005C3E06">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In conclusion, sustainable destination management during festive periods is critical to ensuring the long-term viability of tourism destinations. By embedding sustainability principles into planning and governance processes, destinations can balance economic benefits with environmental protection and community well-being. Future research could explore comparative case studies across regions or incorporate primary data from destination managers and residents to deepen understanding of sustainable festive tourism planning.</w:t>
      </w:r>
    </w:p>
    <w:p w14:paraId="002E890F" w14:textId="77777777" w:rsidR="005C3E06" w:rsidRDefault="005C3E06" w:rsidP="005C3E06">
      <w:pPr>
        <w:spacing w:line="480" w:lineRule="auto"/>
        <w:rPr>
          <w:rFonts w:ascii="Times New Roman" w:hAnsi="Times New Roman" w:cs="Times New Roman"/>
          <w:b/>
          <w:bCs/>
          <w:color w:val="000000" w:themeColor="text1"/>
          <w:szCs w:val="24"/>
        </w:rPr>
      </w:pPr>
    </w:p>
    <w:p w14:paraId="0C3A7EDF" w14:textId="77777777" w:rsidR="005C3E06" w:rsidRDefault="005C3E06" w:rsidP="005C3E06">
      <w:pPr>
        <w:spacing w:line="480" w:lineRule="auto"/>
        <w:rPr>
          <w:rFonts w:ascii="Times New Roman" w:hAnsi="Times New Roman" w:cs="Times New Roman"/>
          <w:b/>
          <w:bCs/>
          <w:color w:val="000000" w:themeColor="text1"/>
          <w:szCs w:val="24"/>
        </w:rPr>
      </w:pPr>
    </w:p>
    <w:p w14:paraId="1DF124F7" w14:textId="77777777" w:rsidR="005C3E06" w:rsidRDefault="005C3E06" w:rsidP="005C3E06">
      <w:pPr>
        <w:spacing w:line="480" w:lineRule="auto"/>
        <w:rPr>
          <w:rFonts w:ascii="Times New Roman" w:hAnsi="Times New Roman" w:cs="Times New Roman"/>
          <w:b/>
          <w:bCs/>
          <w:color w:val="000000" w:themeColor="text1"/>
          <w:szCs w:val="24"/>
        </w:rPr>
      </w:pPr>
    </w:p>
    <w:p w14:paraId="446DF3F5" w14:textId="77777777" w:rsidR="005C3E06" w:rsidRDefault="005C3E06" w:rsidP="005C3E06">
      <w:pPr>
        <w:spacing w:line="480" w:lineRule="auto"/>
        <w:rPr>
          <w:rFonts w:ascii="Times New Roman" w:hAnsi="Times New Roman" w:cs="Times New Roman"/>
          <w:b/>
          <w:bCs/>
          <w:color w:val="000000" w:themeColor="text1"/>
          <w:szCs w:val="24"/>
        </w:rPr>
      </w:pPr>
    </w:p>
    <w:p w14:paraId="0D82718A" w14:textId="77777777" w:rsidR="005C3E06" w:rsidRDefault="005C3E06" w:rsidP="005C3E06">
      <w:pPr>
        <w:spacing w:line="480" w:lineRule="auto"/>
        <w:rPr>
          <w:rFonts w:ascii="Times New Roman" w:hAnsi="Times New Roman" w:cs="Times New Roman"/>
          <w:b/>
          <w:bCs/>
          <w:color w:val="000000" w:themeColor="text1"/>
          <w:szCs w:val="24"/>
        </w:rPr>
      </w:pPr>
    </w:p>
    <w:p w14:paraId="20E43AF8" w14:textId="77777777" w:rsidR="005C3E06" w:rsidRPr="005C3E06" w:rsidRDefault="005C3E06" w:rsidP="005C3E06">
      <w:pPr>
        <w:spacing w:line="480" w:lineRule="auto"/>
        <w:rPr>
          <w:rFonts w:ascii="Times New Roman" w:hAnsi="Times New Roman" w:cs="Times New Roman"/>
          <w:b/>
          <w:bCs/>
          <w:color w:val="000000" w:themeColor="text1"/>
          <w:szCs w:val="24"/>
        </w:rPr>
      </w:pPr>
    </w:p>
    <w:p w14:paraId="0881047A" w14:textId="35CFCE6A" w:rsidR="004D7D13" w:rsidRPr="005C3E06" w:rsidRDefault="004D7D13" w:rsidP="005C3E06">
      <w:pPr>
        <w:spacing w:line="480" w:lineRule="auto"/>
        <w:rPr>
          <w:rFonts w:ascii="Times New Roman" w:hAnsi="Times New Roman" w:cs="Times New Roman"/>
          <w:b/>
          <w:bCs/>
          <w:color w:val="000000" w:themeColor="text1"/>
          <w:szCs w:val="24"/>
        </w:rPr>
      </w:pPr>
      <w:r w:rsidRPr="005C3E06">
        <w:rPr>
          <w:rFonts w:ascii="Times New Roman" w:hAnsi="Times New Roman" w:cs="Times New Roman"/>
          <w:b/>
          <w:bCs/>
          <w:color w:val="000000" w:themeColor="text1"/>
          <w:szCs w:val="24"/>
        </w:rPr>
        <w:lastRenderedPageBreak/>
        <w:t>Reference List</w:t>
      </w:r>
      <w:bookmarkEnd w:id="6"/>
      <w:r w:rsidRPr="005C3E06">
        <w:rPr>
          <w:rFonts w:ascii="Times New Roman" w:hAnsi="Times New Roman" w:cs="Times New Roman"/>
          <w:b/>
          <w:bCs/>
          <w:color w:val="000000" w:themeColor="text1"/>
          <w:szCs w:val="24"/>
        </w:rPr>
        <w:t xml:space="preserve"> </w:t>
      </w:r>
    </w:p>
    <w:p w14:paraId="5D08C9BF" w14:textId="77777777" w:rsidR="005C3E06" w:rsidRPr="005C3E06" w:rsidRDefault="005C3E06" w:rsidP="005C3E06">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 xml:space="preserve">Bramwell, B., &amp; Lane, B. (2011). Critical research on the governance of tourism and sustainability. </w:t>
      </w:r>
      <w:r w:rsidRPr="005C3E06">
        <w:rPr>
          <w:rFonts w:ascii="Times New Roman" w:hAnsi="Times New Roman" w:cs="Times New Roman"/>
          <w:i/>
          <w:iCs/>
          <w:color w:val="000000" w:themeColor="text1"/>
          <w:szCs w:val="24"/>
        </w:rPr>
        <w:t>Journal of Sustainable Tourism, 19</w:t>
      </w:r>
      <w:r w:rsidRPr="005C3E06">
        <w:rPr>
          <w:rFonts w:ascii="Times New Roman" w:hAnsi="Times New Roman" w:cs="Times New Roman"/>
          <w:color w:val="000000" w:themeColor="text1"/>
          <w:szCs w:val="24"/>
        </w:rPr>
        <w:t xml:space="preserve">(4–5), 411–421. </w:t>
      </w:r>
      <w:hyperlink r:id="rId7" w:tgtFrame="_new" w:history="1">
        <w:r w:rsidRPr="005C3E06">
          <w:rPr>
            <w:rStyle w:val="Hyperlink"/>
            <w:rFonts w:ascii="Times New Roman" w:hAnsi="Times New Roman" w:cs="Times New Roman"/>
            <w:szCs w:val="24"/>
          </w:rPr>
          <w:t>https://doi.org/10.1080/09669582.2011.580586</w:t>
        </w:r>
      </w:hyperlink>
    </w:p>
    <w:p w14:paraId="353093CE" w14:textId="77777777" w:rsidR="005C3E06" w:rsidRPr="005C3E06" w:rsidRDefault="005C3E06" w:rsidP="005C3E06">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 xml:space="preserve">Bramwell, B., Higham, J., Lane, B., &amp; Miller, G. (2017). Twenty-five years of sustainable tourism and the Journal of Sustainable Tourism: Looking back and moving forward. </w:t>
      </w:r>
      <w:r w:rsidRPr="005C3E06">
        <w:rPr>
          <w:rFonts w:ascii="Times New Roman" w:hAnsi="Times New Roman" w:cs="Times New Roman"/>
          <w:i/>
          <w:iCs/>
          <w:color w:val="000000" w:themeColor="text1"/>
          <w:szCs w:val="24"/>
        </w:rPr>
        <w:t>Journal of Sustainable Tourism, 25</w:t>
      </w:r>
      <w:r w:rsidRPr="005C3E06">
        <w:rPr>
          <w:rFonts w:ascii="Times New Roman" w:hAnsi="Times New Roman" w:cs="Times New Roman"/>
          <w:color w:val="000000" w:themeColor="text1"/>
          <w:szCs w:val="24"/>
        </w:rPr>
        <w:t>(1), 1–9. https://doi.org/10.1080/09669582.2017.1280179</w:t>
      </w:r>
    </w:p>
    <w:p w14:paraId="23A32380" w14:textId="77777777" w:rsidR="005C3E06" w:rsidRPr="005C3E06" w:rsidRDefault="005C3E06" w:rsidP="005C3E06">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 xml:space="preserve">Gössling, S., Hall, C. M., &amp; Scott, D. (2018). Tourism and water. </w:t>
      </w:r>
      <w:r w:rsidRPr="005C3E06">
        <w:rPr>
          <w:rFonts w:ascii="Times New Roman" w:hAnsi="Times New Roman" w:cs="Times New Roman"/>
          <w:i/>
          <w:iCs/>
          <w:color w:val="000000" w:themeColor="text1"/>
          <w:szCs w:val="24"/>
        </w:rPr>
        <w:t>Channel View Publications</w:t>
      </w:r>
      <w:r w:rsidRPr="005C3E06">
        <w:rPr>
          <w:rFonts w:ascii="Times New Roman" w:hAnsi="Times New Roman" w:cs="Times New Roman"/>
          <w:color w:val="000000" w:themeColor="text1"/>
          <w:szCs w:val="24"/>
        </w:rPr>
        <w:t>.</w:t>
      </w:r>
    </w:p>
    <w:p w14:paraId="44959AED" w14:textId="77777777" w:rsidR="005C3E06" w:rsidRPr="005C3E06" w:rsidRDefault="005C3E06" w:rsidP="005C3E06">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 xml:space="preserve">Gössling, S., Scott, D., &amp; Hall, C. M. (2020). Pandemics, tourism and global change: A rapid assessment of COVID-19. </w:t>
      </w:r>
      <w:r w:rsidRPr="005C3E06">
        <w:rPr>
          <w:rFonts w:ascii="Times New Roman" w:hAnsi="Times New Roman" w:cs="Times New Roman"/>
          <w:i/>
          <w:iCs/>
          <w:color w:val="000000" w:themeColor="text1"/>
          <w:szCs w:val="24"/>
        </w:rPr>
        <w:t>Journal of Sustainable Tourism, 29</w:t>
      </w:r>
      <w:r w:rsidRPr="005C3E06">
        <w:rPr>
          <w:rFonts w:ascii="Times New Roman" w:hAnsi="Times New Roman" w:cs="Times New Roman"/>
          <w:color w:val="000000" w:themeColor="text1"/>
          <w:szCs w:val="24"/>
        </w:rPr>
        <w:t xml:space="preserve">(1), 1–20. </w:t>
      </w:r>
      <w:hyperlink r:id="rId8" w:tgtFrame="_new" w:history="1">
        <w:r w:rsidRPr="005C3E06">
          <w:rPr>
            <w:rStyle w:val="Hyperlink"/>
            <w:rFonts w:ascii="Times New Roman" w:hAnsi="Times New Roman" w:cs="Times New Roman"/>
            <w:szCs w:val="24"/>
          </w:rPr>
          <w:t>https://doi.org/10.1080/09669582.2020.1758708</w:t>
        </w:r>
      </w:hyperlink>
    </w:p>
    <w:p w14:paraId="3A653D21" w14:textId="77777777" w:rsidR="005C3E06" w:rsidRPr="005C3E06" w:rsidRDefault="005C3E06" w:rsidP="005C3E06">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 xml:space="preserve">Hall, C. M. (2011). Policy learning and policy failure in sustainable tourism governance: From first- and second-order to third-order change? </w:t>
      </w:r>
      <w:r w:rsidRPr="005C3E06">
        <w:rPr>
          <w:rFonts w:ascii="Times New Roman" w:hAnsi="Times New Roman" w:cs="Times New Roman"/>
          <w:i/>
          <w:iCs/>
          <w:color w:val="000000" w:themeColor="text1"/>
          <w:szCs w:val="24"/>
        </w:rPr>
        <w:t>Journal of Sustainable Tourism, 19</w:t>
      </w:r>
      <w:r w:rsidRPr="005C3E06">
        <w:rPr>
          <w:rFonts w:ascii="Times New Roman" w:hAnsi="Times New Roman" w:cs="Times New Roman"/>
          <w:color w:val="000000" w:themeColor="text1"/>
          <w:szCs w:val="24"/>
        </w:rPr>
        <w:t>(4–5), 649–671. https://doi.org/10.1080/09669582.2011.555555</w:t>
      </w:r>
    </w:p>
    <w:p w14:paraId="58E6FC52" w14:textId="77777777" w:rsidR="005C3E06" w:rsidRPr="005C3E06" w:rsidRDefault="005C3E06" w:rsidP="005C3E06">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 xml:space="preserve">McCool, S. F., &amp; Lime, D. W. (2001). Tourism carrying capacity: Tempting fantasy or useful reality? </w:t>
      </w:r>
      <w:r w:rsidRPr="005C3E06">
        <w:rPr>
          <w:rFonts w:ascii="Times New Roman" w:hAnsi="Times New Roman" w:cs="Times New Roman"/>
          <w:i/>
          <w:iCs/>
          <w:color w:val="000000" w:themeColor="text1"/>
          <w:szCs w:val="24"/>
        </w:rPr>
        <w:t>Journal of Sustainable Tourism, 9</w:t>
      </w:r>
      <w:r w:rsidRPr="005C3E06">
        <w:rPr>
          <w:rFonts w:ascii="Times New Roman" w:hAnsi="Times New Roman" w:cs="Times New Roman"/>
          <w:color w:val="000000" w:themeColor="text1"/>
          <w:szCs w:val="24"/>
        </w:rPr>
        <w:t>(5), 372–388. https://doi.org/10.1080/09669580108667409</w:t>
      </w:r>
    </w:p>
    <w:p w14:paraId="306AADC2" w14:textId="77777777" w:rsidR="005C3E06" w:rsidRPr="005C3E06" w:rsidRDefault="005C3E06" w:rsidP="005C3E06">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 xml:space="preserve">Nunkoo, R., &amp; Gursoy, D. (2012). Residents’ support for tourism: An identity perspective. </w:t>
      </w:r>
      <w:r w:rsidRPr="005C3E06">
        <w:rPr>
          <w:rFonts w:ascii="Times New Roman" w:hAnsi="Times New Roman" w:cs="Times New Roman"/>
          <w:i/>
          <w:iCs/>
          <w:color w:val="000000" w:themeColor="text1"/>
          <w:szCs w:val="24"/>
        </w:rPr>
        <w:t>Annals of Tourism Research, 39</w:t>
      </w:r>
      <w:r w:rsidRPr="005C3E06">
        <w:rPr>
          <w:rFonts w:ascii="Times New Roman" w:hAnsi="Times New Roman" w:cs="Times New Roman"/>
          <w:color w:val="000000" w:themeColor="text1"/>
          <w:szCs w:val="24"/>
        </w:rPr>
        <w:t>(1), 243–268. https://doi.org/10.1016/j.annals.2011.05.006</w:t>
      </w:r>
    </w:p>
    <w:p w14:paraId="0798A866" w14:textId="77777777" w:rsidR="005C3E06" w:rsidRPr="005C3E06" w:rsidRDefault="005C3E06" w:rsidP="005C3E06">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 xml:space="preserve">OECD. (2020). </w:t>
      </w:r>
      <w:r w:rsidRPr="005C3E06">
        <w:rPr>
          <w:rFonts w:ascii="Times New Roman" w:hAnsi="Times New Roman" w:cs="Times New Roman"/>
          <w:i/>
          <w:iCs/>
          <w:color w:val="000000" w:themeColor="text1"/>
          <w:szCs w:val="24"/>
        </w:rPr>
        <w:t>OECD tourism trends and policies 2020</w:t>
      </w:r>
      <w:r w:rsidRPr="005C3E06">
        <w:rPr>
          <w:rFonts w:ascii="Times New Roman" w:hAnsi="Times New Roman" w:cs="Times New Roman"/>
          <w:color w:val="000000" w:themeColor="text1"/>
          <w:szCs w:val="24"/>
        </w:rPr>
        <w:t xml:space="preserve">. OECD Publishing. </w:t>
      </w:r>
      <w:hyperlink r:id="rId9" w:tgtFrame="_new" w:history="1">
        <w:r w:rsidRPr="005C3E06">
          <w:rPr>
            <w:rStyle w:val="Hyperlink"/>
            <w:rFonts w:ascii="Times New Roman" w:hAnsi="Times New Roman" w:cs="Times New Roman"/>
            <w:szCs w:val="24"/>
          </w:rPr>
          <w:t>https://doi.org/10.1787/6b47b985-en</w:t>
        </w:r>
      </w:hyperlink>
    </w:p>
    <w:p w14:paraId="0680F805" w14:textId="77777777" w:rsidR="005C3E06" w:rsidRPr="005C3E06" w:rsidRDefault="005C3E06" w:rsidP="005C3E06">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lastRenderedPageBreak/>
        <w:t xml:space="preserve">Peeters, P., Higham, J., Cohen, S., Eijgelaar, E., &amp; Gössling, S. (2016). Desirable tourism transport futures. </w:t>
      </w:r>
      <w:r w:rsidRPr="005C3E06">
        <w:rPr>
          <w:rFonts w:ascii="Times New Roman" w:hAnsi="Times New Roman" w:cs="Times New Roman"/>
          <w:i/>
          <w:iCs/>
          <w:color w:val="000000" w:themeColor="text1"/>
          <w:szCs w:val="24"/>
        </w:rPr>
        <w:t>Journal of Sustainable Tourism, 24</w:t>
      </w:r>
      <w:r w:rsidRPr="005C3E06">
        <w:rPr>
          <w:rFonts w:ascii="Times New Roman" w:hAnsi="Times New Roman" w:cs="Times New Roman"/>
          <w:color w:val="000000" w:themeColor="text1"/>
          <w:szCs w:val="24"/>
        </w:rPr>
        <w:t>(11), 1394–1411. https://doi.org/10.1080/09669582.2016.1141602</w:t>
      </w:r>
    </w:p>
    <w:p w14:paraId="1CB79CAE" w14:textId="77777777" w:rsidR="005C3E06" w:rsidRPr="005C3E06" w:rsidRDefault="005C3E06" w:rsidP="005C3E06">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 xml:space="preserve">Timur, S., &amp; Getz, D. (2009). Sustainable tourism development: How do destination stakeholders perceive sustainable urban tourism? </w:t>
      </w:r>
      <w:r w:rsidRPr="005C3E06">
        <w:rPr>
          <w:rFonts w:ascii="Times New Roman" w:hAnsi="Times New Roman" w:cs="Times New Roman"/>
          <w:i/>
          <w:iCs/>
          <w:color w:val="000000" w:themeColor="text1"/>
          <w:szCs w:val="24"/>
        </w:rPr>
        <w:t>Sustainable Development, 17</w:t>
      </w:r>
      <w:r w:rsidRPr="005C3E06">
        <w:rPr>
          <w:rFonts w:ascii="Times New Roman" w:hAnsi="Times New Roman" w:cs="Times New Roman"/>
          <w:color w:val="000000" w:themeColor="text1"/>
          <w:szCs w:val="24"/>
        </w:rPr>
        <w:t>(4), 220–232. https://doi.org/10.1002/sd.384</w:t>
      </w:r>
    </w:p>
    <w:p w14:paraId="4B026FEA" w14:textId="77777777" w:rsidR="005C3E06" w:rsidRPr="005C3E06" w:rsidRDefault="005C3E06" w:rsidP="005C3E06">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 xml:space="preserve">UNWTO. (2019). </w:t>
      </w:r>
      <w:r w:rsidRPr="005C3E06">
        <w:rPr>
          <w:rFonts w:ascii="Times New Roman" w:hAnsi="Times New Roman" w:cs="Times New Roman"/>
          <w:i/>
          <w:iCs/>
          <w:color w:val="000000" w:themeColor="text1"/>
          <w:szCs w:val="24"/>
        </w:rPr>
        <w:t>Guidelines for institutional strengthening of destination management organisations (DMOs)</w:t>
      </w:r>
      <w:r w:rsidRPr="005C3E06">
        <w:rPr>
          <w:rFonts w:ascii="Times New Roman" w:hAnsi="Times New Roman" w:cs="Times New Roman"/>
          <w:color w:val="000000" w:themeColor="text1"/>
          <w:szCs w:val="24"/>
        </w:rPr>
        <w:t>. World Tourism Organization.</w:t>
      </w:r>
    </w:p>
    <w:p w14:paraId="378C4065" w14:textId="77777777" w:rsidR="005C3E06" w:rsidRPr="005C3E06" w:rsidRDefault="005C3E06" w:rsidP="005C3E06">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 xml:space="preserve">UNWTO. (2021). </w:t>
      </w:r>
      <w:r w:rsidRPr="005C3E06">
        <w:rPr>
          <w:rFonts w:ascii="Times New Roman" w:hAnsi="Times New Roman" w:cs="Times New Roman"/>
          <w:i/>
          <w:iCs/>
          <w:color w:val="000000" w:themeColor="text1"/>
          <w:szCs w:val="24"/>
        </w:rPr>
        <w:t>Managing tourism growth in destinations: A sustainable tourism policy approach</w:t>
      </w:r>
      <w:r w:rsidRPr="005C3E06">
        <w:rPr>
          <w:rFonts w:ascii="Times New Roman" w:hAnsi="Times New Roman" w:cs="Times New Roman"/>
          <w:color w:val="000000" w:themeColor="text1"/>
          <w:szCs w:val="24"/>
        </w:rPr>
        <w:t>. World Tourism Organization.</w:t>
      </w:r>
    </w:p>
    <w:p w14:paraId="1A8F3B1C" w14:textId="77777777" w:rsidR="005C3E06" w:rsidRPr="005C3E06" w:rsidRDefault="005C3E06" w:rsidP="005C3E06">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 xml:space="preserve">Zero Waste Europe. (2020). </w:t>
      </w:r>
      <w:r w:rsidRPr="005C3E06">
        <w:rPr>
          <w:rFonts w:ascii="Times New Roman" w:hAnsi="Times New Roman" w:cs="Times New Roman"/>
          <w:i/>
          <w:iCs/>
          <w:color w:val="000000" w:themeColor="text1"/>
          <w:szCs w:val="24"/>
        </w:rPr>
        <w:t>Zero waste events: Best practices for festivals and celebrations</w:t>
      </w:r>
      <w:r w:rsidRPr="005C3E06">
        <w:rPr>
          <w:rFonts w:ascii="Times New Roman" w:hAnsi="Times New Roman" w:cs="Times New Roman"/>
          <w:color w:val="000000" w:themeColor="text1"/>
          <w:szCs w:val="24"/>
        </w:rPr>
        <w:t>. Zero Waste Europe Network.</w:t>
      </w:r>
    </w:p>
    <w:p w14:paraId="18D123F1" w14:textId="2CBE6637" w:rsidR="00F11085" w:rsidRPr="005C3E06" w:rsidRDefault="00F11085" w:rsidP="005C3E06">
      <w:pPr>
        <w:spacing w:line="480" w:lineRule="auto"/>
        <w:rPr>
          <w:rFonts w:ascii="Times New Roman" w:hAnsi="Times New Roman" w:cs="Times New Roman"/>
          <w:color w:val="000000" w:themeColor="text1"/>
          <w:szCs w:val="24"/>
        </w:rPr>
      </w:pPr>
    </w:p>
    <w:sectPr w:rsidR="00F11085" w:rsidRPr="005C3E0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4"/>
  </w:num>
  <w:num w:numId="2" w16cid:durableId="1928492258">
    <w:abstractNumId w:val="18"/>
  </w:num>
  <w:num w:numId="3" w16cid:durableId="1950237153">
    <w:abstractNumId w:val="3"/>
  </w:num>
  <w:num w:numId="4" w16cid:durableId="1363168827">
    <w:abstractNumId w:val="23"/>
  </w:num>
  <w:num w:numId="5" w16cid:durableId="357974320">
    <w:abstractNumId w:val="6"/>
  </w:num>
  <w:num w:numId="6" w16cid:durableId="579674841">
    <w:abstractNumId w:val="7"/>
  </w:num>
  <w:num w:numId="7" w16cid:durableId="359084666">
    <w:abstractNumId w:val="5"/>
  </w:num>
  <w:num w:numId="8" w16cid:durableId="1333096502">
    <w:abstractNumId w:val="19"/>
  </w:num>
  <w:num w:numId="9" w16cid:durableId="897087251">
    <w:abstractNumId w:val="26"/>
  </w:num>
  <w:num w:numId="10" w16cid:durableId="1949465594">
    <w:abstractNumId w:val="28"/>
  </w:num>
  <w:num w:numId="11" w16cid:durableId="540483361">
    <w:abstractNumId w:val="22"/>
  </w:num>
  <w:num w:numId="12" w16cid:durableId="949244108">
    <w:abstractNumId w:val="27"/>
  </w:num>
  <w:num w:numId="13" w16cid:durableId="646470493">
    <w:abstractNumId w:val="13"/>
  </w:num>
  <w:num w:numId="14" w16cid:durableId="1633947311">
    <w:abstractNumId w:val="31"/>
  </w:num>
  <w:num w:numId="15" w16cid:durableId="958996080">
    <w:abstractNumId w:val="20"/>
  </w:num>
  <w:num w:numId="16" w16cid:durableId="1218054281">
    <w:abstractNumId w:val="10"/>
  </w:num>
  <w:num w:numId="17" w16cid:durableId="303777591">
    <w:abstractNumId w:val="15"/>
  </w:num>
  <w:num w:numId="18" w16cid:durableId="802387298">
    <w:abstractNumId w:val="29"/>
  </w:num>
  <w:num w:numId="19" w16cid:durableId="1948197075">
    <w:abstractNumId w:val="0"/>
  </w:num>
  <w:num w:numId="20" w16cid:durableId="1655917397">
    <w:abstractNumId w:val="9"/>
  </w:num>
  <w:num w:numId="21" w16cid:durableId="1052074971">
    <w:abstractNumId w:val="2"/>
  </w:num>
  <w:num w:numId="22" w16cid:durableId="98644351">
    <w:abstractNumId w:val="34"/>
  </w:num>
  <w:num w:numId="23" w16cid:durableId="1674335103">
    <w:abstractNumId w:val="35"/>
  </w:num>
  <w:num w:numId="24" w16cid:durableId="1212956802">
    <w:abstractNumId w:val="1"/>
  </w:num>
  <w:num w:numId="25" w16cid:durableId="1806390333">
    <w:abstractNumId w:val="30"/>
  </w:num>
  <w:num w:numId="26" w16cid:durableId="1089423568">
    <w:abstractNumId w:val="4"/>
  </w:num>
  <w:num w:numId="27" w16cid:durableId="1158611673">
    <w:abstractNumId w:val="21"/>
  </w:num>
  <w:num w:numId="28" w16cid:durableId="839468264">
    <w:abstractNumId w:val="11"/>
  </w:num>
  <w:num w:numId="29" w16cid:durableId="1218474286">
    <w:abstractNumId w:val="12"/>
  </w:num>
  <w:num w:numId="30" w16cid:durableId="1486164698">
    <w:abstractNumId w:val="32"/>
  </w:num>
  <w:num w:numId="31" w16cid:durableId="2007511022">
    <w:abstractNumId w:val="25"/>
  </w:num>
  <w:num w:numId="32" w16cid:durableId="1795828787">
    <w:abstractNumId w:val="17"/>
  </w:num>
  <w:num w:numId="33" w16cid:durableId="1214391941">
    <w:abstractNumId w:val="24"/>
  </w:num>
  <w:num w:numId="34" w16cid:durableId="1134829281">
    <w:abstractNumId w:val="16"/>
  </w:num>
  <w:num w:numId="35" w16cid:durableId="1448162929">
    <w:abstractNumId w:val="33"/>
  </w:num>
  <w:num w:numId="36" w16cid:durableId="111301458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318AA"/>
    <w:rsid w:val="00041FAE"/>
    <w:rsid w:val="0004743A"/>
    <w:rsid w:val="0004774B"/>
    <w:rsid w:val="000512A3"/>
    <w:rsid w:val="000A012D"/>
    <w:rsid w:val="000C4AFA"/>
    <w:rsid w:val="000D12EF"/>
    <w:rsid w:val="000E04F4"/>
    <w:rsid w:val="000E1A2C"/>
    <w:rsid w:val="00100191"/>
    <w:rsid w:val="00143A1A"/>
    <w:rsid w:val="00143D83"/>
    <w:rsid w:val="00151724"/>
    <w:rsid w:val="00160E9C"/>
    <w:rsid w:val="00174C04"/>
    <w:rsid w:val="0018722F"/>
    <w:rsid w:val="001F1C7B"/>
    <w:rsid w:val="00204C56"/>
    <w:rsid w:val="0025617E"/>
    <w:rsid w:val="002576A9"/>
    <w:rsid w:val="00275EAE"/>
    <w:rsid w:val="002A2098"/>
    <w:rsid w:val="002B0CE3"/>
    <w:rsid w:val="002C4726"/>
    <w:rsid w:val="002E7AD7"/>
    <w:rsid w:val="002F73F5"/>
    <w:rsid w:val="003124C8"/>
    <w:rsid w:val="003457EF"/>
    <w:rsid w:val="003666CD"/>
    <w:rsid w:val="00394C39"/>
    <w:rsid w:val="003A2BF6"/>
    <w:rsid w:val="003A63C5"/>
    <w:rsid w:val="003C32F7"/>
    <w:rsid w:val="003F1C9D"/>
    <w:rsid w:val="00400A35"/>
    <w:rsid w:val="00426EA7"/>
    <w:rsid w:val="00461DBF"/>
    <w:rsid w:val="00496E55"/>
    <w:rsid w:val="004A1F6F"/>
    <w:rsid w:val="004B02DB"/>
    <w:rsid w:val="004B2E2F"/>
    <w:rsid w:val="004B3DB2"/>
    <w:rsid w:val="004C1220"/>
    <w:rsid w:val="004C273B"/>
    <w:rsid w:val="004C34DB"/>
    <w:rsid w:val="004C7EC5"/>
    <w:rsid w:val="004D7D13"/>
    <w:rsid w:val="004E3186"/>
    <w:rsid w:val="004E3D1C"/>
    <w:rsid w:val="004E437F"/>
    <w:rsid w:val="00506AB2"/>
    <w:rsid w:val="00506B86"/>
    <w:rsid w:val="0050739C"/>
    <w:rsid w:val="00515206"/>
    <w:rsid w:val="00523564"/>
    <w:rsid w:val="005236D9"/>
    <w:rsid w:val="005451DE"/>
    <w:rsid w:val="005636D9"/>
    <w:rsid w:val="005660B8"/>
    <w:rsid w:val="00582227"/>
    <w:rsid w:val="00590BBC"/>
    <w:rsid w:val="005A0604"/>
    <w:rsid w:val="005A0794"/>
    <w:rsid w:val="005B0192"/>
    <w:rsid w:val="005C3E06"/>
    <w:rsid w:val="00626634"/>
    <w:rsid w:val="00641EEE"/>
    <w:rsid w:val="00654B4B"/>
    <w:rsid w:val="00661C0E"/>
    <w:rsid w:val="006640E0"/>
    <w:rsid w:val="006A39D8"/>
    <w:rsid w:val="006A4481"/>
    <w:rsid w:val="006D483F"/>
    <w:rsid w:val="00714A73"/>
    <w:rsid w:val="00770D56"/>
    <w:rsid w:val="00773FB7"/>
    <w:rsid w:val="00792C80"/>
    <w:rsid w:val="007E2C5A"/>
    <w:rsid w:val="007F2D81"/>
    <w:rsid w:val="00810849"/>
    <w:rsid w:val="008302E2"/>
    <w:rsid w:val="00835BAE"/>
    <w:rsid w:val="00836494"/>
    <w:rsid w:val="00843EDD"/>
    <w:rsid w:val="00854D19"/>
    <w:rsid w:val="00857685"/>
    <w:rsid w:val="008649B5"/>
    <w:rsid w:val="0086710E"/>
    <w:rsid w:val="00867CF1"/>
    <w:rsid w:val="008C04A8"/>
    <w:rsid w:val="008C6497"/>
    <w:rsid w:val="009044A7"/>
    <w:rsid w:val="0092274C"/>
    <w:rsid w:val="00933716"/>
    <w:rsid w:val="0095171B"/>
    <w:rsid w:val="0095220B"/>
    <w:rsid w:val="009541AC"/>
    <w:rsid w:val="009634A6"/>
    <w:rsid w:val="00977624"/>
    <w:rsid w:val="00984A12"/>
    <w:rsid w:val="00986E2A"/>
    <w:rsid w:val="009A1709"/>
    <w:rsid w:val="009C0009"/>
    <w:rsid w:val="009C0D07"/>
    <w:rsid w:val="00A22E5D"/>
    <w:rsid w:val="00A433D7"/>
    <w:rsid w:val="00A6019D"/>
    <w:rsid w:val="00A60CF1"/>
    <w:rsid w:val="00A63241"/>
    <w:rsid w:val="00A76781"/>
    <w:rsid w:val="00A76B20"/>
    <w:rsid w:val="00A87B7E"/>
    <w:rsid w:val="00A91E57"/>
    <w:rsid w:val="00AD05F9"/>
    <w:rsid w:val="00AD40B1"/>
    <w:rsid w:val="00B02610"/>
    <w:rsid w:val="00B06124"/>
    <w:rsid w:val="00B425D9"/>
    <w:rsid w:val="00B6174C"/>
    <w:rsid w:val="00B74633"/>
    <w:rsid w:val="00B75166"/>
    <w:rsid w:val="00B8435D"/>
    <w:rsid w:val="00BB783D"/>
    <w:rsid w:val="00BD23A3"/>
    <w:rsid w:val="00BD4725"/>
    <w:rsid w:val="00BF0D10"/>
    <w:rsid w:val="00BF4B05"/>
    <w:rsid w:val="00BF4BBC"/>
    <w:rsid w:val="00C1597C"/>
    <w:rsid w:val="00C435B3"/>
    <w:rsid w:val="00C82410"/>
    <w:rsid w:val="00CC17BF"/>
    <w:rsid w:val="00D1330E"/>
    <w:rsid w:val="00D16B77"/>
    <w:rsid w:val="00D33052"/>
    <w:rsid w:val="00D6495A"/>
    <w:rsid w:val="00D67892"/>
    <w:rsid w:val="00D727D5"/>
    <w:rsid w:val="00D74A74"/>
    <w:rsid w:val="00D84E95"/>
    <w:rsid w:val="00D908BF"/>
    <w:rsid w:val="00DB3BF7"/>
    <w:rsid w:val="00DD48B2"/>
    <w:rsid w:val="00DF3FD0"/>
    <w:rsid w:val="00E031DE"/>
    <w:rsid w:val="00E2656D"/>
    <w:rsid w:val="00E33913"/>
    <w:rsid w:val="00E34C40"/>
    <w:rsid w:val="00E47DA5"/>
    <w:rsid w:val="00E765CF"/>
    <w:rsid w:val="00EB04D0"/>
    <w:rsid w:val="00EB175A"/>
    <w:rsid w:val="00EB264E"/>
    <w:rsid w:val="00EB37A9"/>
    <w:rsid w:val="00EC356C"/>
    <w:rsid w:val="00ED1841"/>
    <w:rsid w:val="00EF40F7"/>
    <w:rsid w:val="00EF6A04"/>
    <w:rsid w:val="00F11085"/>
    <w:rsid w:val="00F20A8A"/>
    <w:rsid w:val="00F33F4A"/>
    <w:rsid w:val="00F43E3F"/>
    <w:rsid w:val="00F46117"/>
    <w:rsid w:val="00F5149C"/>
    <w:rsid w:val="00F72ED2"/>
    <w:rsid w:val="00FA6273"/>
    <w:rsid w:val="00FB4CC9"/>
    <w:rsid w:val="00FD21D2"/>
    <w:rsid w:val="00FD2546"/>
    <w:rsid w:val="00FE26D5"/>
    <w:rsid w:val="00FE2757"/>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9669582.2020.1758708" TargetMode="External"/><Relationship Id="rId3" Type="http://schemas.openxmlformats.org/officeDocument/2006/relationships/styles" Target="styles.xml"/><Relationship Id="rId7" Type="http://schemas.openxmlformats.org/officeDocument/2006/relationships/hyperlink" Target="https://doi.org/10.1080/09669582.2011.58058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787/6b47b985-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4625</Words>
  <Characters>26367</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2026-02-10T02:29:00Z</dcterms:created>
  <dcterms:modified xsi:type="dcterms:W3CDTF">2026-02-10T02:29:00Z</dcterms:modified>
</cp:coreProperties>
</file>