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04D" w:rsidRDefault="0019504D" w:rsidP="0019504D">
      <w:pPr>
        <w:rPr>
          <w:lang w:val="en-US"/>
        </w:rPr>
      </w:pPr>
      <w:r>
        <w:rPr>
          <w:noProof/>
          <w:lang w:val="en-US"/>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rsidR="0019504D" w:rsidRDefault="0019504D" w:rsidP="0019504D">
      <w:pPr>
        <w:rPr>
          <w:lang w:val="en-US"/>
        </w:rPr>
      </w:pPr>
      <w:r w:rsidRPr="0019504D">
        <w:rPr>
          <w:lang w:val="en-US"/>
        </w:rPr>
        <w:t>Ass</w:t>
      </w:r>
      <w:r>
        <w:rPr>
          <w:lang w:val="en-US"/>
        </w:rPr>
        <w:t xml:space="preserve">ignment </w:t>
      </w:r>
      <w:r w:rsidR="00CA2604">
        <w:rPr>
          <w:lang w:val="en-US"/>
        </w:rPr>
        <w:t>3</w:t>
      </w:r>
    </w:p>
    <w:p w:rsidR="0019504D" w:rsidRPr="0019504D" w:rsidRDefault="00CA2604" w:rsidP="0019504D">
      <w:pPr>
        <w:rPr>
          <w:lang w:val="en-US"/>
        </w:rPr>
      </w:pPr>
      <w:r>
        <w:rPr>
          <w:lang w:val="en-US"/>
        </w:rPr>
        <w:t>2</w:t>
      </w:r>
      <w:r w:rsidR="003E6F9A">
        <w:rPr>
          <w:lang w:val="en-US"/>
        </w:rPr>
        <w:t>8</w:t>
      </w:r>
      <w:r w:rsidR="0019504D">
        <w:rPr>
          <w:lang w:val="en-US"/>
        </w:rPr>
        <w:t>.0</w:t>
      </w:r>
      <w:r w:rsidR="00481859">
        <w:rPr>
          <w:lang w:val="en-US"/>
        </w:rPr>
        <w:t>1</w:t>
      </w:r>
      <w:r w:rsidR="0019504D">
        <w:rPr>
          <w:lang w:val="en-US"/>
        </w:rPr>
        <w:t>.202</w:t>
      </w:r>
      <w:r w:rsidR="003E6F9A">
        <w:rPr>
          <w:lang w:val="en-US"/>
        </w:rPr>
        <w:t>6</w:t>
      </w:r>
    </w:p>
    <w:p w:rsidR="0019504D" w:rsidRDefault="0019504D"/>
    <w:p w:rsidR="0019504D" w:rsidRDefault="0019504D"/>
    <w:p w:rsidR="00D55CEC" w:rsidRPr="00B81D2F" w:rsidRDefault="00D55CEC" w:rsidP="00D55CEC">
      <w:pPr>
        <w:spacing w:before="100" w:beforeAutospacing="1" w:after="100" w:afterAutospacing="1"/>
        <w:rPr>
          <w:rFonts w:ascii="Times New Roman" w:eastAsia="Times New Roman" w:hAnsi="Times New Roman" w:cs="Times New Roman"/>
        </w:rPr>
      </w:pPr>
      <w:r w:rsidRPr="00B81D2F">
        <w:rPr>
          <w:rFonts w:ascii="Times New Roman" w:eastAsia="Times New Roman" w:hAnsi="Times New Roman" w:cs="Times New Roman"/>
          <w:b/>
          <w:bCs/>
        </w:rPr>
        <w:t>Submitted by         :</w:t>
      </w:r>
      <w:r w:rsidRPr="00B81D2F">
        <w:rPr>
          <w:rFonts w:ascii="Times New Roman" w:eastAsia="Times New Roman" w:hAnsi="Times New Roman" w:cs="Times New Roman"/>
        </w:rPr>
        <w:t xml:space="preserve"> Ehtisham Ul Haq</w:t>
      </w:r>
    </w:p>
    <w:p w:rsidR="00D55CEC" w:rsidRPr="00B81D2F" w:rsidRDefault="00D55CEC" w:rsidP="00D55CEC">
      <w:pPr>
        <w:spacing w:before="100" w:beforeAutospacing="1" w:after="100" w:afterAutospacing="1"/>
        <w:rPr>
          <w:rFonts w:ascii="Times New Roman" w:eastAsia="Times New Roman" w:hAnsi="Times New Roman" w:cs="Times New Roman"/>
          <w:b/>
        </w:rPr>
      </w:pPr>
      <w:r w:rsidRPr="00B81D2F">
        <w:rPr>
          <w:rFonts w:ascii="Times New Roman" w:eastAsia="Times New Roman" w:hAnsi="Times New Roman" w:cs="Times New Roman"/>
          <w:b/>
        </w:rPr>
        <w:t>Course                    :</w:t>
      </w:r>
      <w:r w:rsidRPr="00B81D2F">
        <w:rPr>
          <w:rFonts w:ascii="Times New Roman" w:eastAsia="Times New Roman" w:hAnsi="Times New Roman" w:cs="Times New Roman"/>
        </w:rPr>
        <w:t xml:space="preserve"> BA Tourism Management and Recreation</w:t>
      </w:r>
    </w:p>
    <w:p w:rsidR="00D55CEC" w:rsidRPr="00B81D2F" w:rsidRDefault="00D55CEC" w:rsidP="00D55CEC">
      <w:pPr>
        <w:rPr>
          <w:b/>
          <w:bCs/>
        </w:rPr>
      </w:pPr>
      <w:r w:rsidRPr="00B81D2F">
        <w:rPr>
          <w:rFonts w:ascii="Times New Roman" w:eastAsia="Times New Roman" w:hAnsi="Times New Roman" w:cs="Times New Roman"/>
          <w:b/>
        </w:rPr>
        <w:t>Subject</w:t>
      </w:r>
      <w:r w:rsidRPr="00B81D2F">
        <w:rPr>
          <w:rFonts w:ascii="Times New Roman" w:eastAsia="Times New Roman" w:hAnsi="Times New Roman" w:cs="Times New Roman"/>
        </w:rPr>
        <w:t xml:space="preserve">              </w:t>
      </w:r>
      <w:r w:rsidRPr="00B81D2F">
        <w:rPr>
          <w:rFonts w:ascii="Times New Roman" w:eastAsia="Times New Roman" w:hAnsi="Times New Roman" w:cs="Times New Roman"/>
          <w:b/>
        </w:rPr>
        <w:t xml:space="preserve">     : </w:t>
      </w:r>
      <w:r w:rsidRPr="00B81D2F">
        <w:rPr>
          <w:rFonts w:ascii="Times New Roman" w:hAnsi="Times New Roman" w:cs="Times New Roman"/>
          <w:bCs/>
          <w:lang w:val="en-US"/>
        </w:rPr>
        <w:t>Tourism Law and Legislation</w:t>
      </w:r>
    </w:p>
    <w:p w:rsidR="00D55CEC" w:rsidRPr="00B81D2F" w:rsidRDefault="00D55CEC" w:rsidP="00D55CEC">
      <w:pPr>
        <w:spacing w:before="100" w:beforeAutospacing="1" w:after="100" w:afterAutospacing="1"/>
        <w:rPr>
          <w:rFonts w:ascii="Times New Roman" w:eastAsia="Times New Roman" w:hAnsi="Times New Roman" w:cs="Times New Roman"/>
        </w:rPr>
      </w:pPr>
      <w:r w:rsidRPr="00B81D2F">
        <w:rPr>
          <w:rFonts w:ascii="Times New Roman" w:eastAsia="Times New Roman" w:hAnsi="Times New Roman" w:cs="Times New Roman"/>
          <w:b/>
          <w:bCs/>
        </w:rPr>
        <w:t>Institution Name   :</w:t>
      </w:r>
      <w:r w:rsidRPr="00B81D2F">
        <w:rPr>
          <w:rFonts w:ascii="Times New Roman" w:eastAsia="Times New Roman" w:hAnsi="Times New Roman" w:cs="Times New Roman"/>
        </w:rPr>
        <w:t xml:space="preserve"> European Institute of Innovation Entrepreneurship and Technology</w:t>
      </w:r>
    </w:p>
    <w:p w:rsidR="00D55CEC" w:rsidRPr="00B81D2F" w:rsidRDefault="00D55CEC" w:rsidP="00D55CEC">
      <w:pPr>
        <w:spacing w:before="100" w:beforeAutospacing="1" w:after="100" w:afterAutospacing="1"/>
        <w:rPr>
          <w:rFonts w:ascii="Times New Roman" w:eastAsia="Times New Roman" w:hAnsi="Times New Roman" w:cs="Times New Roman"/>
        </w:rPr>
      </w:pPr>
      <w:r w:rsidRPr="00B81D2F">
        <w:rPr>
          <w:rFonts w:ascii="Times New Roman" w:eastAsia="Times New Roman" w:hAnsi="Times New Roman" w:cs="Times New Roman"/>
          <w:b/>
          <w:lang w:val="en-US"/>
        </w:rPr>
        <w:t>Student ID              :</w:t>
      </w:r>
      <w:r w:rsidRPr="00B81D2F">
        <w:rPr>
          <w:rFonts w:ascii="Times New Roman" w:eastAsia="Times New Roman" w:hAnsi="Times New Roman" w:cs="Times New Roman"/>
          <w:lang w:val="en-US"/>
        </w:rPr>
        <w:t xml:space="preserve"> DE240197</w:t>
      </w:r>
    </w:p>
    <w:p w:rsidR="0019504D" w:rsidRDefault="0019504D"/>
    <w:p w:rsidR="00CD620A" w:rsidRDefault="00CD620A">
      <w:bookmarkStart w:id="0" w:name="_GoBack"/>
      <w:bookmarkEnd w:id="0"/>
    </w:p>
    <w:p w:rsidR="00EA737F" w:rsidRDefault="00EA737F"/>
    <w:p w:rsidR="0019504D" w:rsidRDefault="0019504D"/>
    <w:p w:rsidR="00D55CEC" w:rsidRDefault="00D55CEC" w:rsidP="00D55CEC">
      <w:pPr>
        <w:pStyle w:val="NormalWeb"/>
      </w:pPr>
      <w:r>
        <w:rPr>
          <w:rStyle w:val="Strong"/>
          <w:rFonts w:eastAsiaTheme="majorEastAsia"/>
        </w:rPr>
        <w:t>Challenges in Harmonizing Consumer Protection Standards Globally</w:t>
      </w:r>
    </w:p>
    <w:p w:rsidR="00D55CEC" w:rsidRDefault="00D55CEC" w:rsidP="00D55CEC">
      <w:pPr>
        <w:pStyle w:val="NormalWeb"/>
      </w:pPr>
      <w:r>
        <w:t>Harmonizing consumer protection standards across countries is complex because consumer law sits at the intersection of domestic legal traditions, market regulation, and socio-economic priorities. While international frameworks such as the United Nations Guidelines for Consumer Protection and the Organisation for Economic Co-operation and Development (OECD) recommendations promote convergence, significant obstacles remain.</w:t>
      </w:r>
    </w:p>
    <w:p w:rsidR="00D55CEC" w:rsidRDefault="00D55CEC" w:rsidP="00D55CEC">
      <w:pPr>
        <w:pStyle w:val="NormalWeb"/>
      </w:pPr>
      <w:r>
        <w:rPr>
          <w:rStyle w:val="Strong"/>
          <w:rFonts w:eastAsiaTheme="majorEastAsia"/>
        </w:rPr>
        <w:t>1. Divergent Legal Systems and Regulatory Philosophies</w:t>
      </w:r>
      <w:r>
        <w:br/>
        <w:t>Countries operate under different legal traditions—common law, civil law, religious law, or mixed systems—which shape how consumer rights are defined and enforced. Some jurisdictions prioritize market freedom and self-regulation, while others adopt precautionary, state-centered approaches. For example, the European Union tends toward strong, harmonized consumer directives, whereas other regions rely more heavily on national autonomy. These philosophical differences hinder uniform global standards.</w:t>
      </w:r>
    </w:p>
    <w:p w:rsidR="00D55CEC" w:rsidRDefault="00D55CEC" w:rsidP="00D55CEC">
      <w:pPr>
        <w:pStyle w:val="NormalWeb"/>
      </w:pPr>
      <w:r>
        <w:rPr>
          <w:rStyle w:val="Strong"/>
          <w:rFonts w:eastAsiaTheme="majorEastAsia"/>
        </w:rPr>
        <w:t>2. Economic Disparities and Development Gaps</w:t>
      </w:r>
      <w:r>
        <w:br/>
        <w:t>Levels of economic development affect regulatory capacity. Developing countries may lack institutional resources to implement and enforce comprehensive consumer protection regimes. Stringent global standards could impose compliance costs that burden small businesses or emerging economies, leading to resistance against harmonization efforts.</w:t>
      </w:r>
    </w:p>
    <w:p w:rsidR="00D55CEC" w:rsidRDefault="00D55CEC" w:rsidP="00D55CEC">
      <w:pPr>
        <w:pStyle w:val="NormalWeb"/>
      </w:pPr>
      <w:r>
        <w:rPr>
          <w:rStyle w:val="Strong"/>
          <w:rFonts w:eastAsiaTheme="majorEastAsia"/>
        </w:rPr>
        <w:t>3. Enforcement and Institutional Capacity</w:t>
      </w:r>
      <w:r>
        <w:br/>
        <w:t>Even when countries adopt similar rules, enforcement mechanisms vary widely. Differences in judicial efficiency, administrative capacity, access to dispute resolution, and cross-border cooperation weaken practical harmonization. Transnational e-commerce disputes, for instance, expose jurisdictional limits and inconsistencies in remedies.</w:t>
      </w:r>
    </w:p>
    <w:p w:rsidR="00D55CEC" w:rsidRDefault="00D55CEC" w:rsidP="00D55CEC">
      <w:pPr>
        <w:pStyle w:val="NormalWeb"/>
      </w:pPr>
      <w:r>
        <w:rPr>
          <w:rStyle w:val="Strong"/>
          <w:rFonts w:eastAsiaTheme="majorEastAsia"/>
        </w:rPr>
        <w:lastRenderedPageBreak/>
        <w:t>4. Rapid Technological Change</w:t>
      </w:r>
      <w:r>
        <w:br/>
        <w:t>Digital markets evolve faster than international regulatory consensus. Issues such as data protection, artificial intelligence, cross-border digital contracts, and online fraud challenge traditional consumer protection models. The global reach of digital platforms complicates jurisdiction, especially where national laws conflict.</w:t>
      </w:r>
    </w:p>
    <w:p w:rsidR="00D55CEC" w:rsidRDefault="00D55CEC" w:rsidP="00D55CEC">
      <w:pPr>
        <w:pStyle w:val="NormalWeb"/>
      </w:pPr>
      <w:r>
        <w:rPr>
          <w:rStyle w:val="Strong"/>
          <w:rFonts w:eastAsiaTheme="majorEastAsia"/>
        </w:rPr>
        <w:t>5. Sovereignty and Political Sensitivities</w:t>
      </w:r>
      <w:r>
        <w:br/>
        <w:t>Consumer protection is closely tied to national public policy. Governments may resist external pressure to align standards if harmonization is perceived as undermining sovereignty or favoring certain economic blocs. Trade negotiations often reveal tensions between consumer safeguards and market access commitments under bodies like the World Trade Organization.</w:t>
      </w:r>
    </w:p>
    <w:p w:rsidR="00D55CEC" w:rsidRDefault="00D55CEC" w:rsidP="00D55CEC">
      <w:pPr>
        <w:pStyle w:val="NormalWeb"/>
      </w:pPr>
      <w:r>
        <w:rPr>
          <w:rStyle w:val="Strong"/>
          <w:rFonts w:eastAsiaTheme="majorEastAsia"/>
        </w:rPr>
        <w:t>6. Cultural and Social Differences</w:t>
      </w:r>
      <w:r>
        <w:br/>
        <w:t>Consumer expectations and risk tolerance differ across societies. What constitutes misleading advertising, unfair contract terms, or acceptable product risk can vary culturally. Harmonization requires reconciling these normative differences without imposing culturally insensitive standards.</w:t>
      </w:r>
    </w:p>
    <w:p w:rsidR="00D55CEC" w:rsidRDefault="00D55CEC" w:rsidP="00D55CEC">
      <w:pPr>
        <w:pStyle w:val="NormalWeb"/>
      </w:pPr>
      <w:r>
        <w:rPr>
          <w:rStyle w:val="Strong"/>
          <w:rFonts w:eastAsiaTheme="majorEastAsia"/>
        </w:rPr>
        <w:t>7. Fragmentation of International Frameworks</w:t>
      </w:r>
      <w:r>
        <w:br/>
        <w:t>Unlike trade or environmental law, there is no single binding global treaty governing consumer protection. Existing instruments—UN guidelines, OECD recommendations, regional directives—are largely soft law. This fragmented governance architecture limits uniformity.</w:t>
      </w:r>
    </w:p>
    <w:p w:rsidR="00D55CEC" w:rsidRDefault="00D55CEC" w:rsidP="00D55CEC">
      <w:pPr>
        <w:pStyle w:val="NormalWeb"/>
      </w:pPr>
      <w:r>
        <w:rPr>
          <w:rStyle w:val="Strong"/>
          <w:rFonts w:eastAsiaTheme="majorEastAsia"/>
        </w:rPr>
        <w:t>Conclusion</w:t>
      </w:r>
      <w:r>
        <w:br/>
        <w:t>Global harmonization of consumer protection standards is constrained by legal diversity, economic inequality, institutional capacity gaps, technological disruption, and political sovereignty concerns. While international cooperation and regional integration (such as within the European Union) demonstrate partial success, full global harmonization remains aspirational. Progress is more likely through incremental convergence, mutual recognition, and strengthened cross-border enforcement cooperation rather than through a single binding global framework.</w:t>
      </w:r>
    </w:p>
    <w:p w:rsidR="00D55CEC" w:rsidRDefault="00D55CEC" w:rsidP="00D55CEC">
      <w:pPr>
        <w:pStyle w:val="NormalWeb"/>
      </w:pPr>
      <w:r>
        <w:rPr>
          <w:rStyle w:val="Strong"/>
          <w:rFonts w:eastAsiaTheme="majorEastAsia"/>
        </w:rPr>
        <w:t>References</w:t>
      </w:r>
    </w:p>
    <w:p w:rsidR="00D55CEC" w:rsidRDefault="00D55CEC" w:rsidP="00D55CEC">
      <w:pPr>
        <w:pStyle w:val="NormalWeb"/>
        <w:numPr>
          <w:ilvl w:val="0"/>
          <w:numId w:val="1"/>
        </w:numPr>
      </w:pPr>
      <w:r>
        <w:t xml:space="preserve">United Nations. (2015). </w:t>
      </w:r>
      <w:r>
        <w:rPr>
          <w:rStyle w:val="Emphasis"/>
        </w:rPr>
        <w:t>UN Guidelines for Consumer Protection</w:t>
      </w:r>
      <w:r>
        <w:t>.</w:t>
      </w:r>
    </w:p>
    <w:p w:rsidR="00D55CEC" w:rsidRDefault="00D55CEC" w:rsidP="00D55CEC">
      <w:pPr>
        <w:pStyle w:val="NormalWeb"/>
        <w:numPr>
          <w:ilvl w:val="0"/>
          <w:numId w:val="1"/>
        </w:numPr>
      </w:pPr>
      <w:r>
        <w:t xml:space="preserve">Organisation for Economic Co-operation and Development. (2016). </w:t>
      </w:r>
      <w:r>
        <w:rPr>
          <w:rStyle w:val="Emphasis"/>
        </w:rPr>
        <w:t>Consumer Policy and Enforcement</w:t>
      </w:r>
      <w:r>
        <w:t>.</w:t>
      </w:r>
    </w:p>
    <w:p w:rsidR="00D55CEC" w:rsidRDefault="00D55CEC" w:rsidP="00D55CEC">
      <w:pPr>
        <w:pStyle w:val="NormalWeb"/>
        <w:numPr>
          <w:ilvl w:val="0"/>
          <w:numId w:val="1"/>
        </w:numPr>
      </w:pPr>
      <w:r>
        <w:t xml:space="preserve">European Union. (2011). </w:t>
      </w:r>
      <w:r>
        <w:rPr>
          <w:rStyle w:val="Emphasis"/>
        </w:rPr>
        <w:t>Consumer Rights Directive</w:t>
      </w:r>
      <w:r>
        <w:t>.</w:t>
      </w:r>
    </w:p>
    <w:p w:rsidR="00D55CEC" w:rsidRDefault="00D55CEC" w:rsidP="00D55CEC">
      <w:pPr>
        <w:pStyle w:val="NormalWeb"/>
        <w:numPr>
          <w:ilvl w:val="0"/>
          <w:numId w:val="1"/>
        </w:numPr>
      </w:pPr>
      <w:r>
        <w:t xml:space="preserve">World Trade Organization. (n.d.). </w:t>
      </w:r>
      <w:r>
        <w:rPr>
          <w:rStyle w:val="Emphasis"/>
        </w:rPr>
        <w:t>Trade and Consumer Protection Issues</w:t>
      </w:r>
      <w:r>
        <w:t>.</w:t>
      </w:r>
    </w:p>
    <w:p w:rsidR="00EA737F" w:rsidRPr="003E6F9A" w:rsidRDefault="00EA737F" w:rsidP="00D55CEC">
      <w:pPr>
        <w:rPr>
          <w:b/>
          <w:bCs/>
        </w:rPr>
      </w:pPr>
    </w:p>
    <w:sectPr w:rsidR="00EA737F" w:rsidRPr="003E6F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E82BFBCB-D410-46B1-BBE0-E264BF6A670C}"/>
    <w:embedBold r:id="rId2" w:fontKey="{8896BC1D-E2B6-4566-8797-2B83CA2FC44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004ECD62-2236-4E3C-8126-A530AC2CC338}"/>
  </w:font>
  <w:font w:name="Calibri Light">
    <w:panose1 w:val="020F0302020204030204"/>
    <w:charset w:val="00"/>
    <w:family w:val="swiss"/>
    <w:pitch w:val="variable"/>
    <w:sig w:usb0="E4002EFF" w:usb1="C200247B" w:usb2="00000009" w:usb3="00000000" w:csb0="000001FF" w:csb1="00000000"/>
    <w:embedRegular r:id="rId4" w:fontKey="{6271C886-6A56-47D9-AB69-E45F2B529FF1}"/>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095B4B"/>
    <w:multiLevelType w:val="multilevel"/>
    <w:tmpl w:val="17940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4D"/>
    <w:rsid w:val="0003533E"/>
    <w:rsid w:val="001700EC"/>
    <w:rsid w:val="00174BB1"/>
    <w:rsid w:val="0019504D"/>
    <w:rsid w:val="00224FD9"/>
    <w:rsid w:val="002F4AE0"/>
    <w:rsid w:val="00384E8A"/>
    <w:rsid w:val="003D1074"/>
    <w:rsid w:val="003E6F9A"/>
    <w:rsid w:val="00426865"/>
    <w:rsid w:val="00477CAA"/>
    <w:rsid w:val="00481859"/>
    <w:rsid w:val="00502E29"/>
    <w:rsid w:val="005E458B"/>
    <w:rsid w:val="00661030"/>
    <w:rsid w:val="00716E23"/>
    <w:rsid w:val="00844EC2"/>
    <w:rsid w:val="008516FE"/>
    <w:rsid w:val="00903466"/>
    <w:rsid w:val="009C1D0A"/>
    <w:rsid w:val="00A044F7"/>
    <w:rsid w:val="00A8150E"/>
    <w:rsid w:val="00B20343"/>
    <w:rsid w:val="00B85EA7"/>
    <w:rsid w:val="00BE65DD"/>
    <w:rsid w:val="00C21EBA"/>
    <w:rsid w:val="00C612A4"/>
    <w:rsid w:val="00CA2604"/>
    <w:rsid w:val="00CC6AD1"/>
    <w:rsid w:val="00CD620A"/>
    <w:rsid w:val="00D55CEC"/>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5B6F1"/>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55CEC"/>
    <w:rPr>
      <w:b/>
      <w:bCs/>
    </w:rPr>
  </w:style>
  <w:style w:type="character" w:styleId="Emphasis">
    <w:name w:val="Emphasis"/>
    <w:basedOn w:val="DefaultParagraphFont"/>
    <w:uiPriority w:val="20"/>
    <w:qFormat/>
    <w:rsid w:val="00D55CE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 w:id="1694653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661</Words>
  <Characters>3768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2</cp:revision>
  <dcterms:created xsi:type="dcterms:W3CDTF">2026-02-16T02:00:00Z</dcterms:created>
  <dcterms:modified xsi:type="dcterms:W3CDTF">2026-02-16T02:00:00Z</dcterms:modified>
</cp:coreProperties>
</file>