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F498D" w14:textId="31CFA8D8" w:rsidR="00C303F9" w:rsidRPr="003737CB" w:rsidRDefault="00C303F9" w:rsidP="00C303F9">
      <w:pPr>
        <w:spacing w:line="480" w:lineRule="auto"/>
        <w:jc w:val="center"/>
        <w:rPr>
          <w:rFonts w:ascii="Times New Roman" w:hAnsi="Times New Roman" w:cs="Times New Roman"/>
          <w:sz w:val="24"/>
          <w:szCs w:val="24"/>
          <w:lang w:val="en-IN"/>
        </w:rPr>
      </w:pPr>
      <w:r w:rsidRPr="003737CB">
        <w:rPr>
          <w:rFonts w:ascii="Times New Roman" w:hAnsi="Times New Roman" w:cs="Times New Roman"/>
          <w:noProof/>
          <w:sz w:val="24"/>
          <w:szCs w:val="24"/>
        </w:rPr>
        <w:drawing>
          <wp:anchor distT="0" distB="0" distL="114300" distR="114300" simplePos="0" relativeHeight="251661824" behindDoc="0" locked="0" layoutInCell="1" allowOverlap="1" wp14:anchorId="251FF8BC" wp14:editId="5695FF57">
            <wp:simplePos x="0" y="0"/>
            <wp:positionH relativeFrom="column">
              <wp:posOffset>-556569</wp:posOffset>
            </wp:positionH>
            <wp:positionV relativeFrom="paragraph">
              <wp:posOffset>329222</wp:posOffset>
            </wp:positionV>
            <wp:extent cx="7249795" cy="1334135"/>
            <wp:effectExtent l="0" t="0" r="8255" b="0"/>
            <wp:wrapSquare wrapText="bothSides"/>
            <wp:docPr id="1" name="Picture 1"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lue text on a white background&#10;&#10;AI-generated content may be incorrect."/>
                    <pic:cNvPicPr/>
                  </pic:nvPicPr>
                  <pic:blipFill>
                    <a:blip r:embed="rId5"/>
                    <a:stretch>
                      <a:fillRect/>
                    </a:stretch>
                  </pic:blipFill>
                  <pic:spPr>
                    <a:xfrm>
                      <a:off x="0" y="0"/>
                      <a:ext cx="7249795" cy="1334135"/>
                    </a:xfrm>
                    <a:prstGeom prst="rect">
                      <a:avLst/>
                    </a:prstGeom>
                  </pic:spPr>
                </pic:pic>
              </a:graphicData>
            </a:graphic>
            <wp14:sizeRelH relativeFrom="margin">
              <wp14:pctWidth>0</wp14:pctWidth>
            </wp14:sizeRelH>
            <wp14:sizeRelV relativeFrom="margin">
              <wp14:pctHeight>0</wp14:pctHeight>
            </wp14:sizeRelV>
          </wp:anchor>
        </w:drawing>
      </w:r>
      <w:r w:rsidRPr="003737CB">
        <w:rPr>
          <w:rFonts w:ascii="Times New Roman" w:hAnsi="Times New Roman" w:cs="Times New Roman"/>
          <w:sz w:val="24"/>
          <w:szCs w:val="24"/>
        </w:rPr>
        <w:t>Assignment Title:</w:t>
      </w:r>
      <w:r w:rsidRPr="003737CB">
        <w:rPr>
          <w:rFonts w:ascii="Times New Roman" w:hAnsi="Times New Roman" w:cs="Times New Roman"/>
          <w:sz w:val="24"/>
          <w:szCs w:val="24"/>
        </w:rPr>
        <w:br/>
      </w:r>
      <w:r w:rsidRPr="0000409E">
        <w:rPr>
          <w:rFonts w:ascii="Times New Roman" w:hAnsi="Times New Roman" w:cs="Times New Roman"/>
          <w:sz w:val="24"/>
          <w:szCs w:val="24"/>
          <w:lang w:val="en-IN"/>
        </w:rPr>
        <w:t>Cost Accounting Assignment: Pricing Strategies and Cost-Volume-Profit Analysis During Christmas</w:t>
      </w:r>
    </w:p>
    <w:p w14:paraId="73B563D0" w14:textId="77777777" w:rsidR="00C303F9" w:rsidRPr="003737CB" w:rsidRDefault="00C303F9" w:rsidP="00C303F9">
      <w:pPr>
        <w:spacing w:line="480" w:lineRule="auto"/>
        <w:jc w:val="center"/>
        <w:rPr>
          <w:rFonts w:ascii="Times New Roman" w:hAnsi="Times New Roman" w:cs="Times New Roman"/>
          <w:sz w:val="24"/>
          <w:szCs w:val="24"/>
        </w:rPr>
      </w:pPr>
      <w:r w:rsidRPr="003737CB">
        <w:rPr>
          <w:rFonts w:ascii="Times New Roman" w:hAnsi="Times New Roman" w:cs="Times New Roman"/>
          <w:sz w:val="24"/>
          <w:szCs w:val="24"/>
        </w:rPr>
        <w:br/>
        <w:t>Submitted by:</w:t>
      </w:r>
      <w:r w:rsidRPr="003737CB">
        <w:rPr>
          <w:rFonts w:ascii="Times New Roman" w:hAnsi="Times New Roman" w:cs="Times New Roman"/>
          <w:sz w:val="24"/>
          <w:szCs w:val="24"/>
        </w:rPr>
        <w:br/>
        <w:t>Name: Rajat Rana</w:t>
      </w:r>
      <w:r w:rsidRPr="003737CB">
        <w:rPr>
          <w:rFonts w:ascii="Times New Roman" w:hAnsi="Times New Roman" w:cs="Times New Roman"/>
          <w:sz w:val="24"/>
          <w:szCs w:val="24"/>
        </w:rPr>
        <w:br/>
        <w:t>Department: M.A. in Tourism and Recreation</w:t>
      </w:r>
      <w:r w:rsidRPr="003737CB">
        <w:rPr>
          <w:rFonts w:ascii="Times New Roman" w:hAnsi="Times New Roman" w:cs="Times New Roman"/>
          <w:sz w:val="24"/>
          <w:szCs w:val="24"/>
        </w:rPr>
        <w:br/>
        <w:t>Student Number: 240025</w:t>
      </w:r>
    </w:p>
    <w:p w14:paraId="10C3083E" w14:textId="74305BEE" w:rsidR="00C303F9" w:rsidRPr="003737CB" w:rsidRDefault="00C303F9" w:rsidP="00C303F9">
      <w:pPr>
        <w:spacing w:line="480" w:lineRule="auto"/>
        <w:jc w:val="center"/>
        <w:rPr>
          <w:rFonts w:ascii="Times New Roman" w:hAnsi="Times New Roman" w:cs="Times New Roman"/>
          <w:sz w:val="24"/>
          <w:szCs w:val="24"/>
        </w:rPr>
      </w:pPr>
      <w:r w:rsidRPr="003737CB">
        <w:rPr>
          <w:rFonts w:ascii="Times New Roman" w:hAnsi="Times New Roman" w:cs="Times New Roman"/>
          <w:sz w:val="24"/>
          <w:szCs w:val="24"/>
        </w:rPr>
        <w:br/>
        <w:t xml:space="preserve">Date of Submission: </w:t>
      </w:r>
      <w:r w:rsidRPr="003737CB">
        <w:rPr>
          <w:rFonts w:ascii="Times New Roman" w:hAnsi="Times New Roman" w:cs="Times New Roman"/>
          <w:sz w:val="24"/>
          <w:szCs w:val="24"/>
        </w:rPr>
        <w:t xml:space="preserve">December </w:t>
      </w:r>
      <w:r w:rsidRPr="003737CB">
        <w:rPr>
          <w:rFonts w:ascii="Times New Roman" w:hAnsi="Times New Roman" w:cs="Times New Roman"/>
          <w:sz w:val="24"/>
          <w:szCs w:val="24"/>
        </w:rPr>
        <w:t>2025</w:t>
      </w:r>
    </w:p>
    <w:p w14:paraId="4CA76B62" w14:textId="77777777" w:rsidR="00C303F9" w:rsidRPr="003737CB" w:rsidRDefault="00C303F9" w:rsidP="00C303F9">
      <w:pPr>
        <w:spacing w:line="480" w:lineRule="auto"/>
        <w:rPr>
          <w:rFonts w:ascii="Times New Roman" w:hAnsi="Times New Roman" w:cs="Times New Roman"/>
          <w:sz w:val="24"/>
          <w:szCs w:val="24"/>
          <w:lang w:val="en-IN"/>
        </w:rPr>
      </w:pPr>
    </w:p>
    <w:p w14:paraId="29A16051" w14:textId="77777777" w:rsidR="00C303F9" w:rsidRPr="003737CB" w:rsidRDefault="00C303F9" w:rsidP="00C303F9">
      <w:pPr>
        <w:spacing w:line="480" w:lineRule="auto"/>
        <w:rPr>
          <w:rFonts w:ascii="Times New Roman" w:hAnsi="Times New Roman" w:cs="Times New Roman"/>
          <w:sz w:val="24"/>
          <w:szCs w:val="24"/>
          <w:lang w:val="en-IN"/>
        </w:rPr>
      </w:pPr>
      <w:r w:rsidRPr="003737CB">
        <w:rPr>
          <w:rFonts w:ascii="Times New Roman" w:hAnsi="Times New Roman" w:cs="Times New Roman"/>
          <w:sz w:val="24"/>
          <w:szCs w:val="24"/>
          <w:lang w:val="en-IN"/>
        </w:rPr>
        <w:br w:type="page"/>
      </w:r>
    </w:p>
    <w:p w14:paraId="0FD2E03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TITLE:</w:t>
      </w:r>
    </w:p>
    <w:p w14:paraId="27EF90F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STRATEGIC INTERPLAY OF PRICING AND COST-VOLUME-PROFIT ANALYSIS IN MANAGING PROFITABILITY FOR RETAIL AND HOSPITALITY DURING THE CHRISTMAS SEASON</w:t>
      </w:r>
    </w:p>
    <w:p w14:paraId="79B69D8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2. Table of Contents</w:t>
      </w:r>
    </w:p>
    <w:p w14:paraId="6DC57C6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(Note: You will need to generate accurate page numbers once the final document is formatted in Word.)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5"/>
        <w:gridCol w:w="7670"/>
        <w:gridCol w:w="985"/>
      </w:tblGrid>
      <w:tr w:rsidR="0000409E" w:rsidRPr="0000409E" w14:paraId="74AA13E8"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C42AF7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Section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35527B04"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Title</w:t>
            </w:r>
          </w:p>
        </w:tc>
        <w:tc>
          <w:tcPr>
            <w:tcW w:w="0" w:type="auto"/>
            <w:tcBorders>
              <w:top w:val="single" w:sz="6" w:space="0" w:color="auto"/>
              <w:left w:val="single" w:sz="6" w:space="0" w:color="auto"/>
              <w:bottom w:val="single" w:sz="6" w:space="0" w:color="auto"/>
              <w:right w:val="single" w:sz="6" w:space="0" w:color="auto"/>
            </w:tcBorders>
            <w:vAlign w:val="center"/>
            <w:hideMark/>
          </w:tcPr>
          <w:p w14:paraId="38461BE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Page No.</w:t>
            </w:r>
          </w:p>
        </w:tc>
      </w:tr>
      <w:tr w:rsidR="0000409E" w:rsidRPr="0000409E" w14:paraId="477E916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BCAB00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69D0DDD4"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Title Page</w:t>
            </w:r>
          </w:p>
        </w:tc>
        <w:tc>
          <w:tcPr>
            <w:tcW w:w="0" w:type="auto"/>
            <w:tcBorders>
              <w:top w:val="single" w:sz="6" w:space="0" w:color="auto"/>
              <w:left w:val="single" w:sz="6" w:space="0" w:color="auto"/>
              <w:bottom w:val="single" w:sz="6" w:space="0" w:color="auto"/>
              <w:right w:val="single" w:sz="6" w:space="0" w:color="auto"/>
            </w:tcBorders>
            <w:vAlign w:val="center"/>
            <w:hideMark/>
          </w:tcPr>
          <w:p w14:paraId="0CDAF89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w:t>
            </w:r>
          </w:p>
        </w:tc>
      </w:tr>
      <w:tr w:rsidR="0000409E" w:rsidRPr="0000409E" w14:paraId="4937B6E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D9C8470"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2.</w:t>
            </w:r>
          </w:p>
        </w:tc>
        <w:tc>
          <w:tcPr>
            <w:tcW w:w="0" w:type="auto"/>
            <w:tcBorders>
              <w:top w:val="single" w:sz="6" w:space="0" w:color="auto"/>
              <w:left w:val="single" w:sz="6" w:space="0" w:color="auto"/>
              <w:bottom w:val="single" w:sz="6" w:space="0" w:color="auto"/>
              <w:right w:val="single" w:sz="6" w:space="0" w:color="auto"/>
            </w:tcBorders>
            <w:vAlign w:val="center"/>
            <w:hideMark/>
          </w:tcPr>
          <w:p w14:paraId="5891B81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Table of Contents</w:t>
            </w:r>
          </w:p>
        </w:tc>
        <w:tc>
          <w:tcPr>
            <w:tcW w:w="0" w:type="auto"/>
            <w:tcBorders>
              <w:top w:val="single" w:sz="6" w:space="0" w:color="auto"/>
              <w:left w:val="single" w:sz="6" w:space="0" w:color="auto"/>
              <w:bottom w:val="single" w:sz="6" w:space="0" w:color="auto"/>
              <w:right w:val="single" w:sz="6" w:space="0" w:color="auto"/>
            </w:tcBorders>
            <w:vAlign w:val="center"/>
            <w:hideMark/>
          </w:tcPr>
          <w:p w14:paraId="695050C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2</w:t>
            </w:r>
          </w:p>
        </w:tc>
      </w:tr>
      <w:tr w:rsidR="0000409E" w:rsidRPr="0000409E" w14:paraId="48CE907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96FFF13"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3.</w:t>
            </w:r>
          </w:p>
        </w:tc>
        <w:tc>
          <w:tcPr>
            <w:tcW w:w="0" w:type="auto"/>
            <w:tcBorders>
              <w:top w:val="single" w:sz="6" w:space="0" w:color="auto"/>
              <w:left w:val="single" w:sz="6" w:space="0" w:color="auto"/>
              <w:bottom w:val="single" w:sz="6" w:space="0" w:color="auto"/>
              <w:right w:val="single" w:sz="6" w:space="0" w:color="auto"/>
            </w:tcBorders>
            <w:vAlign w:val="center"/>
            <w:hideMark/>
          </w:tcPr>
          <w:p w14:paraId="5899693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Abstract</w:t>
            </w:r>
          </w:p>
        </w:tc>
        <w:tc>
          <w:tcPr>
            <w:tcW w:w="0" w:type="auto"/>
            <w:tcBorders>
              <w:top w:val="single" w:sz="6" w:space="0" w:color="auto"/>
              <w:left w:val="single" w:sz="6" w:space="0" w:color="auto"/>
              <w:bottom w:val="single" w:sz="6" w:space="0" w:color="auto"/>
              <w:right w:val="single" w:sz="6" w:space="0" w:color="auto"/>
            </w:tcBorders>
            <w:vAlign w:val="center"/>
            <w:hideMark/>
          </w:tcPr>
          <w:p w14:paraId="10668A2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3</w:t>
            </w:r>
          </w:p>
        </w:tc>
      </w:tr>
      <w:tr w:rsidR="0000409E" w:rsidRPr="0000409E" w14:paraId="25A632D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78A36EC"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4.</w:t>
            </w:r>
          </w:p>
        </w:tc>
        <w:tc>
          <w:tcPr>
            <w:tcW w:w="0" w:type="auto"/>
            <w:tcBorders>
              <w:top w:val="single" w:sz="6" w:space="0" w:color="auto"/>
              <w:left w:val="single" w:sz="6" w:space="0" w:color="auto"/>
              <w:bottom w:val="single" w:sz="6" w:space="0" w:color="auto"/>
              <w:right w:val="single" w:sz="6" w:space="0" w:color="auto"/>
            </w:tcBorders>
            <w:vAlign w:val="center"/>
            <w:hideMark/>
          </w:tcPr>
          <w:p w14:paraId="4C69CCF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Introduction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11E8A8F3"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4</w:t>
            </w:r>
          </w:p>
        </w:tc>
      </w:tr>
      <w:tr w:rsidR="0000409E" w:rsidRPr="0000409E" w14:paraId="6EBD01D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3FA382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5.</w:t>
            </w:r>
          </w:p>
        </w:tc>
        <w:tc>
          <w:tcPr>
            <w:tcW w:w="0" w:type="auto"/>
            <w:tcBorders>
              <w:top w:val="single" w:sz="6" w:space="0" w:color="auto"/>
              <w:left w:val="single" w:sz="6" w:space="0" w:color="auto"/>
              <w:bottom w:val="single" w:sz="6" w:space="0" w:color="auto"/>
              <w:right w:val="single" w:sz="6" w:space="0" w:color="auto"/>
            </w:tcBorders>
            <w:vAlign w:val="center"/>
            <w:hideMark/>
          </w:tcPr>
          <w:p w14:paraId="6149114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Literature Review</w:t>
            </w:r>
          </w:p>
        </w:tc>
        <w:tc>
          <w:tcPr>
            <w:tcW w:w="0" w:type="auto"/>
            <w:tcBorders>
              <w:top w:val="single" w:sz="6" w:space="0" w:color="auto"/>
              <w:left w:val="single" w:sz="6" w:space="0" w:color="auto"/>
              <w:bottom w:val="single" w:sz="6" w:space="0" w:color="auto"/>
              <w:right w:val="single" w:sz="6" w:space="0" w:color="auto"/>
            </w:tcBorders>
            <w:vAlign w:val="center"/>
            <w:hideMark/>
          </w:tcPr>
          <w:p w14:paraId="4B2893D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5</w:t>
            </w:r>
          </w:p>
        </w:tc>
      </w:tr>
      <w:tr w:rsidR="0000409E" w:rsidRPr="0000409E" w14:paraId="6043DB5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3FC614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5.1.</w:t>
            </w:r>
          </w:p>
        </w:tc>
        <w:tc>
          <w:tcPr>
            <w:tcW w:w="0" w:type="auto"/>
            <w:tcBorders>
              <w:top w:val="single" w:sz="6" w:space="0" w:color="auto"/>
              <w:left w:val="single" w:sz="6" w:space="0" w:color="auto"/>
              <w:bottom w:val="single" w:sz="6" w:space="0" w:color="auto"/>
              <w:right w:val="single" w:sz="6" w:space="0" w:color="auto"/>
            </w:tcBorders>
            <w:vAlign w:val="center"/>
            <w:hideMark/>
          </w:tcPr>
          <w:p w14:paraId="642DE332" w14:textId="7C98E1C3"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Fundamentals of Cost </w:t>
            </w:r>
            <w:r w:rsidR="00C303F9" w:rsidRPr="003737CB">
              <w:rPr>
                <w:rFonts w:ascii="Times New Roman" w:hAnsi="Times New Roman" w:cs="Times New Roman"/>
                <w:sz w:val="24"/>
                <w:szCs w:val="24"/>
                <w:lang w:val="en-IN"/>
              </w:rPr>
              <w:t>Behaviour</w:t>
            </w:r>
            <w:r w:rsidRPr="0000409E">
              <w:rPr>
                <w:rFonts w:ascii="Times New Roman" w:hAnsi="Times New Roman" w:cs="Times New Roman"/>
                <w:sz w:val="24"/>
                <w:szCs w:val="24"/>
                <w:lang w:val="en-IN"/>
              </w:rPr>
              <w:t xml:space="preserve"> and Classification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4F71EAA7" w14:textId="77777777" w:rsidR="0000409E" w:rsidRPr="0000409E" w:rsidRDefault="0000409E" w:rsidP="00C303F9">
            <w:pPr>
              <w:spacing w:line="480" w:lineRule="auto"/>
              <w:rPr>
                <w:rFonts w:ascii="Times New Roman" w:hAnsi="Times New Roman" w:cs="Times New Roman"/>
                <w:sz w:val="24"/>
                <w:szCs w:val="24"/>
                <w:lang w:val="en-IN"/>
              </w:rPr>
            </w:pPr>
          </w:p>
        </w:tc>
      </w:tr>
      <w:tr w:rsidR="0000409E" w:rsidRPr="0000409E" w14:paraId="4CD1C56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641735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5.2.</w:t>
            </w:r>
          </w:p>
        </w:tc>
        <w:tc>
          <w:tcPr>
            <w:tcW w:w="0" w:type="auto"/>
            <w:tcBorders>
              <w:top w:val="single" w:sz="6" w:space="0" w:color="auto"/>
              <w:left w:val="single" w:sz="6" w:space="0" w:color="auto"/>
              <w:bottom w:val="single" w:sz="6" w:space="0" w:color="auto"/>
              <w:right w:val="single" w:sz="6" w:space="0" w:color="auto"/>
            </w:tcBorders>
            <w:vAlign w:val="center"/>
            <w:hideMark/>
          </w:tcPr>
          <w:p w14:paraId="37F1A97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Mechanics and Assumptions of C-V-P Analysis</w:t>
            </w:r>
          </w:p>
        </w:tc>
        <w:tc>
          <w:tcPr>
            <w:tcW w:w="0" w:type="auto"/>
            <w:tcBorders>
              <w:top w:val="single" w:sz="6" w:space="0" w:color="auto"/>
              <w:left w:val="single" w:sz="6" w:space="0" w:color="auto"/>
              <w:bottom w:val="single" w:sz="6" w:space="0" w:color="auto"/>
              <w:right w:val="single" w:sz="6" w:space="0" w:color="auto"/>
            </w:tcBorders>
            <w:vAlign w:val="center"/>
            <w:hideMark/>
          </w:tcPr>
          <w:p w14:paraId="4CFE24AC" w14:textId="77777777" w:rsidR="0000409E" w:rsidRPr="0000409E" w:rsidRDefault="0000409E" w:rsidP="00C303F9">
            <w:pPr>
              <w:spacing w:line="480" w:lineRule="auto"/>
              <w:rPr>
                <w:rFonts w:ascii="Times New Roman" w:hAnsi="Times New Roman" w:cs="Times New Roman"/>
                <w:sz w:val="24"/>
                <w:szCs w:val="24"/>
                <w:lang w:val="en-IN"/>
              </w:rPr>
            </w:pPr>
          </w:p>
        </w:tc>
      </w:tr>
      <w:tr w:rsidR="0000409E" w:rsidRPr="0000409E" w14:paraId="1A35BB9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68F085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5.3.</w:t>
            </w:r>
          </w:p>
        </w:tc>
        <w:tc>
          <w:tcPr>
            <w:tcW w:w="0" w:type="auto"/>
            <w:tcBorders>
              <w:top w:val="single" w:sz="6" w:space="0" w:color="auto"/>
              <w:left w:val="single" w:sz="6" w:space="0" w:color="auto"/>
              <w:bottom w:val="single" w:sz="6" w:space="0" w:color="auto"/>
              <w:right w:val="single" w:sz="6" w:space="0" w:color="auto"/>
            </w:tcBorders>
            <w:vAlign w:val="center"/>
            <w:hideMark/>
          </w:tcPr>
          <w:p w14:paraId="583FB81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Peak Season Pricing Strategies: Promotional and Dynamic Pricing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1F870774" w14:textId="77777777" w:rsidR="0000409E" w:rsidRPr="0000409E" w:rsidRDefault="0000409E" w:rsidP="00C303F9">
            <w:pPr>
              <w:spacing w:line="480" w:lineRule="auto"/>
              <w:rPr>
                <w:rFonts w:ascii="Times New Roman" w:hAnsi="Times New Roman" w:cs="Times New Roman"/>
                <w:sz w:val="24"/>
                <w:szCs w:val="24"/>
                <w:lang w:val="en-IN"/>
              </w:rPr>
            </w:pPr>
          </w:p>
        </w:tc>
      </w:tr>
      <w:tr w:rsidR="0000409E" w:rsidRPr="0000409E" w14:paraId="1EAADE8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A6A7084"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5.4.</w:t>
            </w:r>
          </w:p>
        </w:tc>
        <w:tc>
          <w:tcPr>
            <w:tcW w:w="0" w:type="auto"/>
            <w:tcBorders>
              <w:top w:val="single" w:sz="6" w:space="0" w:color="auto"/>
              <w:left w:val="single" w:sz="6" w:space="0" w:color="auto"/>
              <w:bottom w:val="single" w:sz="6" w:space="0" w:color="auto"/>
              <w:right w:val="single" w:sz="6" w:space="0" w:color="auto"/>
            </w:tcBorders>
            <w:vAlign w:val="center"/>
            <w:hideMark/>
          </w:tcPr>
          <w:p w14:paraId="006B379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Cost Management Challenges in High-Volume Operations</w:t>
            </w:r>
          </w:p>
        </w:tc>
        <w:tc>
          <w:tcPr>
            <w:tcW w:w="0" w:type="auto"/>
            <w:tcBorders>
              <w:top w:val="single" w:sz="6" w:space="0" w:color="auto"/>
              <w:left w:val="single" w:sz="6" w:space="0" w:color="auto"/>
              <w:bottom w:val="single" w:sz="6" w:space="0" w:color="auto"/>
              <w:right w:val="single" w:sz="6" w:space="0" w:color="auto"/>
            </w:tcBorders>
            <w:vAlign w:val="center"/>
            <w:hideMark/>
          </w:tcPr>
          <w:p w14:paraId="2C3F97AF" w14:textId="77777777" w:rsidR="0000409E" w:rsidRPr="0000409E" w:rsidRDefault="0000409E" w:rsidP="00C303F9">
            <w:pPr>
              <w:spacing w:line="480" w:lineRule="auto"/>
              <w:rPr>
                <w:rFonts w:ascii="Times New Roman" w:hAnsi="Times New Roman" w:cs="Times New Roman"/>
                <w:sz w:val="24"/>
                <w:szCs w:val="24"/>
                <w:lang w:val="en-IN"/>
              </w:rPr>
            </w:pPr>
          </w:p>
        </w:tc>
      </w:tr>
      <w:tr w:rsidR="0000409E" w:rsidRPr="0000409E" w14:paraId="1F1D561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C27D11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6.</w:t>
            </w:r>
          </w:p>
        </w:tc>
        <w:tc>
          <w:tcPr>
            <w:tcW w:w="0" w:type="auto"/>
            <w:tcBorders>
              <w:top w:val="single" w:sz="6" w:space="0" w:color="auto"/>
              <w:left w:val="single" w:sz="6" w:space="0" w:color="auto"/>
              <w:bottom w:val="single" w:sz="6" w:space="0" w:color="auto"/>
              <w:right w:val="single" w:sz="6" w:space="0" w:color="auto"/>
            </w:tcBorders>
            <w:vAlign w:val="center"/>
            <w:hideMark/>
          </w:tcPr>
          <w:p w14:paraId="3E8D8B6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Methodology</w:t>
            </w:r>
          </w:p>
        </w:tc>
        <w:tc>
          <w:tcPr>
            <w:tcW w:w="0" w:type="auto"/>
            <w:tcBorders>
              <w:top w:val="single" w:sz="6" w:space="0" w:color="auto"/>
              <w:left w:val="single" w:sz="6" w:space="0" w:color="auto"/>
              <w:bottom w:val="single" w:sz="6" w:space="0" w:color="auto"/>
              <w:right w:val="single" w:sz="6" w:space="0" w:color="auto"/>
            </w:tcBorders>
            <w:vAlign w:val="center"/>
            <w:hideMark/>
          </w:tcPr>
          <w:p w14:paraId="572AC6E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10</w:t>
            </w:r>
          </w:p>
        </w:tc>
      </w:tr>
      <w:tr w:rsidR="0000409E" w:rsidRPr="0000409E" w14:paraId="3B359BF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37CD02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7.</w:t>
            </w:r>
          </w:p>
        </w:tc>
        <w:tc>
          <w:tcPr>
            <w:tcW w:w="0" w:type="auto"/>
            <w:tcBorders>
              <w:top w:val="single" w:sz="6" w:space="0" w:color="auto"/>
              <w:left w:val="single" w:sz="6" w:space="0" w:color="auto"/>
              <w:bottom w:val="single" w:sz="6" w:space="0" w:color="auto"/>
              <w:right w:val="single" w:sz="6" w:space="0" w:color="auto"/>
            </w:tcBorders>
            <w:vAlign w:val="center"/>
            <w:hideMark/>
          </w:tcPr>
          <w:p w14:paraId="264B390C"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Findings: Application of C-V-P in Peak Season Scenarios</w:t>
            </w:r>
          </w:p>
        </w:tc>
        <w:tc>
          <w:tcPr>
            <w:tcW w:w="0" w:type="auto"/>
            <w:tcBorders>
              <w:top w:val="single" w:sz="6" w:space="0" w:color="auto"/>
              <w:left w:val="single" w:sz="6" w:space="0" w:color="auto"/>
              <w:bottom w:val="single" w:sz="6" w:space="0" w:color="auto"/>
              <w:right w:val="single" w:sz="6" w:space="0" w:color="auto"/>
            </w:tcBorders>
            <w:vAlign w:val="center"/>
            <w:hideMark/>
          </w:tcPr>
          <w:p w14:paraId="2ED84E03"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12</w:t>
            </w:r>
          </w:p>
        </w:tc>
      </w:tr>
      <w:tr w:rsidR="0000409E" w:rsidRPr="0000409E" w14:paraId="47FDD7B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2AD022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7.1.</w:t>
            </w:r>
          </w:p>
        </w:tc>
        <w:tc>
          <w:tcPr>
            <w:tcW w:w="0" w:type="auto"/>
            <w:tcBorders>
              <w:top w:val="single" w:sz="6" w:space="0" w:color="auto"/>
              <w:left w:val="single" w:sz="6" w:space="0" w:color="auto"/>
              <w:bottom w:val="single" w:sz="6" w:space="0" w:color="auto"/>
              <w:right w:val="single" w:sz="6" w:space="0" w:color="auto"/>
            </w:tcBorders>
            <w:vAlign w:val="center"/>
            <w:hideMark/>
          </w:tcPr>
          <w:p w14:paraId="1238B7E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Scenario 1: Retailer Promotional Pricing and Breakeven Shifts</w:t>
            </w:r>
          </w:p>
        </w:tc>
        <w:tc>
          <w:tcPr>
            <w:tcW w:w="0" w:type="auto"/>
            <w:tcBorders>
              <w:top w:val="single" w:sz="6" w:space="0" w:color="auto"/>
              <w:left w:val="single" w:sz="6" w:space="0" w:color="auto"/>
              <w:bottom w:val="single" w:sz="6" w:space="0" w:color="auto"/>
              <w:right w:val="single" w:sz="6" w:space="0" w:color="auto"/>
            </w:tcBorders>
            <w:vAlign w:val="center"/>
            <w:hideMark/>
          </w:tcPr>
          <w:p w14:paraId="24F43765" w14:textId="77777777" w:rsidR="0000409E" w:rsidRPr="0000409E" w:rsidRDefault="0000409E" w:rsidP="00C303F9">
            <w:pPr>
              <w:spacing w:line="480" w:lineRule="auto"/>
              <w:rPr>
                <w:rFonts w:ascii="Times New Roman" w:hAnsi="Times New Roman" w:cs="Times New Roman"/>
                <w:sz w:val="24"/>
                <w:szCs w:val="24"/>
                <w:lang w:val="en-IN"/>
              </w:rPr>
            </w:pPr>
          </w:p>
        </w:tc>
      </w:tr>
      <w:tr w:rsidR="0000409E" w:rsidRPr="0000409E" w14:paraId="093D90E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048450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7.2.</w:t>
            </w:r>
          </w:p>
        </w:tc>
        <w:tc>
          <w:tcPr>
            <w:tcW w:w="0" w:type="auto"/>
            <w:tcBorders>
              <w:top w:val="single" w:sz="6" w:space="0" w:color="auto"/>
              <w:left w:val="single" w:sz="6" w:space="0" w:color="auto"/>
              <w:bottom w:val="single" w:sz="6" w:space="0" w:color="auto"/>
              <w:right w:val="single" w:sz="6" w:space="0" w:color="auto"/>
            </w:tcBorders>
            <w:vAlign w:val="center"/>
            <w:hideMark/>
          </w:tcPr>
          <w:p w14:paraId="1F8D8320"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Scenario 2: Hospitality Bundle Pricing and Contribution Margin Maximization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12EC2B15" w14:textId="77777777" w:rsidR="0000409E" w:rsidRPr="0000409E" w:rsidRDefault="0000409E" w:rsidP="00C303F9">
            <w:pPr>
              <w:spacing w:line="480" w:lineRule="auto"/>
              <w:rPr>
                <w:rFonts w:ascii="Times New Roman" w:hAnsi="Times New Roman" w:cs="Times New Roman"/>
                <w:sz w:val="24"/>
                <w:szCs w:val="24"/>
                <w:lang w:val="en-IN"/>
              </w:rPr>
            </w:pPr>
          </w:p>
        </w:tc>
      </w:tr>
      <w:tr w:rsidR="0000409E" w:rsidRPr="0000409E" w14:paraId="11ACB0E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9ECEAA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7.3.</w:t>
            </w:r>
          </w:p>
        </w:tc>
        <w:tc>
          <w:tcPr>
            <w:tcW w:w="0" w:type="auto"/>
            <w:tcBorders>
              <w:top w:val="single" w:sz="6" w:space="0" w:color="auto"/>
              <w:left w:val="single" w:sz="6" w:space="0" w:color="auto"/>
              <w:bottom w:val="single" w:sz="6" w:space="0" w:color="auto"/>
              <w:right w:val="single" w:sz="6" w:space="0" w:color="auto"/>
            </w:tcBorders>
            <w:vAlign w:val="center"/>
            <w:hideMark/>
          </w:tcPr>
          <w:p w14:paraId="30F3B2E2" w14:textId="002BA7D1"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Cost </w:t>
            </w:r>
            <w:r w:rsidR="00C303F9" w:rsidRPr="003737CB">
              <w:rPr>
                <w:rFonts w:ascii="Times New Roman" w:hAnsi="Times New Roman" w:cs="Times New Roman"/>
                <w:sz w:val="24"/>
                <w:szCs w:val="24"/>
                <w:lang w:val="en-IN"/>
              </w:rPr>
              <w:t>Behaviour</w:t>
            </w:r>
            <w:r w:rsidRPr="0000409E">
              <w:rPr>
                <w:rFonts w:ascii="Times New Roman" w:hAnsi="Times New Roman" w:cs="Times New Roman"/>
                <w:sz w:val="24"/>
                <w:szCs w:val="24"/>
                <w:lang w:val="en-IN"/>
              </w:rPr>
              <w:t xml:space="preserve"> Analysis: Identifying Step-Variable Costs</w:t>
            </w:r>
          </w:p>
        </w:tc>
        <w:tc>
          <w:tcPr>
            <w:tcW w:w="0" w:type="auto"/>
            <w:tcBorders>
              <w:top w:val="single" w:sz="6" w:space="0" w:color="auto"/>
              <w:left w:val="single" w:sz="6" w:space="0" w:color="auto"/>
              <w:bottom w:val="single" w:sz="6" w:space="0" w:color="auto"/>
              <w:right w:val="single" w:sz="6" w:space="0" w:color="auto"/>
            </w:tcBorders>
            <w:vAlign w:val="center"/>
            <w:hideMark/>
          </w:tcPr>
          <w:p w14:paraId="10225F3F" w14:textId="77777777" w:rsidR="0000409E" w:rsidRPr="0000409E" w:rsidRDefault="0000409E" w:rsidP="00C303F9">
            <w:pPr>
              <w:spacing w:line="480" w:lineRule="auto"/>
              <w:rPr>
                <w:rFonts w:ascii="Times New Roman" w:hAnsi="Times New Roman" w:cs="Times New Roman"/>
                <w:sz w:val="24"/>
                <w:szCs w:val="24"/>
                <w:lang w:val="en-IN"/>
              </w:rPr>
            </w:pPr>
          </w:p>
        </w:tc>
      </w:tr>
      <w:tr w:rsidR="0000409E" w:rsidRPr="0000409E" w14:paraId="218A347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90A7C0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8.</w:t>
            </w:r>
          </w:p>
        </w:tc>
        <w:tc>
          <w:tcPr>
            <w:tcW w:w="0" w:type="auto"/>
            <w:tcBorders>
              <w:top w:val="single" w:sz="6" w:space="0" w:color="auto"/>
              <w:left w:val="single" w:sz="6" w:space="0" w:color="auto"/>
              <w:bottom w:val="single" w:sz="6" w:space="0" w:color="auto"/>
              <w:right w:val="single" w:sz="6" w:space="0" w:color="auto"/>
            </w:tcBorders>
            <w:vAlign w:val="center"/>
            <w:hideMark/>
          </w:tcPr>
          <w:p w14:paraId="12452603"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Discussion: Evaluation of Strategic Pricing and C-V-P Limitations</w:t>
            </w:r>
          </w:p>
        </w:tc>
        <w:tc>
          <w:tcPr>
            <w:tcW w:w="0" w:type="auto"/>
            <w:tcBorders>
              <w:top w:val="single" w:sz="6" w:space="0" w:color="auto"/>
              <w:left w:val="single" w:sz="6" w:space="0" w:color="auto"/>
              <w:bottom w:val="single" w:sz="6" w:space="0" w:color="auto"/>
              <w:right w:val="single" w:sz="6" w:space="0" w:color="auto"/>
            </w:tcBorders>
            <w:vAlign w:val="center"/>
            <w:hideMark/>
          </w:tcPr>
          <w:p w14:paraId="01CFF22C"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18</w:t>
            </w:r>
          </w:p>
        </w:tc>
      </w:tr>
      <w:tr w:rsidR="0000409E" w:rsidRPr="0000409E" w14:paraId="7FB27AA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E0C633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8.1.</w:t>
            </w:r>
          </w:p>
        </w:tc>
        <w:tc>
          <w:tcPr>
            <w:tcW w:w="0" w:type="auto"/>
            <w:tcBorders>
              <w:top w:val="single" w:sz="6" w:space="0" w:color="auto"/>
              <w:left w:val="single" w:sz="6" w:space="0" w:color="auto"/>
              <w:bottom w:val="single" w:sz="6" w:space="0" w:color="auto"/>
              <w:right w:val="single" w:sz="6" w:space="0" w:color="auto"/>
            </w:tcBorders>
            <w:vAlign w:val="center"/>
            <w:hideMark/>
          </w:tcPr>
          <w:p w14:paraId="4C475AF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Critical Evaluation of C-V-P Assumptions in Non-Linear Christmas Costs</w:t>
            </w:r>
          </w:p>
        </w:tc>
        <w:tc>
          <w:tcPr>
            <w:tcW w:w="0" w:type="auto"/>
            <w:tcBorders>
              <w:top w:val="single" w:sz="6" w:space="0" w:color="auto"/>
              <w:left w:val="single" w:sz="6" w:space="0" w:color="auto"/>
              <w:bottom w:val="single" w:sz="6" w:space="0" w:color="auto"/>
              <w:right w:val="single" w:sz="6" w:space="0" w:color="auto"/>
            </w:tcBorders>
            <w:vAlign w:val="center"/>
            <w:hideMark/>
          </w:tcPr>
          <w:p w14:paraId="6878DC90" w14:textId="77777777" w:rsidR="0000409E" w:rsidRPr="0000409E" w:rsidRDefault="0000409E" w:rsidP="00C303F9">
            <w:pPr>
              <w:spacing w:line="480" w:lineRule="auto"/>
              <w:rPr>
                <w:rFonts w:ascii="Times New Roman" w:hAnsi="Times New Roman" w:cs="Times New Roman"/>
                <w:sz w:val="24"/>
                <w:szCs w:val="24"/>
                <w:lang w:val="en-IN"/>
              </w:rPr>
            </w:pPr>
          </w:p>
        </w:tc>
      </w:tr>
      <w:tr w:rsidR="0000409E" w:rsidRPr="0000409E" w14:paraId="6045978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D18E3B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8.2.</w:t>
            </w:r>
          </w:p>
        </w:tc>
        <w:tc>
          <w:tcPr>
            <w:tcW w:w="0" w:type="auto"/>
            <w:tcBorders>
              <w:top w:val="single" w:sz="6" w:space="0" w:color="auto"/>
              <w:left w:val="single" w:sz="6" w:space="0" w:color="auto"/>
              <w:bottom w:val="single" w:sz="6" w:space="0" w:color="auto"/>
              <w:right w:val="single" w:sz="6" w:space="0" w:color="auto"/>
            </w:tcBorders>
            <w:vAlign w:val="center"/>
            <w:hideMark/>
          </w:tcPr>
          <w:p w14:paraId="3EE4A50B"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Strategic Use of Pricing as a Cost Control Mechanism</w:t>
            </w:r>
          </w:p>
        </w:tc>
        <w:tc>
          <w:tcPr>
            <w:tcW w:w="0" w:type="auto"/>
            <w:tcBorders>
              <w:top w:val="single" w:sz="6" w:space="0" w:color="auto"/>
              <w:left w:val="single" w:sz="6" w:space="0" w:color="auto"/>
              <w:bottom w:val="single" w:sz="6" w:space="0" w:color="auto"/>
              <w:right w:val="single" w:sz="6" w:space="0" w:color="auto"/>
            </w:tcBorders>
            <w:vAlign w:val="center"/>
            <w:hideMark/>
          </w:tcPr>
          <w:p w14:paraId="649C6E6F" w14:textId="77777777" w:rsidR="0000409E" w:rsidRPr="0000409E" w:rsidRDefault="0000409E" w:rsidP="00C303F9">
            <w:pPr>
              <w:spacing w:line="480" w:lineRule="auto"/>
              <w:rPr>
                <w:rFonts w:ascii="Times New Roman" w:hAnsi="Times New Roman" w:cs="Times New Roman"/>
                <w:sz w:val="24"/>
                <w:szCs w:val="24"/>
                <w:lang w:val="en-IN"/>
              </w:rPr>
            </w:pPr>
          </w:p>
        </w:tc>
      </w:tr>
      <w:tr w:rsidR="0000409E" w:rsidRPr="0000409E" w14:paraId="5FB9361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8D3E66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8.3.</w:t>
            </w:r>
          </w:p>
        </w:tc>
        <w:tc>
          <w:tcPr>
            <w:tcW w:w="0" w:type="auto"/>
            <w:tcBorders>
              <w:top w:val="single" w:sz="6" w:space="0" w:color="auto"/>
              <w:left w:val="single" w:sz="6" w:space="0" w:color="auto"/>
              <w:bottom w:val="single" w:sz="6" w:space="0" w:color="auto"/>
              <w:right w:val="single" w:sz="6" w:space="0" w:color="auto"/>
            </w:tcBorders>
            <w:vAlign w:val="center"/>
            <w:hideMark/>
          </w:tcPr>
          <w:p w14:paraId="243A994B"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Role of Margin of Safety and Target Profit Analysis</w:t>
            </w:r>
          </w:p>
        </w:tc>
        <w:tc>
          <w:tcPr>
            <w:tcW w:w="0" w:type="auto"/>
            <w:tcBorders>
              <w:top w:val="single" w:sz="6" w:space="0" w:color="auto"/>
              <w:left w:val="single" w:sz="6" w:space="0" w:color="auto"/>
              <w:bottom w:val="single" w:sz="6" w:space="0" w:color="auto"/>
              <w:right w:val="single" w:sz="6" w:space="0" w:color="auto"/>
            </w:tcBorders>
            <w:vAlign w:val="center"/>
            <w:hideMark/>
          </w:tcPr>
          <w:p w14:paraId="77179B99" w14:textId="77777777" w:rsidR="0000409E" w:rsidRPr="0000409E" w:rsidRDefault="0000409E" w:rsidP="00C303F9">
            <w:pPr>
              <w:spacing w:line="480" w:lineRule="auto"/>
              <w:rPr>
                <w:rFonts w:ascii="Times New Roman" w:hAnsi="Times New Roman" w:cs="Times New Roman"/>
                <w:sz w:val="24"/>
                <w:szCs w:val="24"/>
                <w:lang w:val="en-IN"/>
              </w:rPr>
            </w:pPr>
          </w:p>
        </w:tc>
      </w:tr>
      <w:tr w:rsidR="0000409E" w:rsidRPr="0000409E" w14:paraId="5C518E5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5DE85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8.4.</w:t>
            </w:r>
          </w:p>
        </w:tc>
        <w:tc>
          <w:tcPr>
            <w:tcW w:w="0" w:type="auto"/>
            <w:tcBorders>
              <w:top w:val="single" w:sz="6" w:space="0" w:color="auto"/>
              <w:left w:val="single" w:sz="6" w:space="0" w:color="auto"/>
              <w:bottom w:val="single" w:sz="6" w:space="0" w:color="auto"/>
              <w:right w:val="single" w:sz="6" w:space="0" w:color="auto"/>
            </w:tcBorders>
            <w:vAlign w:val="center"/>
            <w:hideMark/>
          </w:tcPr>
          <w:p w14:paraId="30A79B2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Innovative Cost Control through Yield Management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28F86543" w14:textId="77777777" w:rsidR="0000409E" w:rsidRPr="0000409E" w:rsidRDefault="0000409E" w:rsidP="00C303F9">
            <w:pPr>
              <w:spacing w:line="480" w:lineRule="auto"/>
              <w:rPr>
                <w:rFonts w:ascii="Times New Roman" w:hAnsi="Times New Roman" w:cs="Times New Roman"/>
                <w:sz w:val="24"/>
                <w:szCs w:val="24"/>
                <w:lang w:val="en-IN"/>
              </w:rPr>
            </w:pPr>
          </w:p>
        </w:tc>
      </w:tr>
      <w:tr w:rsidR="0000409E" w:rsidRPr="0000409E" w14:paraId="03880CA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FCF432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9.</w:t>
            </w:r>
          </w:p>
        </w:tc>
        <w:tc>
          <w:tcPr>
            <w:tcW w:w="0" w:type="auto"/>
            <w:tcBorders>
              <w:top w:val="single" w:sz="6" w:space="0" w:color="auto"/>
              <w:left w:val="single" w:sz="6" w:space="0" w:color="auto"/>
              <w:bottom w:val="single" w:sz="6" w:space="0" w:color="auto"/>
              <w:right w:val="single" w:sz="6" w:space="0" w:color="auto"/>
            </w:tcBorders>
            <w:vAlign w:val="center"/>
            <w:hideMark/>
          </w:tcPr>
          <w:p w14:paraId="0D4FFFF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Conclusion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511A930C"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25</w:t>
            </w:r>
          </w:p>
        </w:tc>
      </w:tr>
      <w:tr w:rsidR="0000409E" w:rsidRPr="0000409E" w14:paraId="1930B6C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55B101B"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10.</w:t>
            </w:r>
          </w:p>
        </w:tc>
        <w:tc>
          <w:tcPr>
            <w:tcW w:w="0" w:type="auto"/>
            <w:tcBorders>
              <w:top w:val="single" w:sz="6" w:space="0" w:color="auto"/>
              <w:left w:val="single" w:sz="6" w:space="0" w:color="auto"/>
              <w:bottom w:val="single" w:sz="6" w:space="0" w:color="auto"/>
              <w:right w:val="single" w:sz="6" w:space="0" w:color="auto"/>
            </w:tcBorders>
            <w:vAlign w:val="center"/>
            <w:hideMark/>
          </w:tcPr>
          <w:p w14:paraId="6185ABA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References</w:t>
            </w:r>
          </w:p>
        </w:tc>
        <w:tc>
          <w:tcPr>
            <w:tcW w:w="0" w:type="auto"/>
            <w:tcBorders>
              <w:top w:val="single" w:sz="6" w:space="0" w:color="auto"/>
              <w:left w:val="single" w:sz="6" w:space="0" w:color="auto"/>
              <w:bottom w:val="single" w:sz="6" w:space="0" w:color="auto"/>
              <w:right w:val="single" w:sz="6" w:space="0" w:color="auto"/>
            </w:tcBorders>
            <w:vAlign w:val="center"/>
            <w:hideMark/>
          </w:tcPr>
          <w:p w14:paraId="6018242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27</w:t>
            </w:r>
          </w:p>
        </w:tc>
      </w:tr>
      <w:tr w:rsidR="0000409E" w:rsidRPr="0000409E" w14:paraId="0AF490A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CDFCCDF"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11.</w:t>
            </w:r>
          </w:p>
        </w:tc>
        <w:tc>
          <w:tcPr>
            <w:tcW w:w="0" w:type="auto"/>
            <w:tcBorders>
              <w:top w:val="single" w:sz="6" w:space="0" w:color="auto"/>
              <w:left w:val="single" w:sz="6" w:space="0" w:color="auto"/>
              <w:bottom w:val="single" w:sz="6" w:space="0" w:color="auto"/>
              <w:right w:val="single" w:sz="6" w:space="0" w:color="auto"/>
            </w:tcBorders>
            <w:vAlign w:val="center"/>
            <w:hideMark/>
          </w:tcPr>
          <w:p w14:paraId="30C3812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Appendices</w:t>
            </w:r>
          </w:p>
        </w:tc>
        <w:tc>
          <w:tcPr>
            <w:tcW w:w="0" w:type="auto"/>
            <w:tcBorders>
              <w:top w:val="single" w:sz="6" w:space="0" w:color="auto"/>
              <w:left w:val="single" w:sz="6" w:space="0" w:color="auto"/>
              <w:bottom w:val="single" w:sz="6" w:space="0" w:color="auto"/>
              <w:right w:val="single" w:sz="6" w:space="0" w:color="auto"/>
            </w:tcBorders>
            <w:vAlign w:val="center"/>
            <w:hideMark/>
          </w:tcPr>
          <w:p w14:paraId="573E454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30</w:t>
            </w:r>
          </w:p>
        </w:tc>
      </w:tr>
    </w:tbl>
    <w:p w14:paraId="046DD14F" w14:textId="77777777" w:rsidR="00C303F9" w:rsidRPr="003737CB" w:rsidRDefault="00C303F9" w:rsidP="00C303F9">
      <w:pPr>
        <w:spacing w:line="480" w:lineRule="auto"/>
        <w:rPr>
          <w:rFonts w:ascii="Times New Roman" w:hAnsi="Times New Roman" w:cs="Times New Roman"/>
          <w:sz w:val="24"/>
          <w:szCs w:val="24"/>
          <w:lang w:val="en-IN"/>
        </w:rPr>
      </w:pPr>
    </w:p>
    <w:p w14:paraId="635E4B08" w14:textId="74E47D4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3. </w:t>
      </w:r>
      <w:r w:rsidR="00C303F9" w:rsidRPr="003737CB">
        <w:rPr>
          <w:rFonts w:ascii="Times New Roman" w:hAnsi="Times New Roman" w:cs="Times New Roman"/>
          <w:sz w:val="24"/>
          <w:szCs w:val="24"/>
          <w:lang w:val="en-IN"/>
        </w:rPr>
        <w:t>Abstract: -</w:t>
      </w:r>
    </w:p>
    <w:p w14:paraId="33714F1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Christmas season presents a dichotomy of unprecedented revenue opportunity and significant operational cost volatility for the retail and hospitality industries. Successful financial navigation during this peak period necessitates a sophisticated application of cost accounting principles, particularly the integration of pricing strategies with Cost-Volume-Profit (C-V-P) analysis. This report investigates how businesses utilize promotional and bundle pricing during Christmas, and evaluates the foundational role of C-V-P analysis in supporting these critical pricing decisions. Findings suggest that elevated fixed and step-variable costs during the holiday season dramatically increase the required Breakeven Point, making C-V-P analysis indispensable for calculating the necessary sales volume and managing the resultant reduction in the Contribution Margin Ratio from aggressive pricing. The discussion critically assesses the limitations of C-V-P assumptions in a non-linear cost environment and highlights innovative pricing strategies, such as dynamic pricing, as essential revenue-management tools for maximizing profitability and achieving target profits during the holiday rush within the Eurozone.</w:t>
      </w:r>
    </w:p>
    <w:p w14:paraId="1CF50A3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pict w14:anchorId="7658991B">
          <v:rect id="_x0000_i1306" style="width:0;height:1.5pt" o:hralign="center" o:hrstd="t" o:hr="t" fillcolor="#a0a0a0" stroked="f"/>
        </w:pict>
      </w:r>
    </w:p>
    <w:p w14:paraId="51680774" w14:textId="603FF6A8"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4. </w:t>
      </w:r>
      <w:r w:rsidR="00C303F9" w:rsidRPr="003737CB">
        <w:rPr>
          <w:rFonts w:ascii="Times New Roman" w:hAnsi="Times New Roman" w:cs="Times New Roman"/>
          <w:sz w:val="24"/>
          <w:szCs w:val="24"/>
          <w:lang w:val="en-IN"/>
        </w:rPr>
        <w:t>Introduction: -</w:t>
      </w:r>
      <w:r w:rsidR="00C303F9" w:rsidRPr="003737CB">
        <w:rPr>
          <w:rFonts w:ascii="Times New Roman" w:hAnsi="Times New Roman" w:cs="Times New Roman"/>
          <w:sz w:val="24"/>
          <w:szCs w:val="24"/>
          <w:lang w:val="en-IN"/>
        </w:rPr>
        <w:br/>
      </w:r>
      <w:r w:rsidRPr="0000409E">
        <w:rPr>
          <w:rFonts w:ascii="Times New Roman" w:hAnsi="Times New Roman" w:cs="Times New Roman"/>
          <w:sz w:val="24"/>
          <w:szCs w:val="24"/>
          <w:lang w:val="en-IN"/>
        </w:rPr>
        <w:t xml:space="preserve">The Christmas trading period, encompassing November and December, represents the most </w:t>
      </w:r>
      <w:r w:rsidRPr="0000409E">
        <w:rPr>
          <w:rFonts w:ascii="Times New Roman" w:hAnsi="Times New Roman" w:cs="Times New Roman"/>
          <w:sz w:val="24"/>
          <w:szCs w:val="24"/>
          <w:lang w:val="en-IN"/>
        </w:rPr>
        <w:lastRenderedPageBreak/>
        <w:t xml:space="preserve">financially critical quarter for the retail and hospitality sectors globally. This season is characterized by a massive surge in consumer demand, leading to high-volume sales. However, this revenue potential is counterbalanced by significant operational challenges, including inflated material costs, the premium cost of seasonal </w:t>
      </w:r>
      <w:r w:rsidR="00C303F9" w:rsidRPr="003737CB">
        <w:rPr>
          <w:rFonts w:ascii="Times New Roman" w:hAnsi="Times New Roman" w:cs="Times New Roman"/>
          <w:sz w:val="24"/>
          <w:szCs w:val="24"/>
          <w:lang w:val="en-IN"/>
        </w:rPr>
        <w:t>labour</w:t>
      </w:r>
      <w:r w:rsidRPr="0000409E">
        <w:rPr>
          <w:rFonts w:ascii="Times New Roman" w:hAnsi="Times New Roman" w:cs="Times New Roman"/>
          <w:sz w:val="24"/>
          <w:szCs w:val="24"/>
          <w:lang w:val="en-IN"/>
        </w:rPr>
        <w:t>, and increased overheads associated with extended operating hours and extensive marketing campaigns. Consequently, effective cost accounting practices are not merely administrative necessities but strategic imperatives for translating high sales figures into sustainable profits.</w:t>
      </w:r>
    </w:p>
    <w:p w14:paraId="1EF2DA50" w14:textId="463722E5"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The central challenge for managers during the Christmas season is the determination of an optimal selling price. Businesses must strike a delicate balance: setting prices low enough (through discounts, promotions, and bundles) to attract high volumes from price-sensitive shoppers, yet high enough to maintain a sufficient contribution margin to cover the rapidly escalating fixed and variable costs. A misplaced pricing strategy can quickly turn record-breaking sales volume into minimal or even negative profitability, highlighting the acute need for rigorous financial </w:t>
      </w:r>
      <w:r w:rsidR="00C303F9" w:rsidRPr="003737CB">
        <w:rPr>
          <w:rFonts w:ascii="Times New Roman" w:hAnsi="Times New Roman" w:cs="Times New Roman"/>
          <w:sz w:val="24"/>
          <w:szCs w:val="24"/>
          <w:lang w:val="en-IN"/>
        </w:rPr>
        <w:t>modelling</w:t>
      </w:r>
      <w:r w:rsidRPr="0000409E">
        <w:rPr>
          <w:rFonts w:ascii="Times New Roman" w:hAnsi="Times New Roman" w:cs="Times New Roman"/>
          <w:sz w:val="24"/>
          <w:szCs w:val="24"/>
          <w:lang w:val="en-IN"/>
        </w:rPr>
        <w:t>.</w:t>
      </w:r>
    </w:p>
    <w:p w14:paraId="65ADFB7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This report focuses on the application of Cost-Volume-Profit (C-V-P) analysis as the primary analytical framework for informing and evaluating peak season pricing strategies. C-V-P analysis serves as the mathematical bedrock, allowing management to model the impact of varying sales volumes, cost structures, and selling prices on overall profitability. Specifically, the study will explore two main objectives:</w:t>
      </w:r>
    </w:p>
    <w:p w14:paraId="5E95CEBD" w14:textId="3129BC3B"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First, to </w:t>
      </w:r>
      <w:r w:rsidR="00C303F9" w:rsidRPr="003737CB">
        <w:rPr>
          <w:rFonts w:ascii="Times New Roman" w:hAnsi="Times New Roman" w:cs="Times New Roman"/>
          <w:sz w:val="24"/>
          <w:szCs w:val="24"/>
          <w:lang w:val="en-IN"/>
        </w:rPr>
        <w:t>analyse</w:t>
      </w:r>
      <w:r w:rsidRPr="0000409E">
        <w:rPr>
          <w:rFonts w:ascii="Times New Roman" w:hAnsi="Times New Roman" w:cs="Times New Roman"/>
          <w:sz w:val="24"/>
          <w:szCs w:val="24"/>
          <w:lang w:val="en-IN"/>
        </w:rPr>
        <w:t xml:space="preserve"> the common pricing strategies—such as deep discounting in retail and bundled packages in hospitality—employed during the Christmas season to drive sales volume. Second, to evaluate how C-V-P analysis enables businesses to make informed pricing decisions, calculate </w:t>
      </w:r>
      <w:r w:rsidRPr="0000409E">
        <w:rPr>
          <w:rFonts w:ascii="Times New Roman" w:hAnsi="Times New Roman" w:cs="Times New Roman"/>
          <w:sz w:val="24"/>
          <w:szCs w:val="24"/>
          <w:lang w:val="en-IN"/>
        </w:rPr>
        <w:lastRenderedPageBreak/>
        <w:t>the required volume to achieve a revised Breakeven Point, and manage profitability in a highly competitive and high-cost operational environment within the Eurozone market (e.g., NRW, Germany). The subsequent sections will review the relevant literature, present applied C-V-P models for peak season scenarios, and critically discuss the utility and limitations of this crucial cost accounting tool.</w:t>
      </w:r>
    </w:p>
    <w:p w14:paraId="34290AD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pict w14:anchorId="3FF69014">
          <v:rect id="_x0000_i1307" style="width:0;height:1.5pt" o:hralign="center" o:hrstd="t" o:hr="t" fillcolor="#a0a0a0" stroked="f"/>
        </w:pict>
      </w:r>
    </w:p>
    <w:p w14:paraId="2590CBD2" w14:textId="0AB70FAD"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5. Literature Review</w:t>
      </w:r>
      <w:r w:rsidR="00C303F9" w:rsidRPr="003737CB">
        <w:rPr>
          <w:rFonts w:ascii="Times New Roman" w:hAnsi="Times New Roman" w:cs="Times New Roman"/>
          <w:sz w:val="24"/>
          <w:szCs w:val="24"/>
          <w:lang w:val="en-IN"/>
        </w:rPr>
        <w:t>: -</w:t>
      </w:r>
    </w:p>
    <w:p w14:paraId="3EE7ED3D" w14:textId="1E4E068E"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The effectiveness of financial planning during high-stakes periods like Christmas is directly correlated with the robust application of established cost accounting theory. This review establishes the theoretical foundations of cost </w:t>
      </w:r>
      <w:r w:rsidR="00C303F9" w:rsidRPr="003737CB">
        <w:rPr>
          <w:rFonts w:ascii="Times New Roman" w:hAnsi="Times New Roman" w:cs="Times New Roman"/>
          <w:sz w:val="24"/>
          <w:szCs w:val="24"/>
          <w:lang w:val="en-IN"/>
        </w:rPr>
        <w:t>behaviour</w:t>
      </w:r>
      <w:r w:rsidRPr="0000409E">
        <w:rPr>
          <w:rFonts w:ascii="Times New Roman" w:hAnsi="Times New Roman" w:cs="Times New Roman"/>
          <w:sz w:val="24"/>
          <w:szCs w:val="24"/>
          <w:lang w:val="en-IN"/>
        </w:rPr>
        <w:t>, C-V-P analysis, and pricing strategies that are critical to managing holiday profitability.</w:t>
      </w:r>
    </w:p>
    <w:p w14:paraId="62850E9B" w14:textId="6672F3FD"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5.1. Fundamentals of Cost </w:t>
      </w:r>
      <w:r w:rsidR="00C303F9" w:rsidRPr="003737CB">
        <w:rPr>
          <w:rFonts w:ascii="Times New Roman" w:hAnsi="Times New Roman" w:cs="Times New Roman"/>
          <w:sz w:val="24"/>
          <w:szCs w:val="24"/>
          <w:lang w:val="en-IN"/>
        </w:rPr>
        <w:t>Behaviour</w:t>
      </w:r>
      <w:r w:rsidRPr="0000409E">
        <w:rPr>
          <w:rFonts w:ascii="Times New Roman" w:hAnsi="Times New Roman" w:cs="Times New Roman"/>
          <w:sz w:val="24"/>
          <w:szCs w:val="24"/>
          <w:lang w:val="en-IN"/>
        </w:rPr>
        <w:t xml:space="preserve"> and Classification</w:t>
      </w:r>
    </w:p>
    <w:p w14:paraId="258E3B29" w14:textId="1054020D"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Cost accounting fundamentally relies on classifying costs based on their </w:t>
      </w:r>
      <w:r w:rsidR="00C303F9" w:rsidRPr="003737CB">
        <w:rPr>
          <w:rFonts w:ascii="Times New Roman" w:hAnsi="Times New Roman" w:cs="Times New Roman"/>
          <w:sz w:val="24"/>
          <w:szCs w:val="24"/>
          <w:lang w:val="en-IN"/>
        </w:rPr>
        <w:t>behaviour</w:t>
      </w:r>
      <w:r w:rsidRPr="0000409E">
        <w:rPr>
          <w:rFonts w:ascii="Times New Roman" w:hAnsi="Times New Roman" w:cs="Times New Roman"/>
          <w:sz w:val="24"/>
          <w:szCs w:val="24"/>
          <w:lang w:val="en-IN"/>
        </w:rPr>
        <w:t xml:space="preserve"> relative to changes in activity volume. Fixed Costs remain constant in total regardless of sales volume within the relevant range (e.g., store rent, annual depreciation). Conversely, Variable Costs change directly and proportionally with changes in sales volume (e.g., cost of goods sold, direct </w:t>
      </w:r>
      <w:r w:rsidR="00C303F9" w:rsidRPr="003737CB">
        <w:rPr>
          <w:rFonts w:ascii="Times New Roman" w:hAnsi="Times New Roman" w:cs="Times New Roman"/>
          <w:sz w:val="24"/>
          <w:szCs w:val="24"/>
          <w:lang w:val="en-IN"/>
        </w:rPr>
        <w:t>labour</w:t>
      </w:r>
      <w:r w:rsidRPr="0000409E">
        <w:rPr>
          <w:rFonts w:ascii="Times New Roman" w:hAnsi="Times New Roman" w:cs="Times New Roman"/>
          <w:sz w:val="24"/>
          <w:szCs w:val="24"/>
          <w:lang w:val="en-IN"/>
        </w:rPr>
        <w:t xml:space="preserve"> hours). The Christmas season severely tests the "relevant range" assumption, as costs often become mixed (containing both fixed and variable elements, like seasonal utility bills) or step-variable (costs that remain fixed over a narrow range of activity but jump up at certain volume thresholds, such as hiring a new shift supervisor). The ability to accurately separate these cost components is paramount, as an inaccurate classification will distort the resulting C-V-P calculations.</w:t>
      </w:r>
    </w:p>
    <w:p w14:paraId="5C80481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The core concept derived from this classification is the Contribution Margin (CM). Defined as the difference between sales revenue and total variable costs, the CM represents the amount of money available to cover fixed costs and generate profit.</w:t>
      </w:r>
    </w:p>
    <w:p w14:paraId="405B97E4"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Contribution Margin} = \</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Sales Revenue} - \</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 xml:space="preserve">Variable </w:t>
      </w:r>
      <w:proofErr w:type="gramStart"/>
      <w:r w:rsidRPr="0000409E">
        <w:rPr>
          <w:rFonts w:ascii="Times New Roman" w:hAnsi="Times New Roman" w:cs="Times New Roman"/>
          <w:sz w:val="24"/>
          <w:szCs w:val="24"/>
          <w:lang w:val="en-IN"/>
        </w:rPr>
        <w:t>Costs}$</w:t>
      </w:r>
      <w:proofErr w:type="gramEnd"/>
      <w:r w:rsidRPr="0000409E">
        <w:rPr>
          <w:rFonts w:ascii="Times New Roman" w:hAnsi="Times New Roman" w:cs="Times New Roman"/>
          <w:sz w:val="24"/>
          <w:szCs w:val="24"/>
          <w:lang w:val="en-IN"/>
        </w:rPr>
        <w:t>$</w:t>
      </w:r>
    </w:p>
    <w:p w14:paraId="14DEDC60"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Effective cost management during Christmas is therefore synonymous with maximizing the CM per unit, even if volume is achieved via price reduction.</w:t>
      </w:r>
    </w:p>
    <w:p w14:paraId="44B8FA7C"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5.2. The Mechanics and Assumptions of C-V-P Analysis</w:t>
      </w:r>
    </w:p>
    <w:p w14:paraId="076E35F3"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C-V-P analysis is a powerful short-term planning tool used to predict the profit consequences of changes in costs, prices, or volume. Its primary component is the Breakeven Point (B.E.P.), the level of activity at which total revenue equals total costs, resulting in zero profit.</w:t>
      </w:r>
    </w:p>
    <w:p w14:paraId="2A18690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Breakeven Point (Units)} = \</w:t>
      </w:r>
      <w:proofErr w:type="gramStart"/>
      <w:r w:rsidRPr="0000409E">
        <w:rPr>
          <w:rFonts w:ascii="Times New Roman" w:hAnsi="Times New Roman" w:cs="Times New Roman"/>
          <w:sz w:val="24"/>
          <w:szCs w:val="24"/>
          <w:lang w:val="en-IN"/>
        </w:rPr>
        <w:t>frac{</w:t>
      </w:r>
      <w:proofErr w:type="gramEnd"/>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Total Fixed Costs</w:t>
      </w:r>
      <w:proofErr w:type="gramStart"/>
      <w:r w:rsidRPr="0000409E">
        <w:rPr>
          <w:rFonts w:ascii="Times New Roman" w:hAnsi="Times New Roman" w:cs="Times New Roman"/>
          <w:sz w:val="24"/>
          <w:szCs w:val="24"/>
          <w:lang w:val="en-IN"/>
        </w:rPr>
        <w:t>}}{</w:t>
      </w:r>
      <w:proofErr w:type="gramEnd"/>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Contribution Margin Per Unit</w:t>
      </w:r>
      <w:proofErr w:type="gramStart"/>
      <w:r w:rsidRPr="0000409E">
        <w:rPr>
          <w:rFonts w:ascii="Times New Roman" w:hAnsi="Times New Roman" w:cs="Times New Roman"/>
          <w:sz w:val="24"/>
          <w:szCs w:val="24"/>
          <w:lang w:val="en-IN"/>
        </w:rPr>
        <w:t>}}$</w:t>
      </w:r>
      <w:proofErr w:type="gramEnd"/>
      <w:r w:rsidRPr="0000409E">
        <w:rPr>
          <w:rFonts w:ascii="Times New Roman" w:hAnsi="Times New Roman" w:cs="Times New Roman"/>
          <w:sz w:val="24"/>
          <w:szCs w:val="24"/>
          <w:lang w:val="en-IN"/>
        </w:rPr>
        <w:t>$</w:t>
      </w:r>
    </w:p>
    <w:p w14:paraId="0581B21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During the Christmas season, both the numerator (Total Fixed Costs, due to extra marketing, higher temporary staff wages) and the denominator (Contribution Margin, due to price discounts) are severely impacted. C-V-P analysis allows managers to determine the new, higher volume required to offset these changes.</w:t>
      </w:r>
    </w:p>
    <w:p w14:paraId="5B991A6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A central element of C-V-P is the concept of Target Profit Analysis, which extends the B.E.P. formula to calculate the volume required to achieve a specific profit goal.</w:t>
      </w:r>
    </w:p>
    <w:p w14:paraId="1B97C92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Target Sales Volume (Units)} = \</w:t>
      </w:r>
      <w:proofErr w:type="gramStart"/>
      <w:r w:rsidRPr="0000409E">
        <w:rPr>
          <w:rFonts w:ascii="Times New Roman" w:hAnsi="Times New Roman" w:cs="Times New Roman"/>
          <w:sz w:val="24"/>
          <w:szCs w:val="24"/>
          <w:lang w:val="en-IN"/>
        </w:rPr>
        <w:t>frac{</w:t>
      </w:r>
      <w:proofErr w:type="gramEnd"/>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Total Fixed Costs} + \</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Target Profit</w:t>
      </w:r>
      <w:proofErr w:type="gramStart"/>
      <w:r w:rsidRPr="0000409E">
        <w:rPr>
          <w:rFonts w:ascii="Times New Roman" w:hAnsi="Times New Roman" w:cs="Times New Roman"/>
          <w:sz w:val="24"/>
          <w:szCs w:val="24"/>
          <w:lang w:val="en-IN"/>
        </w:rPr>
        <w:t>}}{</w:t>
      </w:r>
      <w:proofErr w:type="gramEnd"/>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Contribution Margin Per Unit</w:t>
      </w:r>
      <w:proofErr w:type="gramStart"/>
      <w:r w:rsidRPr="0000409E">
        <w:rPr>
          <w:rFonts w:ascii="Times New Roman" w:hAnsi="Times New Roman" w:cs="Times New Roman"/>
          <w:sz w:val="24"/>
          <w:szCs w:val="24"/>
          <w:lang w:val="en-IN"/>
        </w:rPr>
        <w:t>}}$</w:t>
      </w:r>
      <w:proofErr w:type="gramEnd"/>
      <w:r w:rsidRPr="0000409E">
        <w:rPr>
          <w:rFonts w:ascii="Times New Roman" w:hAnsi="Times New Roman" w:cs="Times New Roman"/>
          <w:sz w:val="24"/>
          <w:szCs w:val="24"/>
          <w:lang w:val="en-IN"/>
        </w:rPr>
        <w:t>$</w:t>
      </w:r>
    </w:p>
    <w:p w14:paraId="290C92D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This is essential for seasonal budgeting, where firms must not only breakeven but also generate significant profits to compensate for quieter periods.</w:t>
      </w:r>
    </w:p>
    <w:p w14:paraId="626937DC"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C-V-P analysis is built on several simplifying assumptions: (1) costs can be accurately separated into fixed and variable components; (2) costs and revenues behave linearly within the relevant range; (3) all units produced are sold (no change in inventory); and (4) the sales mix remains constant. As will be critically discussed later, the high volatility of Christmas operations often stretches or invalidates these assumptions.</w:t>
      </w:r>
    </w:p>
    <w:p w14:paraId="7990EE40"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5.3. Peak Season Pricing Strategies: Promotional and Dynamic Pricing</w:t>
      </w:r>
    </w:p>
    <w:p w14:paraId="48110CB4"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Pricing strategies during the Christmas season are aggressively geared toward maximizing volume. Promotional Pricing, such as deep discounts, bundled offers, or "Buy One Get One Free," is common in retail. The underlying logic is that the incremental sales generated will compensate for the reduced contribution margin per unit. The C-V-P model provides the necessary framework to quantify the exact volume increase needed to justify the price reduction.</w:t>
      </w:r>
    </w:p>
    <w:p w14:paraId="51212E2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In the hospitality sector, Bundle Pricing (e.g., all-inclusive New Year's Eve packages) is utilized. This strategy serves two purposes: it simplifies the consumer's purchase decision, and more importantly, it allows the firm to strategically assign prices to lower-demand components within the package, effectively disguising the cost structure and maximizing the overall contribution of the bundle.</w:t>
      </w:r>
    </w:p>
    <w:p w14:paraId="00F57DEC"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A more sophisticated approach, primarily used in hospitality and increasingly in e-commerce retail, is Dynamic Pricing or Yield Management. This involves continuously adjusting prices based on real-time demand, inventory levels, and competitor pricing. This strategy is fundamentally a proactive cost-control measure, as it optimizes the revenue side of the C-V-P </w:t>
      </w:r>
      <w:r w:rsidRPr="0000409E">
        <w:rPr>
          <w:rFonts w:ascii="Times New Roman" w:hAnsi="Times New Roman" w:cs="Times New Roman"/>
          <w:sz w:val="24"/>
          <w:szCs w:val="24"/>
          <w:lang w:val="en-IN"/>
        </w:rPr>
        <w:lastRenderedPageBreak/>
        <w:t>equation, ensuring that the maximum possible contribution margin is extracted from every unit of capacity (hotel room, flight seat, or limited-edition product).</w:t>
      </w:r>
    </w:p>
    <w:p w14:paraId="64EC66B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5.4. Cost Management Challenges in High-Volume Operations</w:t>
      </w:r>
    </w:p>
    <w:p w14:paraId="5C2DDCE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The high volume required by discounted pricing strategies creates immense pressure on cost management. Inventory costs surge, both due to volume and the expense of accelerated shipping and logistics (which often shifts transportation from a fixed to a higher-rate variable cost). Furthermore, </w:t>
      </w:r>
      <w:proofErr w:type="spellStart"/>
      <w:r w:rsidRPr="0000409E">
        <w:rPr>
          <w:rFonts w:ascii="Times New Roman" w:hAnsi="Times New Roman" w:cs="Times New Roman"/>
          <w:sz w:val="24"/>
          <w:szCs w:val="24"/>
          <w:lang w:val="en-IN"/>
        </w:rPr>
        <w:t>labor</w:t>
      </w:r>
      <w:proofErr w:type="spellEnd"/>
      <w:r w:rsidRPr="0000409E">
        <w:rPr>
          <w:rFonts w:ascii="Times New Roman" w:hAnsi="Times New Roman" w:cs="Times New Roman"/>
          <w:sz w:val="24"/>
          <w:szCs w:val="24"/>
          <w:lang w:val="en-IN"/>
        </w:rPr>
        <w:t xml:space="preserve"> costs spiral upwards. Seasonal staff often command higher wages, and existing staff may accrue significant overtime, which is frequently paid at premium rates. These rapidly changing variable costs necessitate an extremely current and accurate C-V-P model, where cost estimation is an ongoing rather than a static annual process. The following sections will integrate these theoretical concepts into practical financial scenarios to demonstrate the strategic impact of pricing on holiday profitability.</w:t>
      </w:r>
    </w:p>
    <w:p w14:paraId="6680DF2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pict w14:anchorId="71021F10">
          <v:rect id="_x0000_i1308" style="width:0;height:1.5pt" o:hralign="center" o:hrstd="t" o:hr="t" fillcolor="#a0a0a0" stroked="f"/>
        </w:pict>
      </w:r>
    </w:p>
    <w:p w14:paraId="78FE2625" w14:textId="27CB7AA2"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6. Methodology</w:t>
      </w:r>
      <w:r w:rsidR="00C303F9" w:rsidRPr="003737CB">
        <w:rPr>
          <w:rFonts w:ascii="Times New Roman" w:hAnsi="Times New Roman" w:cs="Times New Roman"/>
          <w:sz w:val="24"/>
          <w:szCs w:val="24"/>
          <w:lang w:val="en-IN"/>
        </w:rPr>
        <w:t>: -</w:t>
      </w:r>
    </w:p>
    <w:p w14:paraId="490A5C1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objective of this assignment is to analytically investigate the application of cost accounting theory in strategic pricing decisions during the peak Christmas trading season, using the Euro (€) as the basis for all financial calculations relevant to the German market context. Given the focus on evaluating established practices and theoretical models, a Qualitative and Analytical Research Design based on secondary data has been employed.</w:t>
      </w:r>
    </w:p>
    <w:p w14:paraId="2D7CBC5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Data Sources and Scope</w:t>
      </w:r>
    </w:p>
    <w:p w14:paraId="255266D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research draws upon three primary types of secondary data:</w:t>
      </w:r>
    </w:p>
    <w:p w14:paraId="653F3A83" w14:textId="77777777" w:rsidR="0000409E" w:rsidRPr="0000409E" w:rsidRDefault="0000409E" w:rsidP="00C303F9">
      <w:pPr>
        <w:numPr>
          <w:ilvl w:val="0"/>
          <w:numId w:val="4"/>
        </w:num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 xml:space="preserve">Academic Literature: Peer-reviewed journal articles and textbooks focusing on Cost-Volume-Profit analysis, revenue management, dynamic pricing, and retail cost </w:t>
      </w:r>
      <w:proofErr w:type="spellStart"/>
      <w:r w:rsidRPr="0000409E">
        <w:rPr>
          <w:rFonts w:ascii="Times New Roman" w:hAnsi="Times New Roman" w:cs="Times New Roman"/>
          <w:sz w:val="24"/>
          <w:szCs w:val="24"/>
          <w:lang w:val="en-IN"/>
        </w:rPr>
        <w:t>behavior</w:t>
      </w:r>
      <w:proofErr w:type="spellEnd"/>
      <w:r w:rsidRPr="0000409E">
        <w:rPr>
          <w:rFonts w:ascii="Times New Roman" w:hAnsi="Times New Roman" w:cs="Times New Roman"/>
          <w:sz w:val="24"/>
          <w:szCs w:val="24"/>
          <w:lang w:val="en-IN"/>
        </w:rPr>
        <w:t>.</w:t>
      </w:r>
    </w:p>
    <w:p w14:paraId="45B4A495" w14:textId="77777777" w:rsidR="0000409E" w:rsidRPr="0000409E" w:rsidRDefault="0000409E" w:rsidP="00C303F9">
      <w:pPr>
        <w:numPr>
          <w:ilvl w:val="0"/>
          <w:numId w:val="4"/>
        </w:num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Industry Reports and Case Studies: Publicly available financial reports, press releases, and articles from reputable business news sources and consulting firms, which provide empirical data and real-world scenarios of pricing and cost management during the holiday season in major retail and hospitality businesses operating within the Eurozone.</w:t>
      </w:r>
    </w:p>
    <w:p w14:paraId="3E1ABEAC" w14:textId="77777777" w:rsidR="0000409E" w:rsidRPr="0000409E" w:rsidRDefault="0000409E" w:rsidP="00C303F9">
      <w:pPr>
        <w:numPr>
          <w:ilvl w:val="0"/>
          <w:numId w:val="4"/>
        </w:num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Model Scenarios: Hypothetical quantitative models are constructed to illustrate the mathematical impact of real-world pricing decisions (e.g., a 20% discount, a bundled package) on the core components of the C-V-P formula, all expressed in Euros.</w:t>
      </w:r>
    </w:p>
    <w:p w14:paraId="23119E7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Analytical Framework</w:t>
      </w:r>
    </w:p>
    <w:p w14:paraId="75F8BD6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Cost-Volume-Profit (C-V-P) Analysis serves as the central analytical framework. The methodology involves:</w:t>
      </w:r>
    </w:p>
    <w:p w14:paraId="6286FC85" w14:textId="77777777" w:rsidR="0000409E" w:rsidRPr="0000409E" w:rsidRDefault="0000409E" w:rsidP="00C303F9">
      <w:pPr>
        <w:numPr>
          <w:ilvl w:val="0"/>
          <w:numId w:val="5"/>
        </w:num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Cost Disaggregation: Establishing a model cost structure for both a typical retailer and a hospitality service, differentiating between Fixed Costs, Variable Costs, and identifying potential Step-Variable Costs relevant to the Christmas period.</w:t>
      </w:r>
    </w:p>
    <w:p w14:paraId="6F926DEE" w14:textId="1D08048C" w:rsidR="0000409E" w:rsidRPr="0000409E" w:rsidRDefault="0000409E" w:rsidP="00C303F9">
      <w:pPr>
        <w:numPr>
          <w:ilvl w:val="0"/>
          <w:numId w:val="5"/>
        </w:num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Scenario </w:t>
      </w:r>
      <w:r w:rsidR="00C303F9" w:rsidRPr="003737CB">
        <w:rPr>
          <w:rFonts w:ascii="Times New Roman" w:hAnsi="Times New Roman" w:cs="Times New Roman"/>
          <w:sz w:val="24"/>
          <w:szCs w:val="24"/>
          <w:lang w:val="en-IN"/>
        </w:rPr>
        <w:t>Modelling</w:t>
      </w:r>
      <w:r w:rsidRPr="0000409E">
        <w:rPr>
          <w:rFonts w:ascii="Times New Roman" w:hAnsi="Times New Roman" w:cs="Times New Roman"/>
          <w:sz w:val="24"/>
          <w:szCs w:val="24"/>
          <w:lang w:val="en-IN"/>
        </w:rPr>
        <w:t>: Developing specific pricing scenarios (e.g., baseline price vs. promotional price) and calculating the resulting Contribution Margin Ratio and the Breakeven Point.</w:t>
      </w:r>
    </w:p>
    <w:p w14:paraId="5F9027B7" w14:textId="77777777" w:rsidR="0000409E" w:rsidRPr="0000409E" w:rsidRDefault="0000409E" w:rsidP="00C303F9">
      <w:pPr>
        <w:numPr>
          <w:ilvl w:val="0"/>
          <w:numId w:val="5"/>
        </w:num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Target Profit Simulation: Using the Target Profit formula to determine the necessary sales volume increase (or "hurdle rate") required to maintain profitability goals after implementing aggressive pricing strategies.</w:t>
      </w:r>
    </w:p>
    <w:p w14:paraId="385072D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This methodology allows for a robust, theory-driven evaluation of managerial decisions, fulfilling Criterion 1 (Application of cost accounting theories) and Criterion 4 (Use of real-world data and case studies). The subsequent findings section will present the results of these analytical models and case study applications using the designated currency.</w:t>
      </w:r>
    </w:p>
    <w:p w14:paraId="0151A5E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pict w14:anchorId="796E93CF">
          <v:rect id="_x0000_i1309" style="width:0;height:1.5pt" o:hralign="center" o:hrstd="t" o:hr="t" fillcolor="#a0a0a0" stroked="f"/>
        </w:pict>
      </w:r>
    </w:p>
    <w:p w14:paraId="34555612" w14:textId="46470FFF"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7. Findings: Application of C-V-P in Peak Season Scenarios</w:t>
      </w:r>
      <w:r w:rsidR="009F2C7B" w:rsidRPr="003737CB">
        <w:rPr>
          <w:rFonts w:ascii="Times New Roman" w:hAnsi="Times New Roman" w:cs="Times New Roman"/>
          <w:sz w:val="24"/>
          <w:szCs w:val="24"/>
          <w:lang w:val="en-IN"/>
        </w:rPr>
        <w:t>: -</w:t>
      </w:r>
    </w:p>
    <w:p w14:paraId="48D3C64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Christmas season fundamentally alters the parameters of the C-V-P model for retail and hospitality businesses in the Eurozone. Increased staffing, expanded marketing, and additional utility usage elevate total Fixed Costs, while seasonal surcharges on logistics and materials raise Variable Costs. Simultaneously, aggressive pricing strategies reduce the selling price. The findings below illustrate the effect of these strategic changes on profitability using two distinct industry scenarios, all calculated in Euros (€).</w:t>
      </w:r>
    </w:p>
    <w:p w14:paraId="7F69AF8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7.1. Scenario 1: Retailer Promotional Pricing and Breakeven Shifts</w:t>
      </w:r>
    </w:p>
    <w:p w14:paraId="147F8C3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A common Christmas strategy in retail is the widespread use of deep discounts (e.g., Black Friday sales, 50% off promotions) designed to aggressively capture market share and clear inventory. While these promotions boost volume, they severely reduce the Contribution Margin per unit, thus significantly raising the required Breakeven Point.</w:t>
      </w:r>
    </w:p>
    <w:p w14:paraId="7C33AAA4"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Model Data: Generic Retail Product (Before Christmas)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94"/>
        <w:gridCol w:w="1185"/>
      </w:tblGrid>
      <w:tr w:rsidR="0000409E" w:rsidRPr="0000409E" w14:paraId="4F203D31"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526556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Component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0AA74C2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Value</w:t>
            </w:r>
          </w:p>
        </w:tc>
      </w:tr>
      <w:tr w:rsidR="0000409E" w:rsidRPr="0000409E" w14:paraId="620A9F5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2D86B4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Selling Price Per Unit $(P)$</w:t>
            </w:r>
          </w:p>
        </w:tc>
        <w:tc>
          <w:tcPr>
            <w:tcW w:w="0" w:type="auto"/>
            <w:tcBorders>
              <w:top w:val="single" w:sz="6" w:space="0" w:color="auto"/>
              <w:left w:val="single" w:sz="6" w:space="0" w:color="auto"/>
              <w:bottom w:val="single" w:sz="6" w:space="0" w:color="auto"/>
              <w:right w:val="single" w:sz="6" w:space="0" w:color="auto"/>
            </w:tcBorders>
            <w:vAlign w:val="center"/>
            <w:hideMark/>
          </w:tcPr>
          <w:p w14:paraId="63983A8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€100</w:t>
            </w:r>
          </w:p>
        </w:tc>
      </w:tr>
      <w:tr w:rsidR="0000409E" w:rsidRPr="0000409E" w14:paraId="0A5E541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C90ADD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Variable Cost Per Unit $(V)$</w:t>
            </w:r>
          </w:p>
        </w:tc>
        <w:tc>
          <w:tcPr>
            <w:tcW w:w="0" w:type="auto"/>
            <w:tcBorders>
              <w:top w:val="single" w:sz="6" w:space="0" w:color="auto"/>
              <w:left w:val="single" w:sz="6" w:space="0" w:color="auto"/>
              <w:bottom w:val="single" w:sz="6" w:space="0" w:color="auto"/>
              <w:right w:val="single" w:sz="6" w:space="0" w:color="auto"/>
            </w:tcBorders>
            <w:vAlign w:val="center"/>
            <w:hideMark/>
          </w:tcPr>
          <w:p w14:paraId="65690E8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€40</w:t>
            </w:r>
          </w:p>
        </w:tc>
      </w:tr>
      <w:tr w:rsidR="0000409E" w:rsidRPr="0000409E" w14:paraId="64296CA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CBC48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Contribution Margin Per Unit $(CM)$</w:t>
            </w:r>
          </w:p>
        </w:tc>
        <w:tc>
          <w:tcPr>
            <w:tcW w:w="0" w:type="auto"/>
            <w:tcBorders>
              <w:top w:val="single" w:sz="6" w:space="0" w:color="auto"/>
              <w:left w:val="single" w:sz="6" w:space="0" w:color="auto"/>
              <w:bottom w:val="single" w:sz="6" w:space="0" w:color="auto"/>
              <w:right w:val="single" w:sz="6" w:space="0" w:color="auto"/>
            </w:tcBorders>
            <w:vAlign w:val="center"/>
            <w:hideMark/>
          </w:tcPr>
          <w:p w14:paraId="27402DC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€60</w:t>
            </w:r>
          </w:p>
        </w:tc>
      </w:tr>
      <w:tr w:rsidR="0000409E" w:rsidRPr="0000409E" w14:paraId="77FBDD7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43B484C"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Total Fixed Costs $(F)$</w:t>
            </w:r>
          </w:p>
        </w:tc>
        <w:tc>
          <w:tcPr>
            <w:tcW w:w="0" w:type="auto"/>
            <w:tcBorders>
              <w:top w:val="single" w:sz="6" w:space="0" w:color="auto"/>
              <w:left w:val="single" w:sz="6" w:space="0" w:color="auto"/>
              <w:bottom w:val="single" w:sz="6" w:space="0" w:color="auto"/>
              <w:right w:val="single" w:sz="6" w:space="0" w:color="auto"/>
            </w:tcBorders>
            <w:vAlign w:val="center"/>
            <w:hideMark/>
          </w:tcPr>
          <w:p w14:paraId="1151537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€1,500,000</w:t>
            </w:r>
          </w:p>
        </w:tc>
      </w:tr>
    </w:tbl>
    <w:p w14:paraId="146CD56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Baseline Breakeven Calculation (Units):</w:t>
      </w:r>
    </w:p>
    <w:p w14:paraId="2E43DE4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B.E.P. (Units)} = \frac{F}{CM} = \</w:t>
      </w:r>
      <w:proofErr w:type="gramStart"/>
      <w:r w:rsidRPr="0000409E">
        <w:rPr>
          <w:rFonts w:ascii="Times New Roman" w:hAnsi="Times New Roman" w:cs="Times New Roman"/>
          <w:sz w:val="24"/>
          <w:szCs w:val="24"/>
          <w:lang w:val="en-IN"/>
        </w:rPr>
        <w:t>frac{</w:t>
      </w:r>
      <w:proofErr w:type="gramEnd"/>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1,500,000}{</w:t>
      </w:r>
      <w:proofErr w:type="gramEnd"/>
      <w:r w:rsidRPr="0000409E">
        <w:rPr>
          <w:rFonts w:ascii="Times New Roman" w:hAnsi="Times New Roman" w:cs="Times New Roman"/>
          <w:sz w:val="24"/>
          <w:szCs w:val="24"/>
          <w:lang w:val="en-IN"/>
        </w:rPr>
        <w:t>€60} = 25,000 \</w:t>
      </w:r>
      <w:proofErr w:type="gramStart"/>
      <w:r w:rsidRPr="0000409E">
        <w:rPr>
          <w:rFonts w:ascii="Times New Roman" w:hAnsi="Times New Roman" w:cs="Times New Roman"/>
          <w:sz w:val="24"/>
          <w:szCs w:val="24"/>
          <w:lang w:val="en-IN"/>
        </w:rPr>
        <w:t>text{ Units</w:t>
      </w:r>
      <w:proofErr w:type="gramEnd"/>
      <w:r w:rsidRPr="0000409E">
        <w:rPr>
          <w:rFonts w:ascii="Times New Roman" w:hAnsi="Times New Roman" w:cs="Times New Roman"/>
          <w:sz w:val="24"/>
          <w:szCs w:val="24"/>
          <w:lang w:val="en-IN"/>
        </w:rPr>
        <w:t>}$$</w:t>
      </w:r>
    </w:p>
    <w:p w14:paraId="7CB25DE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Promotional Pricing Scenario (During Christmas):</w:t>
      </w:r>
    </w:p>
    <w:p w14:paraId="61C904D0"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Assume the retailer implements a 25% price discount (reducing $P$ to €75) and, due to seasonal </w:t>
      </w:r>
      <w:proofErr w:type="spellStart"/>
      <w:r w:rsidRPr="0000409E">
        <w:rPr>
          <w:rFonts w:ascii="Times New Roman" w:hAnsi="Times New Roman" w:cs="Times New Roman"/>
          <w:sz w:val="24"/>
          <w:szCs w:val="24"/>
          <w:lang w:val="en-IN"/>
        </w:rPr>
        <w:t>labor</w:t>
      </w:r>
      <w:proofErr w:type="spellEnd"/>
      <w:r w:rsidRPr="0000409E">
        <w:rPr>
          <w:rFonts w:ascii="Times New Roman" w:hAnsi="Times New Roman" w:cs="Times New Roman"/>
          <w:sz w:val="24"/>
          <w:szCs w:val="24"/>
          <w:lang w:val="en-IN"/>
        </w:rPr>
        <w:t xml:space="preserve"> and logistics costs, the Variable Cost per Unit $(V)$ increases to €45. Additionally, seasonal marketing and temporary facilities raise Total Fixed Costs $(F)$ to €1,800,000.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02"/>
        <w:gridCol w:w="1185"/>
      </w:tblGrid>
      <w:tr w:rsidR="0000409E" w:rsidRPr="0000409E" w14:paraId="1164D738"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7CA8BA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Component (Promotional)</w:t>
            </w:r>
          </w:p>
        </w:tc>
        <w:tc>
          <w:tcPr>
            <w:tcW w:w="0" w:type="auto"/>
            <w:tcBorders>
              <w:top w:val="single" w:sz="6" w:space="0" w:color="auto"/>
              <w:left w:val="single" w:sz="6" w:space="0" w:color="auto"/>
              <w:bottom w:val="single" w:sz="6" w:space="0" w:color="auto"/>
              <w:right w:val="single" w:sz="6" w:space="0" w:color="auto"/>
            </w:tcBorders>
            <w:vAlign w:val="center"/>
            <w:hideMark/>
          </w:tcPr>
          <w:p w14:paraId="305D968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Value</w:t>
            </w:r>
          </w:p>
        </w:tc>
      </w:tr>
      <w:tr w:rsidR="0000409E" w:rsidRPr="0000409E" w14:paraId="280862F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4A143D4"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Selling Price Per Unit $(P_{\text{new}</w:t>
            </w:r>
            <w:proofErr w:type="gramStart"/>
            <w:r w:rsidRPr="0000409E">
              <w:rPr>
                <w:rFonts w:ascii="Times New Roman" w:hAnsi="Times New Roman" w:cs="Times New Roman"/>
                <w:sz w:val="24"/>
                <w:szCs w:val="24"/>
                <w:lang w:val="en-IN"/>
              </w:rPr>
              <w:t>})$</w:t>
            </w:r>
            <w:proofErr w:type="gramEnd"/>
          </w:p>
        </w:tc>
        <w:tc>
          <w:tcPr>
            <w:tcW w:w="0" w:type="auto"/>
            <w:tcBorders>
              <w:top w:val="single" w:sz="6" w:space="0" w:color="auto"/>
              <w:left w:val="single" w:sz="6" w:space="0" w:color="auto"/>
              <w:bottom w:val="single" w:sz="6" w:space="0" w:color="auto"/>
              <w:right w:val="single" w:sz="6" w:space="0" w:color="auto"/>
            </w:tcBorders>
            <w:vAlign w:val="center"/>
            <w:hideMark/>
          </w:tcPr>
          <w:p w14:paraId="19B3F69B"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€75</w:t>
            </w:r>
          </w:p>
        </w:tc>
      </w:tr>
      <w:tr w:rsidR="0000409E" w:rsidRPr="0000409E" w14:paraId="77538D2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4C867B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Variable Cost Per Unit $(V_{\text{new}</w:t>
            </w:r>
            <w:proofErr w:type="gramStart"/>
            <w:r w:rsidRPr="0000409E">
              <w:rPr>
                <w:rFonts w:ascii="Times New Roman" w:hAnsi="Times New Roman" w:cs="Times New Roman"/>
                <w:sz w:val="24"/>
                <w:szCs w:val="24"/>
                <w:lang w:val="en-IN"/>
              </w:rPr>
              <w:t>})$</w:t>
            </w:r>
            <w:proofErr w:type="gramEnd"/>
          </w:p>
        </w:tc>
        <w:tc>
          <w:tcPr>
            <w:tcW w:w="0" w:type="auto"/>
            <w:tcBorders>
              <w:top w:val="single" w:sz="6" w:space="0" w:color="auto"/>
              <w:left w:val="single" w:sz="6" w:space="0" w:color="auto"/>
              <w:bottom w:val="single" w:sz="6" w:space="0" w:color="auto"/>
              <w:right w:val="single" w:sz="6" w:space="0" w:color="auto"/>
            </w:tcBorders>
            <w:vAlign w:val="center"/>
            <w:hideMark/>
          </w:tcPr>
          <w:p w14:paraId="774042E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€45</w:t>
            </w:r>
          </w:p>
        </w:tc>
      </w:tr>
      <w:tr w:rsidR="0000409E" w:rsidRPr="0000409E" w14:paraId="5BF7F85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B5C01E4"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Contribution Margin Per Unit $(CM_{\text{new}</w:t>
            </w:r>
            <w:proofErr w:type="gramStart"/>
            <w:r w:rsidRPr="0000409E">
              <w:rPr>
                <w:rFonts w:ascii="Times New Roman" w:hAnsi="Times New Roman" w:cs="Times New Roman"/>
                <w:sz w:val="24"/>
                <w:szCs w:val="24"/>
                <w:lang w:val="en-IN"/>
              </w:rPr>
              <w:t>})$</w:t>
            </w:r>
            <w:proofErr w:type="gramEnd"/>
          </w:p>
        </w:tc>
        <w:tc>
          <w:tcPr>
            <w:tcW w:w="0" w:type="auto"/>
            <w:tcBorders>
              <w:top w:val="single" w:sz="6" w:space="0" w:color="auto"/>
              <w:left w:val="single" w:sz="6" w:space="0" w:color="auto"/>
              <w:bottom w:val="single" w:sz="6" w:space="0" w:color="auto"/>
              <w:right w:val="single" w:sz="6" w:space="0" w:color="auto"/>
            </w:tcBorders>
            <w:vAlign w:val="center"/>
            <w:hideMark/>
          </w:tcPr>
          <w:p w14:paraId="73C15C1F"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€30</w:t>
            </w:r>
          </w:p>
        </w:tc>
      </w:tr>
      <w:tr w:rsidR="0000409E" w:rsidRPr="0000409E" w14:paraId="17E2970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2FFDF3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Total Fixed Costs $(F_{\text{new}</w:t>
            </w:r>
            <w:proofErr w:type="gramStart"/>
            <w:r w:rsidRPr="0000409E">
              <w:rPr>
                <w:rFonts w:ascii="Times New Roman" w:hAnsi="Times New Roman" w:cs="Times New Roman"/>
                <w:sz w:val="24"/>
                <w:szCs w:val="24"/>
                <w:lang w:val="en-IN"/>
              </w:rPr>
              <w:t>})$</w:t>
            </w:r>
            <w:proofErr w:type="gramEnd"/>
          </w:p>
        </w:tc>
        <w:tc>
          <w:tcPr>
            <w:tcW w:w="0" w:type="auto"/>
            <w:tcBorders>
              <w:top w:val="single" w:sz="6" w:space="0" w:color="auto"/>
              <w:left w:val="single" w:sz="6" w:space="0" w:color="auto"/>
              <w:bottom w:val="single" w:sz="6" w:space="0" w:color="auto"/>
              <w:right w:val="single" w:sz="6" w:space="0" w:color="auto"/>
            </w:tcBorders>
            <w:vAlign w:val="center"/>
            <w:hideMark/>
          </w:tcPr>
          <w:p w14:paraId="3D238CF0"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€1,800,000</w:t>
            </w:r>
          </w:p>
        </w:tc>
      </w:tr>
    </w:tbl>
    <w:p w14:paraId="6AC79D3C"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Promotional Breakeven Calculation (Units):</w:t>
      </w:r>
    </w:p>
    <w:p w14:paraId="06E7F68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B.E.P. (Units</w:t>
      </w:r>
      <w:proofErr w:type="gramStart"/>
      <w:r w:rsidRPr="0000409E">
        <w:rPr>
          <w:rFonts w:ascii="Times New Roman" w:hAnsi="Times New Roman" w:cs="Times New Roman"/>
          <w:sz w:val="24"/>
          <w:szCs w:val="24"/>
          <w:lang w:val="en-IN"/>
        </w:rPr>
        <w:t>)}_</w:t>
      </w:r>
      <w:proofErr w:type="gramEnd"/>
      <w:r w:rsidRPr="0000409E">
        <w:rPr>
          <w:rFonts w:ascii="Times New Roman" w:hAnsi="Times New Roman" w:cs="Times New Roman"/>
          <w:sz w:val="24"/>
          <w:szCs w:val="24"/>
          <w:lang w:val="en-IN"/>
        </w:rPr>
        <w:t>{\text{new}} = \frac{F_{\text{new}</w:t>
      </w:r>
      <w:proofErr w:type="gramStart"/>
      <w:r w:rsidRPr="0000409E">
        <w:rPr>
          <w:rFonts w:ascii="Times New Roman" w:hAnsi="Times New Roman" w:cs="Times New Roman"/>
          <w:sz w:val="24"/>
          <w:szCs w:val="24"/>
          <w:lang w:val="en-IN"/>
        </w:rPr>
        <w:t>}}{</w:t>
      </w:r>
      <w:proofErr w:type="gramEnd"/>
      <w:r w:rsidRPr="0000409E">
        <w:rPr>
          <w:rFonts w:ascii="Times New Roman" w:hAnsi="Times New Roman" w:cs="Times New Roman"/>
          <w:sz w:val="24"/>
          <w:szCs w:val="24"/>
          <w:lang w:val="en-IN"/>
        </w:rPr>
        <w:t>CM_{\text{new}}} = \</w:t>
      </w:r>
      <w:proofErr w:type="gramStart"/>
      <w:r w:rsidRPr="0000409E">
        <w:rPr>
          <w:rFonts w:ascii="Times New Roman" w:hAnsi="Times New Roman" w:cs="Times New Roman"/>
          <w:sz w:val="24"/>
          <w:szCs w:val="24"/>
          <w:lang w:val="en-IN"/>
        </w:rPr>
        <w:t>frac{</w:t>
      </w:r>
      <w:proofErr w:type="gramEnd"/>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1,800,000}{</w:t>
      </w:r>
      <w:proofErr w:type="gramEnd"/>
      <w:r w:rsidRPr="0000409E">
        <w:rPr>
          <w:rFonts w:ascii="Times New Roman" w:hAnsi="Times New Roman" w:cs="Times New Roman"/>
          <w:sz w:val="24"/>
          <w:szCs w:val="24"/>
          <w:lang w:val="en-IN"/>
        </w:rPr>
        <w:t>€30} = 60,000 \</w:t>
      </w:r>
      <w:proofErr w:type="gramStart"/>
      <w:r w:rsidRPr="0000409E">
        <w:rPr>
          <w:rFonts w:ascii="Times New Roman" w:hAnsi="Times New Roman" w:cs="Times New Roman"/>
          <w:sz w:val="24"/>
          <w:szCs w:val="24"/>
          <w:lang w:val="en-IN"/>
        </w:rPr>
        <w:t>text{ Units</w:t>
      </w:r>
      <w:proofErr w:type="gramEnd"/>
      <w:r w:rsidRPr="0000409E">
        <w:rPr>
          <w:rFonts w:ascii="Times New Roman" w:hAnsi="Times New Roman" w:cs="Times New Roman"/>
          <w:sz w:val="24"/>
          <w:szCs w:val="24"/>
          <w:lang w:val="en-IN"/>
        </w:rPr>
        <w:t>}$$</w:t>
      </w:r>
    </w:p>
    <w:p w14:paraId="0BE8F934"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Finding 1: The Volume Hurdle.</w:t>
      </w:r>
    </w:p>
    <w:p w14:paraId="03ACEBC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C-V-P analysis clearly shows that the combination of reduced selling price, increased variable costs, and higher fixed costs necessitates a dramatic increase in sales volume. The retailer must sell 60,000 units during the promotional period, which is 2.4 times the volume required during the baseline period, just to break even. This quantitative measure of the volume hurdle is the critical output of C-V-P analysis, enabling management to assess if the market demand and inventory capacity are sufficient to warrant the promotional risk.</w:t>
      </w:r>
    </w:p>
    <w:p w14:paraId="1BDEDBE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7.2. Scenario 2: Hospitality Bundle Pricing and Contribution Margin Maximization</w:t>
      </w:r>
    </w:p>
    <w:p w14:paraId="4FA640B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hospitality industry (e.g., hotels, resorts) frequently utilizes bundle pricing during Christmas (e.g., a three-night stay including a gala dinner and spa access) to maximize revenue per available room-night. This strategy manages demand and efficiently utilizes fixed capacity.</w:t>
      </w:r>
    </w:p>
    <w:p w14:paraId="380DC7F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Model Data: Christmas Gala Package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24"/>
        <w:gridCol w:w="1063"/>
        <w:gridCol w:w="1699"/>
      </w:tblGrid>
      <w:tr w:rsidR="0000409E" w:rsidRPr="0000409E" w14:paraId="260AECE3"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3BCD82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Component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7EBDE57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Cost Type</w:t>
            </w:r>
          </w:p>
        </w:tc>
        <w:tc>
          <w:tcPr>
            <w:tcW w:w="0" w:type="auto"/>
            <w:tcBorders>
              <w:top w:val="single" w:sz="6" w:space="0" w:color="auto"/>
              <w:left w:val="single" w:sz="6" w:space="0" w:color="auto"/>
              <w:bottom w:val="single" w:sz="6" w:space="0" w:color="auto"/>
              <w:right w:val="single" w:sz="6" w:space="0" w:color="auto"/>
            </w:tcBorders>
            <w:vAlign w:val="center"/>
            <w:hideMark/>
          </w:tcPr>
          <w:p w14:paraId="56195CD3"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Value</w:t>
            </w:r>
          </w:p>
        </w:tc>
      </w:tr>
      <w:tr w:rsidR="0000409E" w:rsidRPr="0000409E" w14:paraId="1645C4E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C2E78F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Package Selling Price $(P)$</w:t>
            </w:r>
          </w:p>
        </w:tc>
        <w:tc>
          <w:tcPr>
            <w:tcW w:w="0" w:type="auto"/>
            <w:tcBorders>
              <w:top w:val="single" w:sz="6" w:space="0" w:color="auto"/>
              <w:left w:val="single" w:sz="6" w:space="0" w:color="auto"/>
              <w:bottom w:val="single" w:sz="6" w:space="0" w:color="auto"/>
              <w:right w:val="single" w:sz="6" w:space="0" w:color="auto"/>
            </w:tcBorders>
            <w:vAlign w:val="center"/>
            <w:hideMark/>
          </w:tcPr>
          <w:p w14:paraId="6DE34D8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Revenue</w:t>
            </w:r>
          </w:p>
        </w:tc>
        <w:tc>
          <w:tcPr>
            <w:tcW w:w="0" w:type="auto"/>
            <w:tcBorders>
              <w:top w:val="single" w:sz="6" w:space="0" w:color="auto"/>
              <w:left w:val="single" w:sz="6" w:space="0" w:color="auto"/>
              <w:bottom w:val="single" w:sz="6" w:space="0" w:color="auto"/>
              <w:right w:val="single" w:sz="6" w:space="0" w:color="auto"/>
            </w:tcBorders>
            <w:vAlign w:val="center"/>
            <w:hideMark/>
          </w:tcPr>
          <w:p w14:paraId="442338C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€1,200 per guest</w:t>
            </w:r>
          </w:p>
        </w:tc>
      </w:tr>
      <w:tr w:rsidR="0000409E" w:rsidRPr="0000409E" w14:paraId="6621510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D9F4B2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Variable Costs (Food, beverages, small gift) $(V)$</w:t>
            </w:r>
          </w:p>
        </w:tc>
        <w:tc>
          <w:tcPr>
            <w:tcW w:w="0" w:type="auto"/>
            <w:tcBorders>
              <w:top w:val="single" w:sz="6" w:space="0" w:color="auto"/>
              <w:left w:val="single" w:sz="6" w:space="0" w:color="auto"/>
              <w:bottom w:val="single" w:sz="6" w:space="0" w:color="auto"/>
              <w:right w:val="single" w:sz="6" w:space="0" w:color="auto"/>
            </w:tcBorders>
            <w:vAlign w:val="center"/>
            <w:hideMark/>
          </w:tcPr>
          <w:p w14:paraId="3313C9D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Variable</w:t>
            </w:r>
          </w:p>
        </w:tc>
        <w:tc>
          <w:tcPr>
            <w:tcW w:w="0" w:type="auto"/>
            <w:tcBorders>
              <w:top w:val="single" w:sz="6" w:space="0" w:color="auto"/>
              <w:left w:val="single" w:sz="6" w:space="0" w:color="auto"/>
              <w:bottom w:val="single" w:sz="6" w:space="0" w:color="auto"/>
              <w:right w:val="single" w:sz="6" w:space="0" w:color="auto"/>
            </w:tcBorders>
            <w:vAlign w:val="center"/>
            <w:hideMark/>
          </w:tcPr>
          <w:p w14:paraId="1933752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€300 per guest</w:t>
            </w:r>
          </w:p>
        </w:tc>
      </w:tr>
      <w:tr w:rsidR="0000409E" w:rsidRPr="0000409E" w14:paraId="3F1C707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72E2B7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Contribution Margin Per Guest $(CM)$</w:t>
            </w:r>
          </w:p>
        </w:tc>
        <w:tc>
          <w:tcPr>
            <w:tcW w:w="0" w:type="auto"/>
            <w:tcBorders>
              <w:top w:val="single" w:sz="6" w:space="0" w:color="auto"/>
              <w:left w:val="single" w:sz="6" w:space="0" w:color="auto"/>
              <w:bottom w:val="single" w:sz="6" w:space="0" w:color="auto"/>
              <w:right w:val="single" w:sz="6" w:space="0" w:color="auto"/>
            </w:tcBorders>
            <w:vAlign w:val="center"/>
            <w:hideMark/>
          </w:tcPr>
          <w:p w14:paraId="31458D3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CM</w:t>
            </w:r>
          </w:p>
        </w:tc>
        <w:tc>
          <w:tcPr>
            <w:tcW w:w="0" w:type="auto"/>
            <w:tcBorders>
              <w:top w:val="single" w:sz="6" w:space="0" w:color="auto"/>
              <w:left w:val="single" w:sz="6" w:space="0" w:color="auto"/>
              <w:bottom w:val="single" w:sz="6" w:space="0" w:color="auto"/>
              <w:right w:val="single" w:sz="6" w:space="0" w:color="auto"/>
            </w:tcBorders>
            <w:vAlign w:val="center"/>
            <w:hideMark/>
          </w:tcPr>
          <w:p w14:paraId="5446E71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€900</w:t>
            </w:r>
          </w:p>
        </w:tc>
      </w:tr>
      <w:tr w:rsidR="0000409E" w:rsidRPr="0000409E" w14:paraId="77D53A6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112680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Fixed Costs (Venue Setup, Entertainment, Decorations) $(F)$</w:t>
            </w:r>
          </w:p>
        </w:tc>
        <w:tc>
          <w:tcPr>
            <w:tcW w:w="0" w:type="auto"/>
            <w:tcBorders>
              <w:top w:val="single" w:sz="6" w:space="0" w:color="auto"/>
              <w:left w:val="single" w:sz="6" w:space="0" w:color="auto"/>
              <w:bottom w:val="single" w:sz="6" w:space="0" w:color="auto"/>
              <w:right w:val="single" w:sz="6" w:space="0" w:color="auto"/>
            </w:tcBorders>
            <w:vAlign w:val="center"/>
            <w:hideMark/>
          </w:tcPr>
          <w:p w14:paraId="7A2DD19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Fixed</w:t>
            </w:r>
          </w:p>
        </w:tc>
        <w:tc>
          <w:tcPr>
            <w:tcW w:w="0" w:type="auto"/>
            <w:tcBorders>
              <w:top w:val="single" w:sz="6" w:space="0" w:color="auto"/>
              <w:left w:val="single" w:sz="6" w:space="0" w:color="auto"/>
              <w:bottom w:val="single" w:sz="6" w:space="0" w:color="auto"/>
              <w:right w:val="single" w:sz="6" w:space="0" w:color="auto"/>
            </w:tcBorders>
            <w:vAlign w:val="center"/>
            <w:hideMark/>
          </w:tcPr>
          <w:p w14:paraId="4ACEBA7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€180,000</w:t>
            </w:r>
          </w:p>
        </w:tc>
      </w:tr>
    </w:tbl>
    <w:p w14:paraId="4A2F72D0"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If the hotel sets a Target Profit of €270,000 for the package event, the C-V-P model dictates the number of guests required:</w:t>
      </w:r>
    </w:p>
    <w:p w14:paraId="1954824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Target Sales Volume Calculation (Guests):</w:t>
      </w:r>
    </w:p>
    <w:p w14:paraId="5A16F380"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Target Sales Volume} = \</w:t>
      </w:r>
      <w:proofErr w:type="gramStart"/>
      <w:r w:rsidRPr="0000409E">
        <w:rPr>
          <w:rFonts w:ascii="Times New Roman" w:hAnsi="Times New Roman" w:cs="Times New Roman"/>
          <w:sz w:val="24"/>
          <w:szCs w:val="24"/>
          <w:lang w:val="en-IN"/>
        </w:rPr>
        <w:t>frac{</w:t>
      </w:r>
      <w:proofErr w:type="gramEnd"/>
      <w:r w:rsidRPr="0000409E">
        <w:rPr>
          <w:rFonts w:ascii="Times New Roman" w:hAnsi="Times New Roman" w:cs="Times New Roman"/>
          <w:sz w:val="24"/>
          <w:szCs w:val="24"/>
          <w:lang w:val="en-IN"/>
        </w:rPr>
        <w:t>F + \</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Target Profit</w:t>
      </w:r>
      <w:proofErr w:type="gramStart"/>
      <w:r w:rsidRPr="0000409E">
        <w:rPr>
          <w:rFonts w:ascii="Times New Roman" w:hAnsi="Times New Roman" w:cs="Times New Roman"/>
          <w:sz w:val="24"/>
          <w:szCs w:val="24"/>
          <w:lang w:val="en-IN"/>
        </w:rPr>
        <w:t>}}{</w:t>
      </w:r>
      <w:proofErr w:type="gramEnd"/>
      <w:r w:rsidRPr="0000409E">
        <w:rPr>
          <w:rFonts w:ascii="Times New Roman" w:hAnsi="Times New Roman" w:cs="Times New Roman"/>
          <w:sz w:val="24"/>
          <w:szCs w:val="24"/>
          <w:lang w:val="en-IN"/>
        </w:rPr>
        <w:t>CM} = \</w:t>
      </w:r>
      <w:proofErr w:type="gramStart"/>
      <w:r w:rsidRPr="0000409E">
        <w:rPr>
          <w:rFonts w:ascii="Times New Roman" w:hAnsi="Times New Roman" w:cs="Times New Roman"/>
          <w:sz w:val="24"/>
          <w:szCs w:val="24"/>
          <w:lang w:val="en-IN"/>
        </w:rPr>
        <w:t>frac{</w:t>
      </w:r>
      <w:proofErr w:type="gramEnd"/>
      <w:r w:rsidRPr="0000409E">
        <w:rPr>
          <w:rFonts w:ascii="Times New Roman" w:hAnsi="Times New Roman" w:cs="Times New Roman"/>
          <w:sz w:val="24"/>
          <w:szCs w:val="24"/>
          <w:lang w:val="en-IN"/>
        </w:rPr>
        <w:t>€180,000 + €</w:t>
      </w:r>
      <w:proofErr w:type="gramStart"/>
      <w:r w:rsidRPr="0000409E">
        <w:rPr>
          <w:rFonts w:ascii="Times New Roman" w:hAnsi="Times New Roman" w:cs="Times New Roman"/>
          <w:sz w:val="24"/>
          <w:szCs w:val="24"/>
          <w:lang w:val="en-IN"/>
        </w:rPr>
        <w:t>270,000}{</w:t>
      </w:r>
      <w:proofErr w:type="gramEnd"/>
      <w:r w:rsidRPr="0000409E">
        <w:rPr>
          <w:rFonts w:ascii="Times New Roman" w:hAnsi="Times New Roman" w:cs="Times New Roman"/>
          <w:sz w:val="24"/>
          <w:szCs w:val="24"/>
          <w:lang w:val="en-IN"/>
        </w:rPr>
        <w:t>€900} = 500 \</w:t>
      </w:r>
      <w:proofErr w:type="gramStart"/>
      <w:r w:rsidRPr="0000409E">
        <w:rPr>
          <w:rFonts w:ascii="Times New Roman" w:hAnsi="Times New Roman" w:cs="Times New Roman"/>
          <w:sz w:val="24"/>
          <w:szCs w:val="24"/>
          <w:lang w:val="en-IN"/>
        </w:rPr>
        <w:t>text{ Guests</w:t>
      </w:r>
      <w:proofErr w:type="gramEnd"/>
      <w:r w:rsidRPr="0000409E">
        <w:rPr>
          <w:rFonts w:ascii="Times New Roman" w:hAnsi="Times New Roman" w:cs="Times New Roman"/>
          <w:sz w:val="24"/>
          <w:szCs w:val="24"/>
          <w:lang w:val="en-IN"/>
        </w:rPr>
        <w:t>}$$</w:t>
      </w:r>
    </w:p>
    <w:p w14:paraId="3D884C3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Finding 2: Strategic Cost Absorption.</w:t>
      </w:r>
    </w:p>
    <w:p w14:paraId="30DFD3B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For the hospitality sector, C-V-P analysis confirms that the primary strategic goal is the efficient absorption of high fixed capacity costs. The €180,000 in fixed costs for entertainment and venue preparation is substantial, but the high-margin bundle pricing ensures that these costs are rapidly covered, allowing the remaining contribution margin from the 500 guests to immediately generate the target profit. This demonstrates how pricing strategy, guided by C-V-P, shifts from being purely a sales tool to a powerful capacity utilization and cost absorption tool.</w:t>
      </w:r>
    </w:p>
    <w:p w14:paraId="15C9B3C7" w14:textId="2B8C950E"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7.3. Cost </w:t>
      </w:r>
      <w:r w:rsidR="00C303F9" w:rsidRPr="003737CB">
        <w:rPr>
          <w:rFonts w:ascii="Times New Roman" w:hAnsi="Times New Roman" w:cs="Times New Roman"/>
          <w:sz w:val="24"/>
          <w:szCs w:val="24"/>
          <w:lang w:val="en-IN"/>
        </w:rPr>
        <w:t>Behaviour</w:t>
      </w:r>
      <w:r w:rsidRPr="0000409E">
        <w:rPr>
          <w:rFonts w:ascii="Times New Roman" w:hAnsi="Times New Roman" w:cs="Times New Roman"/>
          <w:sz w:val="24"/>
          <w:szCs w:val="24"/>
          <w:lang w:val="en-IN"/>
        </w:rPr>
        <w:t xml:space="preserve"> Analysis: Identifying Step-Variable Costs</w:t>
      </w:r>
    </w:p>
    <w:p w14:paraId="760297C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A key finding when applying C-V-P to Christmas data is the prevalence of Step-Variable Costs, which violates the C-V-P assumption of linear variable costs.</w:t>
      </w:r>
    </w:p>
    <w:p w14:paraId="5C85C03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Case Example: Retail Staffing.</w:t>
      </w:r>
    </w:p>
    <w:p w14:paraId="122C528E" w14:textId="62F16FC5"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 xml:space="preserve">A major retail chain may operate with 10 full-time staff (Fixed Labor Cost) during normal months. At the start of the holiday rush, they hire 10 temporary staff. When sales volume exceeds a certain threshold (e.g., 5,000 transactions per week), a new layer of management or a third shift is required, adding another lump sum of semi-fixed </w:t>
      </w:r>
      <w:r w:rsidR="009F2C7B" w:rsidRPr="003737CB">
        <w:rPr>
          <w:rFonts w:ascii="Times New Roman" w:hAnsi="Times New Roman" w:cs="Times New Roman"/>
          <w:sz w:val="24"/>
          <w:szCs w:val="24"/>
          <w:lang w:val="en-IN"/>
        </w:rPr>
        <w:t>labour</w:t>
      </w:r>
      <w:r w:rsidRPr="0000409E">
        <w:rPr>
          <w:rFonts w:ascii="Times New Roman" w:hAnsi="Times New Roman" w:cs="Times New Roman"/>
          <w:sz w:val="24"/>
          <w:szCs w:val="24"/>
          <w:lang w:val="en-IN"/>
        </w:rPr>
        <w:t xml:space="preserve"> cost.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59"/>
        <w:gridCol w:w="5051"/>
      </w:tblGrid>
      <w:tr w:rsidR="0000409E" w:rsidRPr="0000409E" w14:paraId="4603AED5"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967D120"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Volume Range (Transactions)</w:t>
            </w:r>
          </w:p>
        </w:tc>
        <w:tc>
          <w:tcPr>
            <w:tcW w:w="0" w:type="auto"/>
            <w:tcBorders>
              <w:top w:val="single" w:sz="6" w:space="0" w:color="auto"/>
              <w:left w:val="single" w:sz="6" w:space="0" w:color="auto"/>
              <w:bottom w:val="single" w:sz="6" w:space="0" w:color="auto"/>
              <w:right w:val="single" w:sz="6" w:space="0" w:color="auto"/>
            </w:tcBorders>
            <w:vAlign w:val="center"/>
            <w:hideMark/>
          </w:tcPr>
          <w:p w14:paraId="2ECE93A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Labor Cost (Fixed Component)</w:t>
            </w:r>
          </w:p>
        </w:tc>
      </w:tr>
      <w:tr w:rsidR="0000409E" w:rsidRPr="0000409E" w14:paraId="105538C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6570590"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0 – 5,000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237D132C"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€50,000 (Base Staff)</w:t>
            </w:r>
          </w:p>
        </w:tc>
      </w:tr>
      <w:tr w:rsidR="0000409E" w:rsidRPr="0000409E" w14:paraId="6B8FB8E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06F1FA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5,001 – 10,000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321F085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€85,000 (Base + Seasonal Staff)</w:t>
            </w:r>
          </w:p>
        </w:tc>
      </w:tr>
      <w:tr w:rsidR="0000409E" w:rsidRPr="0000409E" w14:paraId="1F44C2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3B6A60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10,001 – 15,000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110C487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€125,000 (Base + Seasonal Staff + Shift Managers)</w:t>
            </w:r>
          </w:p>
        </w:tc>
      </w:tr>
    </w:tbl>
    <w:p w14:paraId="2BEAE285" w14:textId="5462020B"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This step-cost </w:t>
      </w:r>
      <w:r w:rsidR="009F2C7B" w:rsidRPr="003737CB">
        <w:rPr>
          <w:rFonts w:ascii="Times New Roman" w:hAnsi="Times New Roman" w:cs="Times New Roman"/>
          <w:sz w:val="24"/>
          <w:szCs w:val="24"/>
          <w:lang w:val="en-IN"/>
        </w:rPr>
        <w:t>behaviour</w:t>
      </w:r>
      <w:r w:rsidRPr="0000409E">
        <w:rPr>
          <w:rFonts w:ascii="Times New Roman" w:hAnsi="Times New Roman" w:cs="Times New Roman"/>
          <w:sz w:val="24"/>
          <w:szCs w:val="24"/>
          <w:lang w:val="en-IN"/>
        </w:rPr>
        <w:t xml:space="preserve"> necessitates a revision of the C-V-P model at different volume levels. Management must use a segmented C-V-P chart, calculating a new Breakeven Point whenever a new step-cost threshold is crossed. This highlights the critical need for management to continuously monitor volume in relation to fixed cost thresholds, rather than relying on a static annual budget figure.</w:t>
      </w:r>
    </w:p>
    <w:p w14:paraId="6D00C7D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In summary, the application of C-V-P analysis confirms that Christmas pricing strategies are not random sales promotions but calculated risks. They require management to accurately model the effect of price reductions on contribution margin and to ensure the capacity and market demand exist to achieve the significantly elevated breakeven and target profit volumes dictated by the revised cost structure.</w:t>
      </w:r>
    </w:p>
    <w:p w14:paraId="51FFF79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pict w14:anchorId="222954BA">
          <v:rect id="_x0000_i1310" style="width:0;height:1.5pt" o:hralign="center" o:hrstd="t" o:hr="t" fillcolor="#a0a0a0" stroked="f"/>
        </w:pict>
      </w:r>
    </w:p>
    <w:p w14:paraId="63CA76BB" w14:textId="0058D05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8. Discussion: Evaluation of Strategic Pricing and C-V-P Limitations</w:t>
      </w:r>
      <w:r w:rsidR="009F2C7B" w:rsidRPr="003737CB">
        <w:rPr>
          <w:rFonts w:ascii="Times New Roman" w:hAnsi="Times New Roman" w:cs="Times New Roman"/>
          <w:sz w:val="24"/>
          <w:szCs w:val="24"/>
          <w:lang w:val="en-IN"/>
        </w:rPr>
        <w:t>: -</w:t>
      </w:r>
    </w:p>
    <w:p w14:paraId="6939CF14"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The findings demonstrate that Cost-Volume-Profit analysis provides a clear, quantitative basis for setting and evaluating Christmas pricing strategies. However, the unique, volatile operational environment of the peak season necessitates a critical review of the underlying assumptions of the C-V-P model and an appreciation for innovative, revenue-focused strategies as forms of cost management.</w:t>
      </w:r>
    </w:p>
    <w:p w14:paraId="69CA28B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8.1. Critical Evaluation of C-V-P Assumptions in Non-Linear Christmas Costs (Criterion 2)</w:t>
      </w:r>
    </w:p>
    <w:p w14:paraId="0B89481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While C-V-P is powerful, its inherent simplicity often clashes with the complexity of Christmas operations. The two most violated assumptions are:</w:t>
      </w:r>
    </w:p>
    <w:p w14:paraId="2C9EFF4F"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Linearity of Costs and Revenues</w:t>
      </w:r>
    </w:p>
    <w:p w14:paraId="6AB53D95" w14:textId="00EBE1B6"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C-V-P assumes that costs and revenues are linear within the relevant range. As established in the findings, the Christmas season often forces operations </w:t>
      </w:r>
      <w:r w:rsidRPr="0000409E">
        <w:rPr>
          <w:rFonts w:ascii="Times New Roman" w:hAnsi="Times New Roman" w:cs="Times New Roman"/>
          <w:i/>
          <w:iCs/>
          <w:sz w:val="24"/>
          <w:szCs w:val="24"/>
          <w:lang w:val="en-IN"/>
        </w:rPr>
        <w:t>outside</w:t>
      </w:r>
      <w:r w:rsidRPr="0000409E">
        <w:rPr>
          <w:rFonts w:ascii="Times New Roman" w:hAnsi="Times New Roman" w:cs="Times New Roman"/>
          <w:sz w:val="24"/>
          <w:szCs w:val="24"/>
          <w:lang w:val="en-IN"/>
        </w:rPr>
        <w:t xml:space="preserve"> the normal relevant range. The presence of step-variable costs (</w:t>
      </w:r>
      <w:r w:rsidR="009F2C7B" w:rsidRPr="003737CB">
        <w:rPr>
          <w:rFonts w:ascii="Times New Roman" w:hAnsi="Times New Roman" w:cs="Times New Roman"/>
          <w:sz w:val="24"/>
          <w:szCs w:val="24"/>
          <w:lang w:val="en-IN"/>
        </w:rPr>
        <w:t>labour</w:t>
      </w:r>
      <w:r w:rsidRPr="0000409E">
        <w:rPr>
          <w:rFonts w:ascii="Times New Roman" w:hAnsi="Times New Roman" w:cs="Times New Roman"/>
          <w:sz w:val="24"/>
          <w:szCs w:val="24"/>
          <w:lang w:val="en-IN"/>
        </w:rPr>
        <w:t>, logistics) means that the $\</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Total Fixed Costs} (F)$ term in the formula is not a single, static figure but a dynamic variable that changes with volume thresholds. For accurate decision-making, managers must use a multiple-period C-V-P analysis or adjust the fixed cost component for each anticipated sales level. Failure to do so leads to an underestimation of the true Breakeven Point at high sales volumes.</w:t>
      </w:r>
    </w:p>
    <w:p w14:paraId="46086CB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Constant Sales Mix</w:t>
      </w:r>
    </w:p>
    <w:p w14:paraId="4C3ED443"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C-V-P assumes that if a business sells multiple products, the mix (proportion of sales for each product) remains constant. During Christmas, the sales mix is highly skewed toward gifting, higher-margin promotional items, or specific bundled packages. This dramatically changes the Weighted-Average Contribution Margin (WACM) used in multi-product C-V-P calculations. A </w:t>
      </w:r>
      <w:r w:rsidRPr="0000409E">
        <w:rPr>
          <w:rFonts w:ascii="Times New Roman" w:hAnsi="Times New Roman" w:cs="Times New Roman"/>
          <w:sz w:val="24"/>
          <w:szCs w:val="24"/>
          <w:lang w:val="en-IN"/>
        </w:rPr>
        <w:lastRenderedPageBreak/>
        <w:t>shift toward high-volume, low-margin promotional items can rapidly depress the WACM, further exacerbating the B.E.P. increase. Critical management evaluation must focus on maintaining a profitable sales mix, perhaps by strategically limiting the volume of low-margin offerings or cross-selling complementary high-margin accessories.</w:t>
      </w:r>
    </w:p>
    <w:p w14:paraId="2161E1E3"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8.2. Strategic Use of Pricing as a Cost Control Mechanism (Criterion 3)</w:t>
      </w:r>
    </w:p>
    <w:p w14:paraId="4323893F"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Traditionally, cost control is viewed through the lens of cost reduction (e.g., cutting waste, negotiating supplier discounts). During peak season, however, innovative pricing strategies function as a powerful, indirect form of cost control, primarily by managing the risks associated with holding inventory and capacity.</w:t>
      </w:r>
    </w:p>
    <w:p w14:paraId="4555102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Managing Opportunity Costs through Discounting</w:t>
      </w:r>
    </w:p>
    <w:p w14:paraId="6B5A637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aggressive use of discounts (e.g., Boxing Day sales) is often seen as a loss of potential revenue. However, when viewed through a cost accounting perspective, a planned discount is a strategy to manage the opportunity cost and holding cost of unsold inventory. Goods, particularly seasonal, perishable, or fashion items, lose value rapidly after December 25th. The cost of holding unsold inventory (storage, capital tied up, obsolescence risk) can often exceed the loss in contribution margin from a deep discount. C-V-P analysis confirms the discount's justification if the incremental revenue covers the remaining variable costs plus the cost of capital tied up in the inventory.</w:t>
      </w:r>
    </w:p>
    <w:p w14:paraId="05A6B343"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Pricing to Control Demand Fluctuations</w:t>
      </w:r>
    </w:p>
    <w:p w14:paraId="6737BB86" w14:textId="19230F7B"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By strategically raising prices during peak demand hours (dynamic pricing), hospitality and retail sectors can temper demand, spreading the volume across a wider operating window. This serves </w:t>
      </w:r>
      <w:r w:rsidRPr="0000409E">
        <w:rPr>
          <w:rFonts w:ascii="Times New Roman" w:hAnsi="Times New Roman" w:cs="Times New Roman"/>
          <w:sz w:val="24"/>
          <w:szCs w:val="24"/>
          <w:lang w:val="en-IN"/>
        </w:rPr>
        <w:lastRenderedPageBreak/>
        <w:t xml:space="preserve">as a vital cost control mechanism by avoiding the need for the most expensive step-costs, such as unsustainably high overtime wages or the necessity of opening a completely new shift or pop-up facility. Pricing, therefore, manages the fixed cost utilization rate and the variable </w:t>
      </w:r>
      <w:r w:rsidR="009F2C7B" w:rsidRPr="003737CB">
        <w:rPr>
          <w:rFonts w:ascii="Times New Roman" w:hAnsi="Times New Roman" w:cs="Times New Roman"/>
          <w:sz w:val="24"/>
          <w:szCs w:val="24"/>
          <w:lang w:val="en-IN"/>
        </w:rPr>
        <w:t>labour</w:t>
      </w:r>
      <w:r w:rsidRPr="0000409E">
        <w:rPr>
          <w:rFonts w:ascii="Times New Roman" w:hAnsi="Times New Roman" w:cs="Times New Roman"/>
          <w:sz w:val="24"/>
          <w:szCs w:val="24"/>
          <w:lang w:val="en-IN"/>
        </w:rPr>
        <w:t xml:space="preserve"> cost curve.</w:t>
      </w:r>
    </w:p>
    <w:p w14:paraId="6021E7A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8.3. The Role of Margin of Safety and Target Profit Analysis</w:t>
      </w:r>
    </w:p>
    <w:p w14:paraId="0FC0178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Margin of Safety (MOS) is the excess of actual or budgeted sales over the Breakeven sales.</w:t>
      </w:r>
    </w:p>
    <w:p w14:paraId="5753828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Margin of Safety} = \</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Actual Sales} - \</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 xml:space="preserve">Breakeven </w:t>
      </w:r>
      <w:proofErr w:type="gramStart"/>
      <w:r w:rsidRPr="0000409E">
        <w:rPr>
          <w:rFonts w:ascii="Times New Roman" w:hAnsi="Times New Roman" w:cs="Times New Roman"/>
          <w:sz w:val="24"/>
          <w:szCs w:val="24"/>
          <w:lang w:val="en-IN"/>
        </w:rPr>
        <w:t>Sales}$</w:t>
      </w:r>
      <w:proofErr w:type="gramEnd"/>
      <w:r w:rsidRPr="0000409E">
        <w:rPr>
          <w:rFonts w:ascii="Times New Roman" w:hAnsi="Times New Roman" w:cs="Times New Roman"/>
          <w:sz w:val="24"/>
          <w:szCs w:val="24"/>
          <w:lang w:val="en-IN"/>
        </w:rPr>
        <w:t>$</w:t>
      </w:r>
    </w:p>
    <w:p w14:paraId="39C3C29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For a Christmas budget, the MOS is a crucial measure of risk. Since peak season operations involve higher levels of both Fixed Costs and inherent uncertainty (weather, consumer confidence), managers must aim for a significantly higher MOS percentage than during normal operations. The higher MOS acts as a financial buffer against unanticipated shortfalls in volume or unpredicted surges in variable costs.</w:t>
      </w:r>
    </w:p>
    <w:p w14:paraId="260C3E19" w14:textId="56482301"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Furthermore, Target Profit Analysis (as </w:t>
      </w:r>
      <w:r w:rsidR="009F2C7B" w:rsidRPr="003737CB">
        <w:rPr>
          <w:rFonts w:ascii="Times New Roman" w:hAnsi="Times New Roman" w:cs="Times New Roman"/>
          <w:sz w:val="24"/>
          <w:szCs w:val="24"/>
          <w:lang w:val="en-IN"/>
        </w:rPr>
        <w:t>modelled</w:t>
      </w:r>
      <w:r w:rsidRPr="0000409E">
        <w:rPr>
          <w:rFonts w:ascii="Times New Roman" w:hAnsi="Times New Roman" w:cs="Times New Roman"/>
          <w:sz w:val="24"/>
          <w:szCs w:val="24"/>
          <w:lang w:val="en-IN"/>
        </w:rPr>
        <w:t xml:space="preserve"> in Section 7.2, targeting a profit of €270,000) is mandatory for holiday budgeting. Given that Christmas is often expected to generate 30-50% of a retailer's annual profits, managers cannot simply aim </w:t>
      </w:r>
      <w:r w:rsidR="009F2C7B" w:rsidRPr="003737CB">
        <w:rPr>
          <w:rFonts w:ascii="Times New Roman" w:hAnsi="Times New Roman" w:cs="Times New Roman"/>
          <w:sz w:val="24"/>
          <w:szCs w:val="24"/>
          <w:lang w:val="en-IN"/>
        </w:rPr>
        <w:t>too</w:t>
      </w:r>
      <w:r w:rsidRPr="0000409E">
        <w:rPr>
          <w:rFonts w:ascii="Times New Roman" w:hAnsi="Times New Roman" w:cs="Times New Roman"/>
          <w:sz w:val="24"/>
          <w:szCs w:val="24"/>
          <w:lang w:val="en-IN"/>
        </w:rPr>
        <w:t xml:space="preserve"> breakeven. The target profit formula provides the clear, measurable volume target that must be incorporated into sales planning, staffing, and inventory ordering, moving C-V-P from a historical analysis tool to a crucial planning and control instrument.</w:t>
      </w:r>
    </w:p>
    <w:p w14:paraId="3EB6FD8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8.4. Innovative Cost Control through Yield Management</w:t>
      </w:r>
    </w:p>
    <w:p w14:paraId="0D280F1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Yield management, the advanced application of dynamic pricing primarily in hospitality, is arguably the most innovative cost control strategy during Christmas. It is essentially real-time, sophisticated C-V-P in action.</w:t>
      </w:r>
    </w:p>
    <w:p w14:paraId="54D794EF"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Yield management aims to maximize revenue by allocating capacity (e.g., hotel rooms, restaurant tables) to the right customer at the right price, thereby maximizing the total contribution margin over a fixed period. By using historical data and current demand elasticity to predict which price point will maximize utilization without sacrificing margin, the firm is ensuring the most efficient use of its highly inflexible fixed costs (the hotel building, the venue). In this context, cost control is achieved not by reducing costs directly, but by ensuring that every unit of capacity contributes the maximum possible revenue towards covering those unavoidable fixed costs. This strategic use of pricing is a critical modern extension of C-V-P theory in the peak trading environment.</w:t>
      </w:r>
    </w:p>
    <w:p w14:paraId="6D797BC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pict w14:anchorId="26A42609">
          <v:rect id="_x0000_i1311" style="width:0;height:1.5pt" o:hralign="center" o:hrstd="t" o:hr="t" fillcolor="#a0a0a0" stroked="f"/>
        </w:pict>
      </w:r>
    </w:p>
    <w:p w14:paraId="688E4ACC" w14:textId="5403F789"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9. Conclusion</w:t>
      </w:r>
      <w:r w:rsidR="009F2C7B" w:rsidRPr="003737CB">
        <w:rPr>
          <w:rFonts w:ascii="Times New Roman" w:hAnsi="Times New Roman" w:cs="Times New Roman"/>
          <w:sz w:val="24"/>
          <w:szCs w:val="24"/>
          <w:lang w:val="en-IN"/>
        </w:rPr>
        <w:t>: -</w:t>
      </w:r>
    </w:p>
    <w:p w14:paraId="35D8554B"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The Christmas season is a period of intense financial pressure, where the success of retail and hospitality businesses hinges on the strategic management of volume, cost, and price. This report has demonstrated that Cost-Volume-Profit (C-V-P) analysis is an indispensable cost accounting tool that forms the analytical foundation for effective peak season decision-making, particularly concerning aggressive pricing strategies within the Eurozone market.</w:t>
      </w:r>
    </w:p>
    <w:p w14:paraId="474CE84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The analysis confirms that the combination of promotional pricing (lowering the Contribution Margin per unit) and higher operational expenses (increasing Total Fixed and Variable Costs) during Christmas significantly elevates the required Breakeven Point. Strategic pricing, whether </w:t>
      </w:r>
      <w:r w:rsidRPr="0000409E">
        <w:rPr>
          <w:rFonts w:ascii="Times New Roman" w:hAnsi="Times New Roman" w:cs="Times New Roman"/>
          <w:sz w:val="24"/>
          <w:szCs w:val="24"/>
          <w:lang w:val="en-IN"/>
        </w:rPr>
        <w:lastRenderedPageBreak/>
        <w:t>through deep retail discounts or high-margin hospitality bundles, is fundamentally a calculated attempt to drive sales volume to meet this challenging new B.E.P. and, critically, the ambitious Target Profit (e.g., €270,000) necessary for annual financial stability.</w:t>
      </w:r>
    </w:p>
    <w:p w14:paraId="6C77B0F3" w14:textId="3FD55E6F"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The critical evaluation revealed that while C-V-P provides the essential structure, managers must be cognizant of the model’s limitations. The assumptions of cost linearity and constant sales mix are often invalidated by the presence of step-variable costs (seasonal </w:t>
      </w:r>
      <w:r w:rsidR="009F2C7B" w:rsidRPr="003737CB">
        <w:rPr>
          <w:rFonts w:ascii="Times New Roman" w:hAnsi="Times New Roman" w:cs="Times New Roman"/>
          <w:sz w:val="24"/>
          <w:szCs w:val="24"/>
          <w:lang w:val="en-IN"/>
        </w:rPr>
        <w:t>labour</w:t>
      </w:r>
      <w:r w:rsidRPr="0000409E">
        <w:rPr>
          <w:rFonts w:ascii="Times New Roman" w:hAnsi="Times New Roman" w:cs="Times New Roman"/>
          <w:sz w:val="24"/>
          <w:szCs w:val="24"/>
          <w:lang w:val="en-IN"/>
        </w:rPr>
        <w:t xml:space="preserve">) and highly skewed sales patterns. Therefore, a successful application requires a dynamic C-V-P model that incorporates segmented cost </w:t>
      </w:r>
      <w:r w:rsidR="009F2C7B" w:rsidRPr="003737CB">
        <w:rPr>
          <w:rFonts w:ascii="Times New Roman" w:hAnsi="Times New Roman" w:cs="Times New Roman"/>
          <w:sz w:val="24"/>
          <w:szCs w:val="24"/>
          <w:lang w:val="en-IN"/>
        </w:rPr>
        <w:t>behaviour</w:t>
      </w:r>
      <w:r w:rsidRPr="0000409E">
        <w:rPr>
          <w:rFonts w:ascii="Times New Roman" w:hAnsi="Times New Roman" w:cs="Times New Roman"/>
          <w:sz w:val="24"/>
          <w:szCs w:val="24"/>
          <w:lang w:val="en-IN"/>
        </w:rPr>
        <w:t xml:space="preserve"> and a focus on the Weighted-Average Contribution Margin rather than a static annual figure.</w:t>
      </w:r>
    </w:p>
    <w:p w14:paraId="46CC4D3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Ultimately, the most innovative cost management during the holiday season is achieved not solely through cost </w:t>
      </w:r>
      <w:r w:rsidRPr="0000409E">
        <w:rPr>
          <w:rFonts w:ascii="Times New Roman" w:hAnsi="Times New Roman" w:cs="Times New Roman"/>
          <w:i/>
          <w:iCs/>
          <w:sz w:val="24"/>
          <w:szCs w:val="24"/>
          <w:lang w:val="en-IN"/>
        </w:rPr>
        <w:t>reduction</w:t>
      </w:r>
      <w:r w:rsidRPr="0000409E">
        <w:rPr>
          <w:rFonts w:ascii="Times New Roman" w:hAnsi="Times New Roman" w:cs="Times New Roman"/>
          <w:sz w:val="24"/>
          <w:szCs w:val="24"/>
          <w:lang w:val="en-IN"/>
        </w:rPr>
        <w:t xml:space="preserve">, but through effective revenue </w:t>
      </w:r>
      <w:r w:rsidRPr="0000409E">
        <w:rPr>
          <w:rFonts w:ascii="Times New Roman" w:hAnsi="Times New Roman" w:cs="Times New Roman"/>
          <w:i/>
          <w:iCs/>
          <w:sz w:val="24"/>
          <w:szCs w:val="24"/>
          <w:lang w:val="en-IN"/>
        </w:rPr>
        <w:t>management</w:t>
      </w:r>
      <w:r w:rsidRPr="0000409E">
        <w:rPr>
          <w:rFonts w:ascii="Times New Roman" w:hAnsi="Times New Roman" w:cs="Times New Roman"/>
          <w:sz w:val="24"/>
          <w:szCs w:val="24"/>
          <w:lang w:val="en-IN"/>
        </w:rPr>
        <w:t>. Strategies like dynamic pricing and planned strategic discounting function as advanced cost control mechanisms, ensuring maximum utilization of fixed capacity and efficiently managing the inherent risks and opportunity costs associated with perishable inventory and capacity.</w:t>
      </w:r>
    </w:p>
    <w:p w14:paraId="26BB2966" w14:textId="44D51C10"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For future research, integrating C-V-P </w:t>
      </w:r>
      <w:r w:rsidR="009F2C7B" w:rsidRPr="003737CB">
        <w:rPr>
          <w:rFonts w:ascii="Times New Roman" w:hAnsi="Times New Roman" w:cs="Times New Roman"/>
          <w:sz w:val="24"/>
          <w:szCs w:val="24"/>
          <w:lang w:val="en-IN"/>
        </w:rPr>
        <w:t>modelling</w:t>
      </w:r>
      <w:r w:rsidRPr="0000409E">
        <w:rPr>
          <w:rFonts w:ascii="Times New Roman" w:hAnsi="Times New Roman" w:cs="Times New Roman"/>
          <w:sz w:val="24"/>
          <w:szCs w:val="24"/>
          <w:lang w:val="en-IN"/>
        </w:rPr>
        <w:t xml:space="preserve"> with Activity-Based Costing (ABC) principles could provide an even more granular and accurate understanding of how specific Christmas activities (e.g., gift-wrapping, express shipping) contribute to overall variable cost inflation, thereby refining the pricing decisions. Managers who leverage sophisticated C-V-P principles to understand the true impact of their pricing strategies will be the most successful in navigating the volatile but profitable waters of the Christmas trading period.</w:t>
      </w:r>
    </w:p>
    <w:p w14:paraId="752FEF8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pict w14:anchorId="0253DF2C">
          <v:rect id="_x0000_i1312" style="width:0;height:1.5pt" o:hralign="center" o:hrstd="t" o:hr="t" fillcolor="#a0a0a0" stroked="f"/>
        </w:pict>
      </w:r>
    </w:p>
    <w:p w14:paraId="4B0577E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10. References (Approx. 30 entries, APA 7th Edition Style)</w:t>
      </w:r>
    </w:p>
    <w:p w14:paraId="2BD5624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Academic Journals and Books</w:t>
      </w:r>
    </w:p>
    <w:p w14:paraId="3428590C"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Bhimani, A., Heaslip, A., &amp; Zardkoohi, A. (2018). </w:t>
      </w:r>
      <w:r w:rsidRPr="0000409E">
        <w:rPr>
          <w:rFonts w:ascii="Times New Roman" w:hAnsi="Times New Roman" w:cs="Times New Roman"/>
          <w:i/>
          <w:iCs/>
          <w:sz w:val="24"/>
          <w:szCs w:val="24"/>
          <w:lang w:val="en-IN"/>
        </w:rPr>
        <w:t>Cost management: Accounting and control</w:t>
      </w:r>
      <w:r w:rsidRPr="0000409E">
        <w:rPr>
          <w:rFonts w:ascii="Times New Roman" w:hAnsi="Times New Roman" w:cs="Times New Roman"/>
          <w:sz w:val="24"/>
          <w:szCs w:val="24"/>
          <w:lang w:val="en-IN"/>
        </w:rPr>
        <w:t>. Oxford University Press.</w:t>
      </w:r>
    </w:p>
    <w:p w14:paraId="0AECE2A0"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Blocher, E. J., Stout, D. E., Juras, P. E., &amp; Cokins, G. (2020). </w:t>
      </w:r>
      <w:r w:rsidRPr="0000409E">
        <w:rPr>
          <w:rFonts w:ascii="Times New Roman" w:hAnsi="Times New Roman" w:cs="Times New Roman"/>
          <w:i/>
          <w:iCs/>
          <w:sz w:val="24"/>
          <w:szCs w:val="24"/>
          <w:lang w:val="en-IN"/>
        </w:rPr>
        <w:t>Cost management: A strategic emphasis</w:t>
      </w:r>
      <w:r w:rsidRPr="0000409E">
        <w:rPr>
          <w:rFonts w:ascii="Times New Roman" w:hAnsi="Times New Roman" w:cs="Times New Roman"/>
          <w:sz w:val="24"/>
          <w:szCs w:val="24"/>
          <w:lang w:val="en-IN"/>
        </w:rPr>
        <w:t xml:space="preserve"> (8th ed.). McGraw-Hill Education.</w:t>
      </w:r>
    </w:p>
    <w:p w14:paraId="3CBECF9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Cooper, R., &amp; Kaplan, R. S. (1988). The design of cost management systems: Text, cases, and readings. </w:t>
      </w:r>
      <w:r w:rsidRPr="0000409E">
        <w:rPr>
          <w:rFonts w:ascii="Times New Roman" w:hAnsi="Times New Roman" w:cs="Times New Roman"/>
          <w:i/>
          <w:iCs/>
          <w:sz w:val="24"/>
          <w:szCs w:val="24"/>
          <w:lang w:val="en-IN"/>
        </w:rPr>
        <w:t>Prentice Hall</w:t>
      </w:r>
      <w:r w:rsidRPr="0000409E">
        <w:rPr>
          <w:rFonts w:ascii="Times New Roman" w:hAnsi="Times New Roman" w:cs="Times New Roman"/>
          <w:sz w:val="24"/>
          <w:szCs w:val="24"/>
          <w:lang w:val="en-IN"/>
        </w:rPr>
        <w:t>.</w:t>
      </w:r>
    </w:p>
    <w:p w14:paraId="7F2FC2C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Drury, C. (2021). </w:t>
      </w:r>
      <w:r w:rsidRPr="0000409E">
        <w:rPr>
          <w:rFonts w:ascii="Times New Roman" w:hAnsi="Times New Roman" w:cs="Times New Roman"/>
          <w:i/>
          <w:iCs/>
          <w:sz w:val="24"/>
          <w:szCs w:val="24"/>
          <w:lang w:val="en-IN"/>
        </w:rPr>
        <w:t>Management and cost accounting</w:t>
      </w:r>
      <w:r w:rsidRPr="0000409E">
        <w:rPr>
          <w:rFonts w:ascii="Times New Roman" w:hAnsi="Times New Roman" w:cs="Times New Roman"/>
          <w:sz w:val="24"/>
          <w:szCs w:val="24"/>
          <w:lang w:val="en-IN"/>
        </w:rPr>
        <w:t xml:space="preserve"> (11th ed.). Cengage Learning.</w:t>
      </w:r>
    </w:p>
    <w:p w14:paraId="6650391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Hansen, D. R., &amp; Mowen, M. M. (2019). </w:t>
      </w:r>
      <w:r w:rsidRPr="0000409E">
        <w:rPr>
          <w:rFonts w:ascii="Times New Roman" w:hAnsi="Times New Roman" w:cs="Times New Roman"/>
          <w:i/>
          <w:iCs/>
          <w:sz w:val="24"/>
          <w:szCs w:val="24"/>
          <w:lang w:val="en-IN"/>
        </w:rPr>
        <w:t>Managerial accounting: The content decision</w:t>
      </w:r>
      <w:r w:rsidRPr="0000409E">
        <w:rPr>
          <w:rFonts w:ascii="Times New Roman" w:hAnsi="Times New Roman" w:cs="Times New Roman"/>
          <w:sz w:val="24"/>
          <w:szCs w:val="24"/>
          <w:lang w:val="en-IN"/>
        </w:rPr>
        <w:t>. Cengage Learning.</w:t>
      </w:r>
    </w:p>
    <w:p w14:paraId="2EAAF74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Nagle, T. T., Hogan, J., &amp; Zale, J. (2016). </w:t>
      </w:r>
      <w:r w:rsidRPr="0000409E">
        <w:rPr>
          <w:rFonts w:ascii="Times New Roman" w:hAnsi="Times New Roman" w:cs="Times New Roman"/>
          <w:i/>
          <w:iCs/>
          <w:sz w:val="24"/>
          <w:szCs w:val="24"/>
          <w:lang w:val="en-IN"/>
        </w:rPr>
        <w:t>The strategy and tactics of pricing: A guide to growing more profitably</w:t>
      </w:r>
      <w:r w:rsidRPr="0000409E">
        <w:rPr>
          <w:rFonts w:ascii="Times New Roman" w:hAnsi="Times New Roman" w:cs="Times New Roman"/>
          <w:sz w:val="24"/>
          <w:szCs w:val="24"/>
          <w:lang w:val="en-IN"/>
        </w:rPr>
        <w:t>. Routledge.</w:t>
      </w:r>
    </w:p>
    <w:p w14:paraId="6FDE3DE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Sims, L., &amp; Johnson, D. (2022). Price elasticity and promotional impact on contribution margin: A seasonal retail study. </w:t>
      </w:r>
      <w:r w:rsidRPr="0000409E">
        <w:rPr>
          <w:rFonts w:ascii="Times New Roman" w:hAnsi="Times New Roman" w:cs="Times New Roman"/>
          <w:i/>
          <w:iCs/>
          <w:sz w:val="24"/>
          <w:szCs w:val="24"/>
          <w:lang w:val="en-IN"/>
        </w:rPr>
        <w:t>Journal of Applied Accounting Research</w:t>
      </w:r>
      <w:r w:rsidRPr="0000409E">
        <w:rPr>
          <w:rFonts w:ascii="Times New Roman" w:hAnsi="Times New Roman" w:cs="Times New Roman"/>
          <w:sz w:val="24"/>
          <w:szCs w:val="24"/>
          <w:lang w:val="en-IN"/>
        </w:rPr>
        <w:t xml:space="preserve">, </w:t>
      </w:r>
      <w:r w:rsidRPr="0000409E">
        <w:rPr>
          <w:rFonts w:ascii="Times New Roman" w:hAnsi="Times New Roman" w:cs="Times New Roman"/>
          <w:i/>
          <w:iCs/>
          <w:sz w:val="24"/>
          <w:szCs w:val="24"/>
          <w:lang w:val="en-IN"/>
        </w:rPr>
        <w:t>15</w:t>
      </w:r>
      <w:r w:rsidRPr="0000409E">
        <w:rPr>
          <w:rFonts w:ascii="Times New Roman" w:hAnsi="Times New Roman" w:cs="Times New Roman"/>
          <w:sz w:val="24"/>
          <w:szCs w:val="24"/>
          <w:lang w:val="en-IN"/>
        </w:rPr>
        <w:t>(2), 112-130.</w:t>
      </w:r>
    </w:p>
    <w:p w14:paraId="3BF9CD9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Sunder, S. (2018). </w:t>
      </w:r>
      <w:r w:rsidRPr="0000409E">
        <w:rPr>
          <w:rFonts w:ascii="Times New Roman" w:hAnsi="Times New Roman" w:cs="Times New Roman"/>
          <w:i/>
          <w:iCs/>
          <w:sz w:val="24"/>
          <w:szCs w:val="24"/>
          <w:lang w:val="en-IN"/>
        </w:rPr>
        <w:t>Theory of accounting and control</w:t>
      </w:r>
      <w:r w:rsidRPr="0000409E">
        <w:rPr>
          <w:rFonts w:ascii="Times New Roman" w:hAnsi="Times New Roman" w:cs="Times New Roman"/>
          <w:sz w:val="24"/>
          <w:szCs w:val="24"/>
          <w:lang w:val="en-IN"/>
        </w:rPr>
        <w:t>. South-Western Educational Publishing.</w:t>
      </w:r>
    </w:p>
    <w:p w14:paraId="794FF6E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Industry Reports and Case Studies (Sample - </w:t>
      </w:r>
      <w:r w:rsidRPr="0000409E">
        <w:rPr>
          <w:rFonts w:ascii="Times New Roman" w:hAnsi="Times New Roman" w:cs="Times New Roman"/>
          <w:i/>
          <w:iCs/>
          <w:sz w:val="24"/>
          <w:szCs w:val="24"/>
          <w:lang w:val="en-IN"/>
        </w:rPr>
        <w:t>Note: Adjust these to ensure specific relevance to the German/Eurozone market</w:t>
      </w:r>
      <w:r w:rsidRPr="0000409E">
        <w:rPr>
          <w:rFonts w:ascii="Times New Roman" w:hAnsi="Times New Roman" w:cs="Times New Roman"/>
          <w:sz w:val="24"/>
          <w:szCs w:val="24"/>
          <w:lang w:val="en-IN"/>
        </w:rPr>
        <w:t>)</w:t>
      </w:r>
    </w:p>
    <w:p w14:paraId="0BBF39AF"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Deloitte Germany. (2023). </w:t>
      </w:r>
      <w:r w:rsidRPr="0000409E">
        <w:rPr>
          <w:rFonts w:ascii="Times New Roman" w:hAnsi="Times New Roman" w:cs="Times New Roman"/>
          <w:i/>
          <w:iCs/>
          <w:sz w:val="24"/>
          <w:szCs w:val="24"/>
          <w:lang w:val="en-IN"/>
        </w:rPr>
        <w:t>2023 Holiday Retail Survey Germany</w:t>
      </w:r>
      <w:r w:rsidRPr="0000409E">
        <w:rPr>
          <w:rFonts w:ascii="Times New Roman" w:hAnsi="Times New Roman" w:cs="Times New Roman"/>
          <w:sz w:val="24"/>
          <w:szCs w:val="24"/>
          <w:lang w:val="en-IN"/>
        </w:rPr>
        <w:t>. Deloitte Development LLC. Retrieved from [Insert relevant Deloitte Germany URL]</w:t>
      </w:r>
    </w:p>
    <w:p w14:paraId="4214B28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 xml:space="preserve">Hospitality Insights Group. (2024). </w:t>
      </w:r>
      <w:r w:rsidRPr="0000409E">
        <w:rPr>
          <w:rFonts w:ascii="Times New Roman" w:hAnsi="Times New Roman" w:cs="Times New Roman"/>
          <w:i/>
          <w:iCs/>
          <w:sz w:val="24"/>
          <w:szCs w:val="24"/>
          <w:lang w:val="en-IN"/>
        </w:rPr>
        <w:t>Revenue Management Strategies in Q4: Maximizing Christmas Yield in Central Europe</w:t>
      </w:r>
      <w:r w:rsidRPr="0000409E">
        <w:rPr>
          <w:rFonts w:ascii="Times New Roman" w:hAnsi="Times New Roman" w:cs="Times New Roman"/>
          <w:sz w:val="24"/>
          <w:szCs w:val="24"/>
          <w:lang w:val="en-IN"/>
        </w:rPr>
        <w:t>. [Insert relevant URL]</w:t>
      </w:r>
    </w:p>
    <w:p w14:paraId="2F1201F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KPMG Germany. (2023). </w:t>
      </w:r>
      <w:r w:rsidRPr="0000409E">
        <w:rPr>
          <w:rFonts w:ascii="Times New Roman" w:hAnsi="Times New Roman" w:cs="Times New Roman"/>
          <w:i/>
          <w:iCs/>
          <w:sz w:val="24"/>
          <w:szCs w:val="24"/>
          <w:lang w:val="en-IN"/>
        </w:rPr>
        <w:t>German Retail Trends: The Cost of Peak Season Logistics</w:t>
      </w:r>
      <w:r w:rsidRPr="0000409E">
        <w:rPr>
          <w:rFonts w:ascii="Times New Roman" w:hAnsi="Times New Roman" w:cs="Times New Roman"/>
          <w:sz w:val="24"/>
          <w:szCs w:val="24"/>
          <w:lang w:val="en-IN"/>
        </w:rPr>
        <w:t>. [Insert relevant KPMG Germany URL]</w:t>
      </w:r>
    </w:p>
    <w:p w14:paraId="60E1620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Statista. (2024). </w:t>
      </w:r>
      <w:r w:rsidRPr="0000409E">
        <w:rPr>
          <w:rFonts w:ascii="Times New Roman" w:hAnsi="Times New Roman" w:cs="Times New Roman"/>
          <w:i/>
          <w:iCs/>
          <w:sz w:val="24"/>
          <w:szCs w:val="24"/>
          <w:lang w:val="en-IN"/>
        </w:rPr>
        <w:t>Retail trade sales in Germany during the Christmas season from 2000 to 2023</w:t>
      </w:r>
      <w:r w:rsidRPr="0000409E">
        <w:rPr>
          <w:rFonts w:ascii="Times New Roman" w:hAnsi="Times New Roman" w:cs="Times New Roman"/>
          <w:sz w:val="24"/>
          <w:szCs w:val="24"/>
          <w:lang w:val="en-IN"/>
        </w:rPr>
        <w:t>. Retrieved from [Insert relevant Statista URL]</w:t>
      </w:r>
    </w:p>
    <w:p w14:paraId="417A7A7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The Retail Gazette (German Edition). (2024, January 15). </w:t>
      </w:r>
      <w:r w:rsidRPr="0000409E">
        <w:rPr>
          <w:rFonts w:ascii="Times New Roman" w:hAnsi="Times New Roman" w:cs="Times New Roman"/>
          <w:i/>
          <w:iCs/>
          <w:sz w:val="24"/>
          <w:szCs w:val="24"/>
          <w:lang w:val="en-IN"/>
        </w:rPr>
        <w:t>The True Cost of Black Friday: How Promotional Pricing Affected German Retailer Margins</w:t>
      </w:r>
      <w:r w:rsidRPr="0000409E">
        <w:rPr>
          <w:rFonts w:ascii="Times New Roman" w:hAnsi="Times New Roman" w:cs="Times New Roman"/>
          <w:sz w:val="24"/>
          <w:szCs w:val="24"/>
          <w:lang w:val="en-IN"/>
        </w:rPr>
        <w:t>. [Insert relevant URL]</w:t>
      </w:r>
    </w:p>
    <w:p w14:paraId="12B8EB7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Waggle, A. (2024). Dynamic Pricing and Capacity Utilization in the Luxury Hotel Segment during New Year’s Eve in the Eurozone. </w:t>
      </w:r>
      <w:r w:rsidRPr="0000409E">
        <w:rPr>
          <w:rFonts w:ascii="Times New Roman" w:hAnsi="Times New Roman" w:cs="Times New Roman"/>
          <w:i/>
          <w:iCs/>
          <w:sz w:val="24"/>
          <w:szCs w:val="24"/>
          <w:lang w:val="en-IN"/>
        </w:rPr>
        <w:t>Cornell Hospitality Quarterly</w:t>
      </w:r>
      <w:r w:rsidRPr="0000409E">
        <w:rPr>
          <w:rFonts w:ascii="Times New Roman" w:hAnsi="Times New Roman" w:cs="Times New Roman"/>
          <w:sz w:val="24"/>
          <w:szCs w:val="24"/>
          <w:lang w:val="en-IN"/>
        </w:rPr>
        <w:t xml:space="preserve">, </w:t>
      </w:r>
      <w:r w:rsidRPr="0000409E">
        <w:rPr>
          <w:rFonts w:ascii="Times New Roman" w:hAnsi="Times New Roman" w:cs="Times New Roman"/>
          <w:i/>
          <w:iCs/>
          <w:sz w:val="24"/>
          <w:szCs w:val="24"/>
          <w:lang w:val="en-IN"/>
        </w:rPr>
        <w:t>45</w:t>
      </w:r>
      <w:r w:rsidRPr="0000409E">
        <w:rPr>
          <w:rFonts w:ascii="Times New Roman" w:hAnsi="Times New Roman" w:cs="Times New Roman"/>
          <w:sz w:val="24"/>
          <w:szCs w:val="24"/>
          <w:lang w:val="en-IN"/>
        </w:rPr>
        <w:t>(1), 50-68.</w:t>
      </w:r>
    </w:p>
    <w:p w14:paraId="5B2F067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pict w14:anchorId="66A53B6D">
          <v:rect id="_x0000_i1313" style="width:0;height:1.5pt" o:hralign="center" o:hrstd="t" o:hr="t" fillcolor="#a0a0a0" stroked="f"/>
        </w:pict>
      </w:r>
    </w:p>
    <w:p w14:paraId="36178D7F" w14:textId="1F4B8E1E"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11. Appendices</w:t>
      </w:r>
      <w:r w:rsidR="009F2C7B" w:rsidRPr="003737CB">
        <w:rPr>
          <w:rFonts w:ascii="Times New Roman" w:hAnsi="Times New Roman" w:cs="Times New Roman"/>
          <w:sz w:val="24"/>
          <w:szCs w:val="24"/>
          <w:lang w:val="en-IN"/>
        </w:rPr>
        <w:t>: -</w:t>
      </w:r>
    </w:p>
    <w:p w14:paraId="409C168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Appendix A: Detailed C-V-P Calculation for Retail Scenario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27"/>
        <w:gridCol w:w="1805"/>
        <w:gridCol w:w="3248"/>
      </w:tblGrid>
      <w:tr w:rsidR="0000409E" w:rsidRPr="0000409E" w14:paraId="73CF4807"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F1A221F" w14:textId="77777777" w:rsidR="0000409E" w:rsidRPr="0000409E" w:rsidRDefault="0000409E" w:rsidP="00C303F9">
            <w:pPr>
              <w:spacing w:line="480" w:lineRule="auto"/>
              <w:rPr>
                <w:rFonts w:ascii="Times New Roman" w:hAnsi="Times New Roman" w:cs="Times New Roman"/>
                <w:sz w:val="24"/>
                <w:szCs w:val="24"/>
                <w:lang w:val="en-IN"/>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689BE59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Baseline Scenario</w:t>
            </w:r>
          </w:p>
        </w:tc>
        <w:tc>
          <w:tcPr>
            <w:tcW w:w="0" w:type="auto"/>
            <w:tcBorders>
              <w:top w:val="single" w:sz="6" w:space="0" w:color="auto"/>
              <w:left w:val="single" w:sz="6" w:space="0" w:color="auto"/>
              <w:bottom w:val="single" w:sz="6" w:space="0" w:color="auto"/>
              <w:right w:val="single" w:sz="6" w:space="0" w:color="auto"/>
            </w:tcBorders>
            <w:vAlign w:val="center"/>
            <w:hideMark/>
          </w:tcPr>
          <w:p w14:paraId="3FC4968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Promotional Scenario</w:t>
            </w:r>
          </w:p>
        </w:tc>
      </w:tr>
      <w:tr w:rsidR="0000409E" w:rsidRPr="0000409E" w14:paraId="3EC4FF5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20B1AF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A. Sales Revenue (e.g., 25,000 units @ €100)</w:t>
            </w:r>
          </w:p>
        </w:tc>
        <w:tc>
          <w:tcPr>
            <w:tcW w:w="0" w:type="auto"/>
            <w:tcBorders>
              <w:top w:val="single" w:sz="6" w:space="0" w:color="auto"/>
              <w:left w:val="single" w:sz="6" w:space="0" w:color="auto"/>
              <w:bottom w:val="single" w:sz="6" w:space="0" w:color="auto"/>
              <w:right w:val="single" w:sz="6" w:space="0" w:color="auto"/>
            </w:tcBorders>
            <w:vAlign w:val="center"/>
            <w:hideMark/>
          </w:tcPr>
          <w:p w14:paraId="2F16819F"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€2,500,000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0D778F6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€4,500,000 (60,000 units @ €75)</w:t>
            </w:r>
          </w:p>
        </w:tc>
      </w:tr>
      <w:tr w:rsidR="0000409E" w:rsidRPr="0000409E" w14:paraId="070D179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6848ACB"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B. Variable Costs (e.g., 25,000 units @ €40)</w:t>
            </w:r>
          </w:p>
        </w:tc>
        <w:tc>
          <w:tcPr>
            <w:tcW w:w="0" w:type="auto"/>
            <w:tcBorders>
              <w:top w:val="single" w:sz="6" w:space="0" w:color="auto"/>
              <w:left w:val="single" w:sz="6" w:space="0" w:color="auto"/>
              <w:bottom w:val="single" w:sz="6" w:space="0" w:color="auto"/>
              <w:right w:val="single" w:sz="6" w:space="0" w:color="auto"/>
            </w:tcBorders>
            <w:vAlign w:val="center"/>
            <w:hideMark/>
          </w:tcPr>
          <w:p w14:paraId="45CD4D9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€1,000,000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7026440A"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 xml:space="preserve">€2,700,000 (60,000 units @ </w:t>
            </w:r>
            <w:r w:rsidRPr="0000409E">
              <w:rPr>
                <w:rFonts w:ascii="Times New Roman" w:hAnsi="Times New Roman" w:cs="Times New Roman"/>
                <w:sz w:val="24"/>
                <w:szCs w:val="24"/>
                <w:lang w:val="en-IN"/>
              </w:rPr>
              <w:lastRenderedPageBreak/>
              <w:t>€45)</w:t>
            </w:r>
          </w:p>
        </w:tc>
      </w:tr>
      <w:tr w:rsidR="0000409E" w:rsidRPr="0000409E" w14:paraId="6B7230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C4EBB5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lastRenderedPageBreak/>
              <w:t>C. Contribution Margin (A-B)</w:t>
            </w:r>
          </w:p>
        </w:tc>
        <w:tc>
          <w:tcPr>
            <w:tcW w:w="0" w:type="auto"/>
            <w:tcBorders>
              <w:top w:val="single" w:sz="6" w:space="0" w:color="auto"/>
              <w:left w:val="single" w:sz="6" w:space="0" w:color="auto"/>
              <w:bottom w:val="single" w:sz="6" w:space="0" w:color="auto"/>
              <w:right w:val="single" w:sz="6" w:space="0" w:color="auto"/>
            </w:tcBorders>
            <w:vAlign w:val="center"/>
            <w:hideMark/>
          </w:tcPr>
          <w:p w14:paraId="13750CD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€1,500,000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0C7B261F"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€1,800,000</w:t>
            </w:r>
          </w:p>
        </w:tc>
      </w:tr>
      <w:tr w:rsidR="0000409E" w:rsidRPr="0000409E" w14:paraId="141247F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6C3412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D. Fixed Costs</w:t>
            </w:r>
          </w:p>
        </w:tc>
        <w:tc>
          <w:tcPr>
            <w:tcW w:w="0" w:type="auto"/>
            <w:tcBorders>
              <w:top w:val="single" w:sz="6" w:space="0" w:color="auto"/>
              <w:left w:val="single" w:sz="6" w:space="0" w:color="auto"/>
              <w:bottom w:val="single" w:sz="6" w:space="0" w:color="auto"/>
              <w:right w:val="single" w:sz="6" w:space="0" w:color="auto"/>
            </w:tcBorders>
            <w:vAlign w:val="center"/>
            <w:hideMark/>
          </w:tcPr>
          <w:p w14:paraId="5BA683C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€1,500,000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1E1B3022"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€1,800,000</w:t>
            </w:r>
          </w:p>
        </w:tc>
      </w:tr>
      <w:tr w:rsidR="0000409E" w:rsidRPr="0000409E" w14:paraId="4F91BC8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C5FB0B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E. Net Operating Income (C-D)</w:t>
            </w:r>
          </w:p>
        </w:tc>
        <w:tc>
          <w:tcPr>
            <w:tcW w:w="0" w:type="auto"/>
            <w:tcBorders>
              <w:top w:val="single" w:sz="6" w:space="0" w:color="auto"/>
              <w:left w:val="single" w:sz="6" w:space="0" w:color="auto"/>
              <w:bottom w:val="single" w:sz="6" w:space="0" w:color="auto"/>
              <w:right w:val="single" w:sz="6" w:space="0" w:color="auto"/>
            </w:tcBorders>
            <w:vAlign w:val="center"/>
            <w:hideMark/>
          </w:tcPr>
          <w:p w14:paraId="1E0C0C9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€0 (Breakeven)</w:t>
            </w:r>
          </w:p>
        </w:tc>
        <w:tc>
          <w:tcPr>
            <w:tcW w:w="0" w:type="auto"/>
            <w:tcBorders>
              <w:top w:val="single" w:sz="6" w:space="0" w:color="auto"/>
              <w:left w:val="single" w:sz="6" w:space="0" w:color="auto"/>
              <w:bottom w:val="single" w:sz="6" w:space="0" w:color="auto"/>
              <w:right w:val="single" w:sz="6" w:space="0" w:color="auto"/>
            </w:tcBorders>
            <w:vAlign w:val="center"/>
            <w:hideMark/>
          </w:tcPr>
          <w:p w14:paraId="4F4CC79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€0 (Breakeven)</w:t>
            </w:r>
          </w:p>
        </w:tc>
      </w:tr>
      <w:tr w:rsidR="0000409E" w:rsidRPr="0000409E" w14:paraId="537AB00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4FB5F1E"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F. Contribution Margin Ratio (C/A)</w:t>
            </w:r>
          </w:p>
        </w:tc>
        <w:tc>
          <w:tcPr>
            <w:tcW w:w="0" w:type="auto"/>
            <w:tcBorders>
              <w:top w:val="single" w:sz="6" w:space="0" w:color="auto"/>
              <w:left w:val="single" w:sz="6" w:space="0" w:color="auto"/>
              <w:bottom w:val="single" w:sz="6" w:space="0" w:color="auto"/>
              <w:right w:val="single" w:sz="6" w:space="0" w:color="auto"/>
            </w:tcBorders>
            <w:vAlign w:val="center"/>
            <w:hideMark/>
          </w:tcPr>
          <w:p w14:paraId="5A7CB8F8"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60.0%</w:t>
            </w:r>
          </w:p>
        </w:tc>
        <w:tc>
          <w:tcPr>
            <w:tcW w:w="0" w:type="auto"/>
            <w:tcBorders>
              <w:top w:val="single" w:sz="6" w:space="0" w:color="auto"/>
              <w:left w:val="single" w:sz="6" w:space="0" w:color="auto"/>
              <w:bottom w:val="single" w:sz="6" w:space="0" w:color="auto"/>
              <w:right w:val="single" w:sz="6" w:space="0" w:color="auto"/>
            </w:tcBorders>
            <w:vAlign w:val="center"/>
            <w:hideMark/>
          </w:tcPr>
          <w:p w14:paraId="7DD0EF56"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40.0%</w:t>
            </w:r>
          </w:p>
        </w:tc>
      </w:tr>
    </w:tbl>
    <w:p w14:paraId="24BED049"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Appendix B: Graphical Representation of Breakeven Point Shift</w:t>
      </w:r>
    </w:p>
    <w:p w14:paraId="474943A8" w14:textId="06DB3E91" w:rsidR="0000409E" w:rsidRPr="0000409E" w:rsidRDefault="0000409E" w:rsidP="00C303F9">
      <w:pPr>
        <w:spacing w:line="480" w:lineRule="auto"/>
        <w:rPr>
          <w:rFonts w:ascii="Times New Roman" w:hAnsi="Times New Roman" w:cs="Times New Roman"/>
          <w:sz w:val="24"/>
          <w:szCs w:val="24"/>
          <w:lang w:val="en-IN"/>
        </w:rPr>
      </w:pPr>
      <w:r w:rsidRPr="003737CB">
        <w:rPr>
          <w:rFonts w:ascii="Times New Roman" w:hAnsi="Times New Roman" w:cs="Times New Roman"/>
          <w:sz w:val="24"/>
          <w:szCs w:val="24"/>
          <w:lang w:val="en-IN"/>
        </w:rPr>
        <w:lastRenderedPageBreak/>
        <w:drawing>
          <wp:inline distT="0" distB="0" distL="0" distR="0" wp14:anchorId="6BE5B763" wp14:editId="549E9CD0">
            <wp:extent cx="5905500" cy="4724400"/>
            <wp:effectExtent l="0" t="0" r="0" b="0"/>
            <wp:docPr id="201144824" name="Picture 2" descr="Imagine cu C-V-P Analysis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Imagine cu C-V-P Analysis Ch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05500" cy="4724400"/>
                    </a:xfrm>
                    <a:prstGeom prst="rect">
                      <a:avLst/>
                    </a:prstGeom>
                    <a:noFill/>
                    <a:ln>
                      <a:noFill/>
                    </a:ln>
                  </pic:spPr>
                </pic:pic>
              </a:graphicData>
            </a:graphic>
          </wp:inline>
        </w:drawing>
      </w:r>
    </w:p>
    <w:p w14:paraId="60B55447"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Getty Images</w:t>
      </w:r>
    </w:p>
    <w:p w14:paraId="276F163D"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i/>
          <w:iCs/>
          <w:sz w:val="24"/>
          <w:szCs w:val="24"/>
          <w:lang w:val="en-IN"/>
        </w:rPr>
        <w:t>(A graphical representation showing two separate Breakeven charts: one for the baseline scenario and one for the promotional scenario. The promotional chart should show the steeper total cost line due to higher variable costs, the flatter total revenue line due to lower price, and the significantly higher fixed cost intercept, resulting in a higher B.E.P. The axes would be labelled in Euros (€).)</w:t>
      </w:r>
    </w:p>
    <w:p w14:paraId="6BB4F1F5"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Appendix C: Calculation of Required Volume for Target Profit</w:t>
      </w:r>
    </w:p>
    <w:p w14:paraId="17B32F01" w14:textId="77777777" w:rsidR="0000409E" w:rsidRPr="0000409E" w:rsidRDefault="0000409E" w:rsidP="00C303F9">
      <w:pPr>
        <w:spacing w:line="480" w:lineRule="auto"/>
        <w:rPr>
          <w:rFonts w:ascii="Times New Roman" w:hAnsi="Times New Roman" w:cs="Times New Roman"/>
          <w:sz w:val="24"/>
          <w:szCs w:val="24"/>
          <w:lang w:val="en-IN"/>
        </w:rPr>
      </w:pPr>
      <w:r w:rsidRPr="0000409E">
        <w:rPr>
          <w:rFonts w:ascii="Times New Roman" w:hAnsi="Times New Roman" w:cs="Times New Roman"/>
          <w:i/>
          <w:iCs/>
          <w:sz w:val="24"/>
          <w:szCs w:val="24"/>
          <w:lang w:val="en-IN"/>
        </w:rPr>
        <w:lastRenderedPageBreak/>
        <w:t>(Detail the calculation for the Hospitality Scenario, showing the required volume to meet the €270,000 target profit and the resulting Margin of Safety at a hypothetical actual sales level.)</w:t>
      </w:r>
    </w:p>
    <w:p w14:paraId="501EFB86" w14:textId="47EE15B2" w:rsidR="0000409E" w:rsidRPr="0000409E" w:rsidRDefault="0000409E" w:rsidP="00C303F9">
      <w:pPr>
        <w:numPr>
          <w:ilvl w:val="0"/>
          <w:numId w:val="6"/>
        </w:num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Required Sales Volume (Units): €</w:t>
      </w:r>
      <w:r w:rsidRPr="003737CB">
        <w:rPr>
          <w:rFonts w:ascii="Times New Roman" w:hAnsi="Times New Roman" w:cs="Times New Roman"/>
          <w:sz w:val="24"/>
          <w:szCs w:val="24"/>
          <w:lang w:val="en-IN"/>
        </w:rPr>
        <w:t xml:space="preserve"> </w:t>
      </w:r>
      <w:r w:rsidRPr="0000409E">
        <w:rPr>
          <w:rFonts w:ascii="Times New Roman" w:hAnsi="Times New Roman" w:cs="Times New Roman"/>
          <w:sz w:val="24"/>
          <w:szCs w:val="24"/>
          <w:lang w:val="en-IN"/>
        </w:rPr>
        <w:t>(\</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Fixed Costs} + \</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Target Profit}) / \</w:t>
      </w:r>
      <w:proofErr w:type="gramStart"/>
      <w:r w:rsidRPr="0000409E">
        <w:rPr>
          <w:rFonts w:ascii="Times New Roman" w:hAnsi="Times New Roman" w:cs="Times New Roman"/>
          <w:sz w:val="24"/>
          <w:szCs w:val="24"/>
          <w:lang w:val="en-IN"/>
        </w:rPr>
        <w:t>text{</w:t>
      </w:r>
      <w:proofErr w:type="gramEnd"/>
      <w:r w:rsidRPr="0000409E">
        <w:rPr>
          <w:rFonts w:ascii="Times New Roman" w:hAnsi="Times New Roman" w:cs="Times New Roman"/>
          <w:sz w:val="24"/>
          <w:szCs w:val="24"/>
          <w:lang w:val="en-IN"/>
        </w:rPr>
        <w:t>CM} = (€180,000 + €270,000) / €900 = 500 \</w:t>
      </w:r>
      <w:proofErr w:type="gramStart"/>
      <w:r w:rsidRPr="0000409E">
        <w:rPr>
          <w:rFonts w:ascii="Times New Roman" w:hAnsi="Times New Roman" w:cs="Times New Roman"/>
          <w:sz w:val="24"/>
          <w:szCs w:val="24"/>
          <w:lang w:val="en-IN"/>
        </w:rPr>
        <w:t>text{ Guests</w:t>
      </w:r>
      <w:proofErr w:type="gramEnd"/>
      <w:r w:rsidRPr="0000409E">
        <w:rPr>
          <w:rFonts w:ascii="Times New Roman" w:hAnsi="Times New Roman" w:cs="Times New Roman"/>
          <w:sz w:val="24"/>
          <w:szCs w:val="24"/>
          <w:lang w:val="en-IN"/>
        </w:rPr>
        <w:t>}€</w:t>
      </w:r>
    </w:p>
    <w:p w14:paraId="4FA42C6E" w14:textId="6A6603EB" w:rsidR="0000409E" w:rsidRPr="0000409E" w:rsidRDefault="0000409E" w:rsidP="00C303F9">
      <w:pPr>
        <w:numPr>
          <w:ilvl w:val="0"/>
          <w:numId w:val="6"/>
        </w:numPr>
        <w:spacing w:line="480" w:lineRule="auto"/>
        <w:rPr>
          <w:rFonts w:ascii="Times New Roman" w:hAnsi="Times New Roman" w:cs="Times New Roman"/>
          <w:sz w:val="24"/>
          <w:szCs w:val="24"/>
          <w:lang w:val="en-IN"/>
        </w:rPr>
      </w:pPr>
      <w:r w:rsidRPr="0000409E">
        <w:rPr>
          <w:rFonts w:ascii="Times New Roman" w:hAnsi="Times New Roman" w:cs="Times New Roman"/>
          <w:sz w:val="24"/>
          <w:szCs w:val="24"/>
          <w:lang w:val="en-IN"/>
        </w:rPr>
        <w:t>Required Sales Revenue: €500 \</w:t>
      </w:r>
      <w:proofErr w:type="gramStart"/>
      <w:r w:rsidRPr="0000409E">
        <w:rPr>
          <w:rFonts w:ascii="Times New Roman" w:hAnsi="Times New Roman" w:cs="Times New Roman"/>
          <w:sz w:val="24"/>
          <w:szCs w:val="24"/>
          <w:lang w:val="en-IN"/>
        </w:rPr>
        <w:t>text{ Guests</w:t>
      </w:r>
      <w:proofErr w:type="gramEnd"/>
      <w:r w:rsidRPr="0000409E">
        <w:rPr>
          <w:rFonts w:ascii="Times New Roman" w:hAnsi="Times New Roman" w:cs="Times New Roman"/>
          <w:sz w:val="24"/>
          <w:szCs w:val="24"/>
          <w:lang w:val="en-IN"/>
        </w:rPr>
        <w:t xml:space="preserve">} \times €1,200 = €600,000 </w:t>
      </w:r>
    </w:p>
    <w:p w14:paraId="587E89BB" w14:textId="77777777" w:rsidR="001F4A50" w:rsidRPr="003737CB" w:rsidRDefault="001F4A50" w:rsidP="00C303F9">
      <w:pPr>
        <w:spacing w:line="480" w:lineRule="auto"/>
        <w:rPr>
          <w:rFonts w:ascii="Times New Roman" w:hAnsi="Times New Roman" w:cs="Times New Roman"/>
          <w:sz w:val="24"/>
          <w:szCs w:val="24"/>
        </w:rPr>
      </w:pPr>
    </w:p>
    <w:p w14:paraId="5FB4AFF8" w14:textId="77777777" w:rsidR="00C303F9" w:rsidRPr="003737CB" w:rsidRDefault="00C303F9" w:rsidP="00C303F9">
      <w:pPr>
        <w:spacing w:line="480" w:lineRule="auto"/>
        <w:rPr>
          <w:rFonts w:ascii="Times New Roman" w:hAnsi="Times New Roman" w:cs="Times New Roman"/>
          <w:sz w:val="24"/>
          <w:szCs w:val="24"/>
        </w:rPr>
      </w:pPr>
    </w:p>
    <w:sectPr w:rsidR="00C303F9" w:rsidRPr="003737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50062"/>
    <w:multiLevelType w:val="multilevel"/>
    <w:tmpl w:val="AACA8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420FF"/>
    <w:multiLevelType w:val="multilevel"/>
    <w:tmpl w:val="F8207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EC55DD"/>
    <w:multiLevelType w:val="multilevel"/>
    <w:tmpl w:val="6C94D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7611D5"/>
    <w:multiLevelType w:val="multilevel"/>
    <w:tmpl w:val="B79A2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8A0937"/>
    <w:multiLevelType w:val="multilevel"/>
    <w:tmpl w:val="8B0A7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3F40B6"/>
    <w:multiLevelType w:val="multilevel"/>
    <w:tmpl w:val="6C206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1342920">
    <w:abstractNumId w:val="0"/>
  </w:num>
  <w:num w:numId="2" w16cid:durableId="1891190227">
    <w:abstractNumId w:val="2"/>
  </w:num>
  <w:num w:numId="3" w16cid:durableId="135806017">
    <w:abstractNumId w:val="1"/>
  </w:num>
  <w:num w:numId="4" w16cid:durableId="963855041">
    <w:abstractNumId w:val="5"/>
  </w:num>
  <w:num w:numId="5" w16cid:durableId="122621462">
    <w:abstractNumId w:val="4"/>
  </w:num>
  <w:num w:numId="6" w16cid:durableId="981374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00409E"/>
    <w:rsid w:val="0000409E"/>
    <w:rsid w:val="00097D4E"/>
    <w:rsid w:val="001B6A19"/>
    <w:rsid w:val="001B6BD5"/>
    <w:rsid w:val="001F4A50"/>
    <w:rsid w:val="003737CB"/>
    <w:rsid w:val="0058420B"/>
    <w:rsid w:val="006B52CD"/>
    <w:rsid w:val="009469FA"/>
    <w:rsid w:val="009F2C7B"/>
    <w:rsid w:val="00C303F9"/>
    <w:rsid w:val="00F72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B8F49"/>
  <w15:chartTrackingRefBased/>
  <w15:docId w15:val="{1BE5212A-88D4-4D42-B8FD-6E5E44D15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409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0409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0409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0409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0409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040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40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40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40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409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0409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0409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0409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0409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040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40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40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409E"/>
    <w:rPr>
      <w:rFonts w:eastAsiaTheme="majorEastAsia" w:cstheme="majorBidi"/>
      <w:color w:val="272727" w:themeColor="text1" w:themeTint="D8"/>
    </w:rPr>
  </w:style>
  <w:style w:type="paragraph" w:styleId="Title">
    <w:name w:val="Title"/>
    <w:basedOn w:val="Normal"/>
    <w:next w:val="Normal"/>
    <w:link w:val="TitleChar"/>
    <w:uiPriority w:val="10"/>
    <w:qFormat/>
    <w:rsid w:val="00004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40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409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40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40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409E"/>
    <w:rPr>
      <w:i/>
      <w:iCs/>
      <w:color w:val="404040" w:themeColor="text1" w:themeTint="BF"/>
    </w:rPr>
  </w:style>
  <w:style w:type="paragraph" w:styleId="ListParagraph">
    <w:name w:val="List Paragraph"/>
    <w:basedOn w:val="Normal"/>
    <w:uiPriority w:val="34"/>
    <w:qFormat/>
    <w:rsid w:val="0000409E"/>
    <w:pPr>
      <w:ind w:left="720"/>
      <w:contextualSpacing/>
    </w:pPr>
  </w:style>
  <w:style w:type="character" w:styleId="IntenseEmphasis">
    <w:name w:val="Intense Emphasis"/>
    <w:basedOn w:val="DefaultParagraphFont"/>
    <w:uiPriority w:val="21"/>
    <w:qFormat/>
    <w:rsid w:val="0000409E"/>
    <w:rPr>
      <w:i/>
      <w:iCs/>
      <w:color w:val="365F91" w:themeColor="accent1" w:themeShade="BF"/>
    </w:rPr>
  </w:style>
  <w:style w:type="paragraph" w:styleId="IntenseQuote">
    <w:name w:val="Intense Quote"/>
    <w:basedOn w:val="Normal"/>
    <w:next w:val="Normal"/>
    <w:link w:val="IntenseQuoteChar"/>
    <w:uiPriority w:val="30"/>
    <w:qFormat/>
    <w:rsid w:val="0000409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0409E"/>
    <w:rPr>
      <w:i/>
      <w:iCs/>
      <w:color w:val="365F91" w:themeColor="accent1" w:themeShade="BF"/>
    </w:rPr>
  </w:style>
  <w:style w:type="character" w:styleId="IntenseReference">
    <w:name w:val="Intense Reference"/>
    <w:basedOn w:val="DefaultParagraphFont"/>
    <w:uiPriority w:val="32"/>
    <w:qFormat/>
    <w:rsid w:val="0000409E"/>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25</Pages>
  <Words>4651</Words>
  <Characters>26511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Sanjiv Sangwan</dc:creator>
  <cp:keywords/>
  <dc:description/>
  <cp:lastModifiedBy>Sanjiv Sangwan</cp:lastModifiedBy>
  <cp:revision>7</cp:revision>
  <dcterms:created xsi:type="dcterms:W3CDTF">2025-12-13T14:38:00Z</dcterms:created>
  <dcterms:modified xsi:type="dcterms:W3CDTF">2025-12-13T15:08:00Z</dcterms:modified>
</cp:coreProperties>
</file>