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22A44D" w14:textId="77777777" w:rsidR="00426865" w:rsidRDefault="00672345">
      <w:r>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5405F710" w14:textId="77777777" w:rsidR="00672345" w:rsidRPr="0019504D" w:rsidRDefault="00672345" w:rsidP="00672345">
      <w:pPr>
        <w:rPr>
          <w:b/>
          <w:bCs/>
          <w:lang w:val="en-US"/>
        </w:rPr>
      </w:pPr>
      <w:r>
        <w:rPr>
          <w:b/>
          <w:bCs/>
          <w:lang w:val="en-US"/>
        </w:rPr>
        <w:t xml:space="preserve">Cultural Heritage Management </w:t>
      </w:r>
    </w:p>
    <w:p w14:paraId="03E3F988" w14:textId="77777777" w:rsidR="00672345" w:rsidRDefault="00672345" w:rsidP="00672345">
      <w:pPr>
        <w:rPr>
          <w:lang w:val="en-US"/>
        </w:rPr>
      </w:pPr>
      <w:r w:rsidRPr="0019504D">
        <w:rPr>
          <w:lang w:val="en-US"/>
        </w:rPr>
        <w:t>Ass</w:t>
      </w:r>
      <w:r>
        <w:rPr>
          <w:lang w:val="en-US"/>
        </w:rPr>
        <w:t>ignment</w:t>
      </w:r>
      <w:r w:rsidR="007C7917">
        <w:rPr>
          <w:lang w:val="en-US"/>
        </w:rPr>
        <w:t xml:space="preserve"> </w:t>
      </w:r>
      <w:r w:rsidR="00232559">
        <w:rPr>
          <w:lang w:val="en-US"/>
        </w:rPr>
        <w:t>10</w:t>
      </w:r>
    </w:p>
    <w:p w14:paraId="5BE88C47" w14:textId="77777777" w:rsidR="00672345" w:rsidRPr="0019504D" w:rsidRDefault="005E1FD5" w:rsidP="00672345">
      <w:pPr>
        <w:rPr>
          <w:lang w:val="en-US"/>
        </w:rPr>
      </w:pPr>
      <w:r>
        <w:rPr>
          <w:lang w:val="en-US"/>
        </w:rPr>
        <w:t>1</w:t>
      </w:r>
      <w:r w:rsidR="00232559">
        <w:rPr>
          <w:lang w:val="en-US"/>
        </w:rPr>
        <w:t>7</w:t>
      </w:r>
      <w:r w:rsidR="00672345">
        <w:rPr>
          <w:lang w:val="en-US"/>
        </w:rPr>
        <w:t>.0</w:t>
      </w:r>
      <w:r w:rsidR="00705037">
        <w:rPr>
          <w:lang w:val="en-US"/>
        </w:rPr>
        <w:t>6</w:t>
      </w:r>
      <w:r w:rsidR="00672345">
        <w:rPr>
          <w:lang w:val="en-US"/>
        </w:rPr>
        <w:t>.2026</w:t>
      </w:r>
    </w:p>
    <w:p w14:paraId="035A70A4" w14:textId="77777777" w:rsidR="00672345" w:rsidRDefault="00672345"/>
    <w:p w14:paraId="3F9FE5D2" w14:textId="77777777" w:rsidR="00672345" w:rsidRDefault="00672345"/>
    <w:p w14:paraId="74408380" w14:textId="77777777" w:rsidR="00672345" w:rsidRDefault="00672345"/>
    <w:p w14:paraId="6A01BA03" w14:textId="77777777" w:rsidR="00672345" w:rsidRDefault="00672345"/>
    <w:p w14:paraId="5F49F050" w14:textId="77777777" w:rsidR="00672345" w:rsidRDefault="00672345"/>
    <w:p w14:paraId="32950421" w14:textId="77777777" w:rsidR="00672345" w:rsidRDefault="00672345"/>
    <w:p w14:paraId="19CC4261" w14:textId="77777777" w:rsidR="00672345" w:rsidRDefault="00672345"/>
    <w:p w14:paraId="4C1B354A" w14:textId="77777777" w:rsidR="00672345" w:rsidRDefault="00672345"/>
    <w:p w14:paraId="4AD83E9C" w14:textId="77777777" w:rsidR="00672345" w:rsidRDefault="00672345"/>
    <w:p w14:paraId="64E6C1A2" w14:textId="77777777" w:rsidR="00672345" w:rsidRDefault="00672345"/>
    <w:p w14:paraId="039F5153" w14:textId="77777777" w:rsidR="00672345" w:rsidRDefault="00672345"/>
    <w:p w14:paraId="11FF9F18" w14:textId="77777777" w:rsidR="00672345" w:rsidRDefault="00672345"/>
    <w:p w14:paraId="16870934" w14:textId="77777777" w:rsidR="00672345" w:rsidRDefault="00672345"/>
    <w:p w14:paraId="5578CD2E" w14:textId="77777777" w:rsidR="00016EE8" w:rsidRDefault="00016EE8" w:rsidP="00016EE8">
      <w:pPr>
        <w:spacing w:line="276" w:lineRule="auto"/>
        <w:rPr>
          <w:b/>
          <w:bCs/>
          <w:lang w:val="en-US"/>
        </w:rPr>
      </w:pPr>
      <w:r w:rsidRPr="00EA737F">
        <w:rPr>
          <w:b/>
          <w:bCs/>
          <w:lang w:val="en-US"/>
        </w:rPr>
        <w:t>In no more than 500 words</w:t>
      </w:r>
      <w:r>
        <w:rPr>
          <w:b/>
          <w:bCs/>
          <w:lang w:val="en-US"/>
        </w:rPr>
        <w:t xml:space="preserve"> each, explain and 2-4 references:</w:t>
      </w:r>
    </w:p>
    <w:p w14:paraId="16644DE2" w14:textId="77777777" w:rsidR="00016EE8" w:rsidRDefault="00016EE8" w:rsidP="00016EE8">
      <w:pPr>
        <w:rPr>
          <w:lang w:val="en-US"/>
        </w:rPr>
      </w:pPr>
    </w:p>
    <w:p w14:paraId="210C875C" w14:textId="77777777" w:rsidR="00232559" w:rsidRPr="00232559" w:rsidRDefault="00705037" w:rsidP="00232559">
      <w:pPr>
        <w:spacing w:line="276" w:lineRule="auto"/>
        <w:rPr>
          <w:b/>
          <w:bCs/>
          <w:lang w:val="en-US"/>
        </w:rPr>
      </w:pPr>
      <w:r w:rsidRPr="005E1FD5">
        <w:rPr>
          <w:b/>
          <w:bCs/>
          <w:lang w:val="en-US"/>
        </w:rPr>
        <w:t xml:space="preserve">1- </w:t>
      </w:r>
      <w:r w:rsidR="00232559" w:rsidRPr="00232559">
        <w:rPr>
          <w:b/>
          <w:bCs/>
          <w:lang w:val="en-US"/>
        </w:rPr>
        <w:t>Define the following terms:</w:t>
      </w:r>
    </w:p>
    <w:p w14:paraId="78B186FF" w14:textId="77777777" w:rsidR="00232559" w:rsidRPr="00232559" w:rsidRDefault="00232559" w:rsidP="00232559">
      <w:pPr>
        <w:pStyle w:val="ListParagraph"/>
        <w:numPr>
          <w:ilvl w:val="0"/>
          <w:numId w:val="10"/>
        </w:numPr>
        <w:spacing w:line="276" w:lineRule="auto"/>
        <w:rPr>
          <w:lang w:val="en-US"/>
        </w:rPr>
      </w:pPr>
      <w:r w:rsidRPr="00232559">
        <w:rPr>
          <w:lang w:val="en-US"/>
        </w:rPr>
        <w:t>Stakeholder</w:t>
      </w:r>
    </w:p>
    <w:p w14:paraId="4D94D5C7" w14:textId="77777777" w:rsidR="00232559" w:rsidRPr="00232559" w:rsidRDefault="00232559" w:rsidP="00232559">
      <w:pPr>
        <w:pStyle w:val="ListParagraph"/>
        <w:numPr>
          <w:ilvl w:val="0"/>
          <w:numId w:val="10"/>
        </w:numPr>
        <w:spacing w:line="276" w:lineRule="auto"/>
        <w:rPr>
          <w:lang w:val="en-US"/>
        </w:rPr>
      </w:pPr>
      <w:r w:rsidRPr="00232559">
        <w:rPr>
          <w:lang w:val="en-US"/>
        </w:rPr>
        <w:t>Rights holder</w:t>
      </w:r>
    </w:p>
    <w:p w14:paraId="61DA17EC" w14:textId="77777777" w:rsidR="00232559" w:rsidRPr="00232559" w:rsidRDefault="00232559" w:rsidP="00232559">
      <w:pPr>
        <w:pStyle w:val="ListParagraph"/>
        <w:numPr>
          <w:ilvl w:val="0"/>
          <w:numId w:val="10"/>
        </w:numPr>
        <w:spacing w:line="276" w:lineRule="auto"/>
        <w:rPr>
          <w:lang w:val="en-US"/>
        </w:rPr>
      </w:pPr>
      <w:r w:rsidRPr="00232559">
        <w:rPr>
          <w:lang w:val="en-US"/>
        </w:rPr>
        <w:t>People-centered heritage management</w:t>
      </w:r>
    </w:p>
    <w:p w14:paraId="06D49067" w14:textId="77777777" w:rsidR="00232559" w:rsidRPr="00232559" w:rsidRDefault="00232559" w:rsidP="00232559">
      <w:pPr>
        <w:pStyle w:val="ListParagraph"/>
        <w:numPr>
          <w:ilvl w:val="0"/>
          <w:numId w:val="10"/>
        </w:numPr>
        <w:spacing w:line="276" w:lineRule="auto"/>
        <w:rPr>
          <w:lang w:val="en-US"/>
        </w:rPr>
      </w:pPr>
      <w:r w:rsidRPr="00232559">
        <w:rPr>
          <w:lang w:val="en-US"/>
        </w:rPr>
        <w:t>Capacity building</w:t>
      </w:r>
    </w:p>
    <w:p w14:paraId="23B486D4" w14:textId="77777777" w:rsidR="00232559" w:rsidRPr="00232559" w:rsidRDefault="00232559" w:rsidP="00232559">
      <w:pPr>
        <w:spacing w:line="276" w:lineRule="auto"/>
        <w:rPr>
          <w:b/>
          <w:bCs/>
          <w:lang w:val="en-US"/>
        </w:rPr>
      </w:pPr>
    </w:p>
    <w:p w14:paraId="5FA52A76" w14:textId="77777777" w:rsidR="00232559" w:rsidRPr="00232559" w:rsidRDefault="00232559" w:rsidP="00232559">
      <w:pPr>
        <w:spacing w:line="276" w:lineRule="auto"/>
        <w:rPr>
          <w:b/>
          <w:bCs/>
          <w:lang w:val="en-US"/>
        </w:rPr>
      </w:pPr>
      <w:r>
        <w:rPr>
          <w:b/>
          <w:bCs/>
          <w:lang w:val="en-US"/>
        </w:rPr>
        <w:t xml:space="preserve">2- </w:t>
      </w:r>
      <w:r w:rsidRPr="00232559">
        <w:rPr>
          <w:b/>
          <w:bCs/>
          <w:lang w:val="en-US"/>
        </w:rPr>
        <w:t>Analyze a heritage site you have visited and discuss whether its management approach appears:</w:t>
      </w:r>
    </w:p>
    <w:p w14:paraId="5E5ADA97" w14:textId="77777777" w:rsidR="00232559" w:rsidRPr="00232559" w:rsidRDefault="00232559" w:rsidP="00232559">
      <w:pPr>
        <w:pStyle w:val="ListParagraph"/>
        <w:numPr>
          <w:ilvl w:val="0"/>
          <w:numId w:val="11"/>
        </w:numPr>
        <w:spacing w:line="276" w:lineRule="auto"/>
        <w:rPr>
          <w:lang w:val="en-US"/>
        </w:rPr>
      </w:pPr>
      <w:r w:rsidRPr="00232559">
        <w:rPr>
          <w:lang w:val="en-US"/>
        </w:rPr>
        <w:t>Expert-centered</w:t>
      </w:r>
    </w:p>
    <w:p w14:paraId="5E80B802" w14:textId="77777777" w:rsidR="00232559" w:rsidRPr="00232559" w:rsidRDefault="00232559" w:rsidP="00232559">
      <w:pPr>
        <w:pStyle w:val="ListParagraph"/>
        <w:numPr>
          <w:ilvl w:val="0"/>
          <w:numId w:val="11"/>
        </w:numPr>
        <w:spacing w:line="276" w:lineRule="auto"/>
        <w:rPr>
          <w:lang w:val="en-US"/>
        </w:rPr>
      </w:pPr>
      <w:r w:rsidRPr="00232559">
        <w:rPr>
          <w:lang w:val="en-US"/>
        </w:rPr>
        <w:t>Values-based</w:t>
      </w:r>
    </w:p>
    <w:p w14:paraId="0B2006D0" w14:textId="77777777" w:rsidR="00CF34F8" w:rsidRDefault="00232559" w:rsidP="00232559">
      <w:pPr>
        <w:pStyle w:val="ListParagraph"/>
        <w:numPr>
          <w:ilvl w:val="0"/>
          <w:numId w:val="11"/>
        </w:numPr>
        <w:spacing w:line="276" w:lineRule="auto"/>
        <w:rPr>
          <w:lang w:val="en-US"/>
        </w:rPr>
      </w:pPr>
      <w:r w:rsidRPr="00232559">
        <w:rPr>
          <w:lang w:val="en-US"/>
        </w:rPr>
        <w:t xml:space="preserve">Or </w:t>
      </w:r>
      <w:proofErr w:type="gramStart"/>
      <w:r w:rsidRPr="00232559">
        <w:rPr>
          <w:lang w:val="en-US"/>
        </w:rPr>
        <w:t>people-centered</w:t>
      </w:r>
      <w:proofErr w:type="gramEnd"/>
      <w:r w:rsidRPr="00232559">
        <w:rPr>
          <w:lang w:val="en-US"/>
        </w:rPr>
        <w:t>.</w:t>
      </w:r>
    </w:p>
    <w:p w14:paraId="63955D71" w14:textId="77777777" w:rsidR="00F61E85" w:rsidRDefault="00F61E85" w:rsidP="00F61E85">
      <w:pPr>
        <w:pStyle w:val="ListParagraph"/>
        <w:spacing w:line="276" w:lineRule="auto"/>
        <w:ind w:left="0"/>
        <w:rPr>
          <w:lang w:val="en-US"/>
        </w:rPr>
      </w:pPr>
    </w:p>
    <w:p w14:paraId="72110D4E" w14:textId="77777777" w:rsidR="00F61E85" w:rsidRDefault="00F61E85" w:rsidP="00F61E85">
      <w:pPr>
        <w:pStyle w:val="ListParagraph"/>
        <w:spacing w:line="276" w:lineRule="auto"/>
        <w:ind w:left="0"/>
        <w:rPr>
          <w:lang w:val="en-US"/>
        </w:rPr>
      </w:pPr>
    </w:p>
    <w:p w14:paraId="73D16080" w14:textId="77777777" w:rsidR="00F61E85" w:rsidRDefault="00F61E85" w:rsidP="00F61E85">
      <w:pPr>
        <w:pStyle w:val="ListParagraph"/>
        <w:spacing w:line="276" w:lineRule="auto"/>
        <w:ind w:left="0"/>
        <w:rPr>
          <w:lang w:val="en-US"/>
        </w:rPr>
      </w:pPr>
    </w:p>
    <w:p w14:paraId="5B873409" w14:textId="77777777" w:rsidR="00F61E85" w:rsidRDefault="00F61E85" w:rsidP="00F61E85">
      <w:pPr>
        <w:pStyle w:val="ListParagraph"/>
        <w:spacing w:line="276" w:lineRule="auto"/>
        <w:ind w:left="0"/>
        <w:rPr>
          <w:lang w:val="en-US"/>
        </w:rPr>
      </w:pPr>
    </w:p>
    <w:p w14:paraId="089BD937" w14:textId="77777777" w:rsidR="00F61E85" w:rsidRDefault="00F61E85" w:rsidP="00F61E85">
      <w:pPr>
        <w:pStyle w:val="ListParagraph"/>
        <w:spacing w:line="276" w:lineRule="auto"/>
        <w:ind w:left="0"/>
        <w:rPr>
          <w:lang w:val="en-US"/>
        </w:rPr>
      </w:pPr>
    </w:p>
    <w:p w14:paraId="44859A06" w14:textId="77777777" w:rsidR="00F61E85" w:rsidRDefault="00F61E85" w:rsidP="00F61E85">
      <w:pPr>
        <w:pStyle w:val="ListParagraph"/>
        <w:spacing w:line="276" w:lineRule="auto"/>
        <w:ind w:left="0"/>
        <w:rPr>
          <w:lang w:val="en-US"/>
        </w:rPr>
      </w:pPr>
    </w:p>
    <w:p w14:paraId="4E1047E7" w14:textId="77777777" w:rsidR="00F61E85" w:rsidRDefault="00F61E85" w:rsidP="00F61E85">
      <w:pPr>
        <w:pStyle w:val="ListParagraph"/>
        <w:spacing w:line="276" w:lineRule="auto"/>
        <w:ind w:left="0"/>
        <w:rPr>
          <w:lang w:val="en-US"/>
        </w:rPr>
      </w:pPr>
    </w:p>
    <w:p w14:paraId="50FF8A3B" w14:textId="77777777" w:rsidR="00F61E85" w:rsidRDefault="00F61E85" w:rsidP="00F61E85">
      <w:pPr>
        <w:pStyle w:val="ListParagraph"/>
        <w:spacing w:line="276" w:lineRule="auto"/>
        <w:ind w:left="0"/>
        <w:rPr>
          <w:lang w:val="en-US"/>
        </w:rPr>
      </w:pPr>
    </w:p>
    <w:p w14:paraId="6453589D" w14:textId="77777777" w:rsidR="00F61E85" w:rsidRDefault="00F61E85" w:rsidP="00F61E85">
      <w:pPr>
        <w:pStyle w:val="ListParagraph"/>
        <w:spacing w:line="276" w:lineRule="auto"/>
        <w:ind w:left="0"/>
        <w:rPr>
          <w:lang w:val="en-US"/>
        </w:rPr>
      </w:pPr>
    </w:p>
    <w:p w14:paraId="55ED39F0" w14:textId="77777777" w:rsidR="00F61E85" w:rsidRDefault="00F61E85" w:rsidP="00F61E85">
      <w:pPr>
        <w:pStyle w:val="ListParagraph"/>
        <w:spacing w:line="276" w:lineRule="auto"/>
        <w:ind w:left="0"/>
        <w:rPr>
          <w:lang w:val="en-US"/>
        </w:rPr>
      </w:pPr>
    </w:p>
    <w:p w14:paraId="5EFAEBA0" w14:textId="77777777" w:rsidR="00F61E85" w:rsidRDefault="00F61E85" w:rsidP="00F61E85">
      <w:pPr>
        <w:pStyle w:val="ListParagraph"/>
        <w:spacing w:line="276" w:lineRule="auto"/>
        <w:ind w:left="0"/>
        <w:rPr>
          <w:lang w:val="en-US"/>
        </w:rPr>
      </w:pPr>
    </w:p>
    <w:p w14:paraId="15ED44D6" w14:textId="77777777" w:rsidR="00F61E85" w:rsidRDefault="00F61E85" w:rsidP="00F61E85">
      <w:pPr>
        <w:pStyle w:val="ListParagraph"/>
        <w:spacing w:line="276" w:lineRule="auto"/>
        <w:ind w:left="0"/>
        <w:rPr>
          <w:lang w:val="en-US"/>
        </w:rPr>
      </w:pPr>
    </w:p>
    <w:p w14:paraId="51771667" w14:textId="77777777" w:rsidR="00DF7E49" w:rsidRDefault="00DF7E49" w:rsidP="00F61E85">
      <w:pPr>
        <w:pStyle w:val="ListParagraph"/>
        <w:spacing w:line="276" w:lineRule="auto"/>
        <w:ind w:left="0"/>
        <w:rPr>
          <w:lang w:val="en-US"/>
        </w:rPr>
      </w:pPr>
    </w:p>
    <w:p w14:paraId="4C246B5A" w14:textId="77777777" w:rsidR="00905BF5" w:rsidRPr="00905BF5" w:rsidRDefault="00905BF5" w:rsidP="00905BF5">
      <w:pPr>
        <w:pStyle w:val="ListParagraph"/>
        <w:spacing w:line="276" w:lineRule="auto"/>
        <w:rPr>
          <w:b/>
          <w:bCs/>
          <w:lang w:val="en-GB"/>
        </w:rPr>
      </w:pPr>
      <w:r w:rsidRPr="00905BF5">
        <w:rPr>
          <w:b/>
          <w:bCs/>
          <w:lang w:val="en-GB"/>
        </w:rPr>
        <w:lastRenderedPageBreak/>
        <w:t>Stakeholder</w:t>
      </w:r>
    </w:p>
    <w:p w14:paraId="2C3731F0" w14:textId="77777777" w:rsidR="00905BF5" w:rsidRPr="00905BF5" w:rsidRDefault="00905BF5" w:rsidP="00905BF5">
      <w:pPr>
        <w:pStyle w:val="ListParagraph"/>
        <w:spacing w:line="276" w:lineRule="auto"/>
        <w:rPr>
          <w:lang w:val="en-GB"/>
        </w:rPr>
      </w:pPr>
      <w:r w:rsidRPr="00905BF5">
        <w:rPr>
          <w:lang w:val="en-GB"/>
        </w:rPr>
        <w:t xml:space="preserve">A stakeholder is any individual, group, or institution that has an interest in, influences, or is affected by the management of a heritage site. Stakeholders in heritage management can include local communities, government authorities, conservation experts, tourists, businesses, researchers, and non-governmental organizations. Each stakeholder may value heritage differently—for example, </w:t>
      </w:r>
      <w:proofErr w:type="gramStart"/>
      <w:r w:rsidRPr="00905BF5">
        <w:rPr>
          <w:lang w:val="en-GB"/>
        </w:rPr>
        <w:t>local residents</w:t>
      </w:r>
      <w:proofErr w:type="gramEnd"/>
      <w:r w:rsidRPr="00905BF5">
        <w:rPr>
          <w:lang w:val="en-GB"/>
        </w:rPr>
        <w:t xml:space="preserve"> may emphasize cultural identity, while tourism operators may focus on economic benefits. Because heritage resources serve multiple purposes and audiences, stakeholder participation is essential for balanced and sustainable management. Engaging stakeholders helps improve decision-making, reduce conflicts, and ensure that heritage conservation reflects a broad range of social and cultural interests.</w:t>
      </w:r>
    </w:p>
    <w:p w14:paraId="5C83A0A6" w14:textId="77777777" w:rsidR="00905BF5" w:rsidRPr="00905BF5" w:rsidRDefault="00905BF5" w:rsidP="00905BF5">
      <w:pPr>
        <w:pStyle w:val="ListParagraph"/>
        <w:spacing w:line="276" w:lineRule="auto"/>
        <w:rPr>
          <w:b/>
          <w:bCs/>
          <w:lang w:val="en-GB"/>
        </w:rPr>
      </w:pPr>
      <w:r w:rsidRPr="00905BF5">
        <w:rPr>
          <w:b/>
          <w:bCs/>
          <w:lang w:val="en-GB"/>
        </w:rPr>
        <w:t>Rights Holder</w:t>
      </w:r>
    </w:p>
    <w:p w14:paraId="40B6DFB0" w14:textId="77777777" w:rsidR="00905BF5" w:rsidRPr="00905BF5" w:rsidRDefault="00905BF5" w:rsidP="00905BF5">
      <w:pPr>
        <w:pStyle w:val="ListParagraph"/>
        <w:spacing w:line="276" w:lineRule="auto"/>
        <w:rPr>
          <w:lang w:val="en-GB"/>
        </w:rPr>
      </w:pPr>
      <w:r w:rsidRPr="00905BF5">
        <w:rPr>
          <w:lang w:val="en-GB"/>
        </w:rPr>
        <w:t>A rights holder is a person or group that possesses recognized legal, cultural, religious, or traditional rights related to a heritage resource. Rights holders differ from general stakeholders because they have specific claims or entitlements connected to the heritage place. Indigenous peoples, local communities, traditional custodians, and religious groups often qualify as rights holders due to their historical or cultural relationships with heritage sites. International heritage frameworks increasingly emphasize recognizing the rights of these groups, including their rights to participate in management decisions, safeguard traditional knowledge, and maintain cultural practices associated with heritage. Respecting rights holders promotes ethical and inclusive heritage governance.</w:t>
      </w:r>
    </w:p>
    <w:p w14:paraId="42B0458B" w14:textId="77777777" w:rsidR="00905BF5" w:rsidRPr="00905BF5" w:rsidRDefault="00905BF5" w:rsidP="00905BF5">
      <w:pPr>
        <w:pStyle w:val="ListParagraph"/>
        <w:spacing w:line="276" w:lineRule="auto"/>
        <w:rPr>
          <w:b/>
          <w:bCs/>
          <w:lang w:val="en-GB"/>
        </w:rPr>
      </w:pPr>
      <w:r w:rsidRPr="00905BF5">
        <w:rPr>
          <w:b/>
          <w:bCs/>
          <w:lang w:val="en-GB"/>
        </w:rPr>
        <w:t>People-</w:t>
      </w:r>
      <w:proofErr w:type="spellStart"/>
      <w:r w:rsidRPr="00905BF5">
        <w:rPr>
          <w:b/>
          <w:bCs/>
          <w:lang w:val="en-GB"/>
        </w:rPr>
        <w:t>Centered</w:t>
      </w:r>
      <w:proofErr w:type="spellEnd"/>
      <w:r w:rsidRPr="00905BF5">
        <w:rPr>
          <w:b/>
          <w:bCs/>
          <w:lang w:val="en-GB"/>
        </w:rPr>
        <w:t xml:space="preserve"> Heritage Management</w:t>
      </w:r>
    </w:p>
    <w:p w14:paraId="7F68C0D5" w14:textId="77777777" w:rsidR="00905BF5" w:rsidRPr="00905BF5" w:rsidRDefault="00905BF5" w:rsidP="00905BF5">
      <w:pPr>
        <w:pStyle w:val="ListParagraph"/>
        <w:spacing w:line="276" w:lineRule="auto"/>
        <w:rPr>
          <w:lang w:val="en-GB"/>
        </w:rPr>
      </w:pPr>
      <w:r w:rsidRPr="00905BF5">
        <w:rPr>
          <w:lang w:val="en-GB"/>
        </w:rPr>
        <w:t>People-</w:t>
      </w:r>
      <w:proofErr w:type="spellStart"/>
      <w:r w:rsidRPr="00905BF5">
        <w:rPr>
          <w:lang w:val="en-GB"/>
        </w:rPr>
        <w:t>centered</w:t>
      </w:r>
      <w:proofErr w:type="spellEnd"/>
      <w:r w:rsidRPr="00905BF5">
        <w:rPr>
          <w:lang w:val="en-GB"/>
        </w:rPr>
        <w:t xml:space="preserve"> heritage management is an approach that recognizes people as the primary beneficiaries, custodians, and creators of heritage. Rather than concentrating solely on monuments or physical conservation, it emphasizes community participation, social values, cultural practices, and local knowledge. This approach seeks to involve communities in planning, decision-making, and conservation activities while ensuring that heritage contributes to social well-being and sustainable development. People-</w:t>
      </w:r>
      <w:proofErr w:type="spellStart"/>
      <w:r w:rsidRPr="00905BF5">
        <w:rPr>
          <w:lang w:val="en-GB"/>
        </w:rPr>
        <w:t>centered</w:t>
      </w:r>
      <w:proofErr w:type="spellEnd"/>
      <w:r w:rsidRPr="00905BF5">
        <w:rPr>
          <w:lang w:val="en-GB"/>
        </w:rPr>
        <w:t xml:space="preserve"> management acknowledges that heritage gains significance through the meanings people attach to it and therefore promotes collaboration between experts, communities, and institutions to achieve conservation goals.</w:t>
      </w:r>
    </w:p>
    <w:p w14:paraId="70BA9553" w14:textId="77777777" w:rsidR="00905BF5" w:rsidRPr="00905BF5" w:rsidRDefault="00905BF5" w:rsidP="00905BF5">
      <w:pPr>
        <w:pStyle w:val="ListParagraph"/>
        <w:spacing w:line="276" w:lineRule="auto"/>
        <w:rPr>
          <w:b/>
          <w:bCs/>
          <w:lang w:val="en-GB"/>
        </w:rPr>
      </w:pPr>
      <w:r w:rsidRPr="00905BF5">
        <w:rPr>
          <w:b/>
          <w:bCs/>
          <w:lang w:val="en-GB"/>
        </w:rPr>
        <w:t>Capacity Building</w:t>
      </w:r>
    </w:p>
    <w:p w14:paraId="40FF8B5C" w14:textId="77777777" w:rsidR="00905BF5" w:rsidRPr="00905BF5" w:rsidRDefault="00905BF5" w:rsidP="00905BF5">
      <w:pPr>
        <w:pStyle w:val="ListParagraph"/>
        <w:spacing w:line="276" w:lineRule="auto"/>
        <w:rPr>
          <w:lang w:val="en-GB"/>
        </w:rPr>
      </w:pPr>
      <w:r w:rsidRPr="00905BF5">
        <w:rPr>
          <w:lang w:val="en-GB"/>
        </w:rPr>
        <w:t xml:space="preserve">Capacity building refers to efforts aimed at strengthening the skills, knowledge, resources, and institutional capabilities needed for effective heritage conservation and management. It may involve training heritage professionals, educating local communities, improving governance systems, developing technical expertise, and enhancing organizational effectiveness. Capacity building is considered essential because sustainable heritage management requires competent individuals and </w:t>
      </w:r>
      <w:r w:rsidRPr="00905BF5">
        <w:rPr>
          <w:lang w:val="en-GB"/>
        </w:rPr>
        <w:lastRenderedPageBreak/>
        <w:t>institutions capable of addressing conservation challenges. It also empowers local communities and stakeholders to participate actively in protecting and managing heritage resources, ensuring long-term conservation success.</w:t>
      </w:r>
    </w:p>
    <w:p w14:paraId="26922C27" w14:textId="19F41C8C" w:rsidR="00905BF5" w:rsidRPr="00905BF5" w:rsidRDefault="00905BF5" w:rsidP="00905BF5">
      <w:pPr>
        <w:pStyle w:val="ListParagraph"/>
        <w:spacing w:line="276" w:lineRule="auto"/>
        <w:rPr>
          <w:lang w:val="en-GB"/>
        </w:rPr>
      </w:pPr>
    </w:p>
    <w:p w14:paraId="50B4A4F1" w14:textId="77777777" w:rsidR="00905BF5" w:rsidRPr="00905BF5" w:rsidRDefault="00905BF5" w:rsidP="00905BF5">
      <w:pPr>
        <w:pStyle w:val="ListParagraph"/>
        <w:spacing w:line="276" w:lineRule="auto"/>
        <w:rPr>
          <w:b/>
          <w:bCs/>
          <w:lang w:val="en-GB"/>
        </w:rPr>
      </w:pPr>
      <w:r w:rsidRPr="00905BF5">
        <w:rPr>
          <w:b/>
          <w:bCs/>
          <w:lang w:val="en-GB"/>
        </w:rPr>
        <w:t>2. Heritage Site Analysis: Jaipur Walled City, Rajasthan, India</w:t>
      </w:r>
    </w:p>
    <w:p w14:paraId="3D28840C" w14:textId="77777777" w:rsidR="00905BF5" w:rsidRPr="00905BF5" w:rsidRDefault="00905BF5" w:rsidP="00905BF5">
      <w:pPr>
        <w:pStyle w:val="ListParagraph"/>
        <w:spacing w:line="276" w:lineRule="auto"/>
        <w:rPr>
          <w:lang w:val="en-GB"/>
        </w:rPr>
      </w:pPr>
      <w:r w:rsidRPr="00905BF5">
        <w:rPr>
          <w:lang w:val="en-GB"/>
        </w:rPr>
        <w:t xml:space="preserve">The </w:t>
      </w:r>
      <w:r w:rsidRPr="00905BF5">
        <w:rPr>
          <w:b/>
          <w:bCs/>
          <w:lang w:val="en-GB"/>
        </w:rPr>
        <w:t>Jaipur City</w:t>
      </w:r>
      <w:r w:rsidRPr="00905BF5">
        <w:rPr>
          <w:lang w:val="en-GB"/>
        </w:rPr>
        <w:t xml:space="preserve">, inscribed on the UNESCO World Heritage List in 2019, demonstrates many characteristics of a </w:t>
      </w:r>
      <w:r w:rsidRPr="00905BF5">
        <w:rPr>
          <w:b/>
          <w:bCs/>
          <w:lang w:val="en-GB"/>
        </w:rPr>
        <w:t>people-</w:t>
      </w:r>
      <w:proofErr w:type="spellStart"/>
      <w:r w:rsidRPr="00905BF5">
        <w:rPr>
          <w:b/>
          <w:bCs/>
          <w:lang w:val="en-GB"/>
        </w:rPr>
        <w:t>centered</w:t>
      </w:r>
      <w:proofErr w:type="spellEnd"/>
      <w:r w:rsidRPr="00905BF5">
        <w:rPr>
          <w:b/>
          <w:bCs/>
          <w:lang w:val="en-GB"/>
        </w:rPr>
        <w:t xml:space="preserve"> heritage management approach</w:t>
      </w:r>
      <w:r w:rsidRPr="00905BF5">
        <w:rPr>
          <w:lang w:val="en-GB"/>
        </w:rPr>
        <w:t>, although elements of values-based management are also present.</w:t>
      </w:r>
    </w:p>
    <w:p w14:paraId="565E99AC" w14:textId="77777777" w:rsidR="00905BF5" w:rsidRPr="00905BF5" w:rsidRDefault="00905BF5" w:rsidP="00905BF5">
      <w:pPr>
        <w:pStyle w:val="ListParagraph"/>
        <w:spacing w:line="276" w:lineRule="auto"/>
        <w:rPr>
          <w:b/>
          <w:bCs/>
          <w:lang w:val="en-GB"/>
        </w:rPr>
      </w:pPr>
      <w:r w:rsidRPr="00905BF5">
        <w:rPr>
          <w:b/>
          <w:bCs/>
          <w:lang w:val="en-GB"/>
        </w:rPr>
        <w:t>People-</w:t>
      </w:r>
      <w:proofErr w:type="spellStart"/>
      <w:r w:rsidRPr="00905BF5">
        <w:rPr>
          <w:b/>
          <w:bCs/>
          <w:lang w:val="en-GB"/>
        </w:rPr>
        <w:t>Centered</w:t>
      </w:r>
      <w:proofErr w:type="spellEnd"/>
      <w:r w:rsidRPr="00905BF5">
        <w:rPr>
          <w:b/>
          <w:bCs/>
          <w:lang w:val="en-GB"/>
        </w:rPr>
        <w:t xml:space="preserve"> Characteristics</w:t>
      </w:r>
    </w:p>
    <w:p w14:paraId="063A491C" w14:textId="77777777" w:rsidR="00905BF5" w:rsidRPr="00905BF5" w:rsidRDefault="00905BF5" w:rsidP="00905BF5">
      <w:pPr>
        <w:pStyle w:val="ListParagraph"/>
        <w:spacing w:line="276" w:lineRule="auto"/>
        <w:rPr>
          <w:lang w:val="en-GB"/>
        </w:rPr>
      </w:pPr>
      <w:r w:rsidRPr="00905BF5">
        <w:rPr>
          <w:lang w:val="en-GB"/>
        </w:rPr>
        <w:t>The management of Jaipur's historic urban landscape recognizes that the city is not merely a collection of historic buildings but a living heritage environment where residents continue to live, work, worship, and conduct traditional economic activities. Local artisans, shopkeepers, religious communities, and residents play a significant role in maintaining the city's cultural identity. Heritage conservation efforts often seek to preserve traditional crafts, markets, festivals, and community practices alongside physical structures.</w:t>
      </w:r>
    </w:p>
    <w:p w14:paraId="051360B0" w14:textId="77777777" w:rsidR="00905BF5" w:rsidRPr="00905BF5" w:rsidRDefault="00905BF5" w:rsidP="00905BF5">
      <w:pPr>
        <w:pStyle w:val="ListParagraph"/>
        <w:spacing w:line="276" w:lineRule="auto"/>
        <w:rPr>
          <w:lang w:val="en-GB"/>
        </w:rPr>
      </w:pPr>
      <w:r w:rsidRPr="00905BF5">
        <w:rPr>
          <w:lang w:val="en-GB"/>
        </w:rPr>
        <w:t>Government agencies and heritage organizations have increasingly encouraged public participation through awareness programs, community consultations, and initiatives supporting traditional livelihoods. Such efforts reflect the understanding that heritage conservation is most effective when local communities benefit directly from preservation activities.</w:t>
      </w:r>
    </w:p>
    <w:p w14:paraId="5370E52D" w14:textId="77777777" w:rsidR="00905BF5" w:rsidRPr="00905BF5" w:rsidRDefault="00905BF5" w:rsidP="00905BF5">
      <w:pPr>
        <w:pStyle w:val="ListParagraph"/>
        <w:spacing w:line="276" w:lineRule="auto"/>
        <w:rPr>
          <w:b/>
          <w:bCs/>
          <w:lang w:val="en-GB"/>
        </w:rPr>
      </w:pPr>
      <w:r w:rsidRPr="00905BF5">
        <w:rPr>
          <w:b/>
          <w:bCs/>
          <w:lang w:val="en-GB"/>
        </w:rPr>
        <w:t>Values-Based Features</w:t>
      </w:r>
    </w:p>
    <w:p w14:paraId="2D14D3C1" w14:textId="77777777" w:rsidR="00905BF5" w:rsidRPr="00905BF5" w:rsidRDefault="00905BF5" w:rsidP="00905BF5">
      <w:pPr>
        <w:pStyle w:val="ListParagraph"/>
        <w:spacing w:line="276" w:lineRule="auto"/>
        <w:rPr>
          <w:lang w:val="en-GB"/>
        </w:rPr>
      </w:pPr>
      <w:r w:rsidRPr="00905BF5">
        <w:rPr>
          <w:lang w:val="en-GB"/>
        </w:rPr>
        <w:t>The city is also managed according to values-based principles. Conservation policies emphasize Jaipur's architectural significance, urban planning heritage, cultural traditions, and historical importance. Restoration projects and planning regulations are designed to protect the cultural values that contributed to its World Heritage designation.</w:t>
      </w:r>
    </w:p>
    <w:p w14:paraId="130C55E1" w14:textId="77777777" w:rsidR="00905BF5" w:rsidRPr="00905BF5" w:rsidRDefault="00905BF5" w:rsidP="00905BF5">
      <w:pPr>
        <w:pStyle w:val="ListParagraph"/>
        <w:spacing w:line="276" w:lineRule="auto"/>
        <w:rPr>
          <w:b/>
          <w:bCs/>
          <w:lang w:val="en-GB"/>
        </w:rPr>
      </w:pPr>
      <w:r w:rsidRPr="00905BF5">
        <w:rPr>
          <w:b/>
          <w:bCs/>
          <w:lang w:val="en-GB"/>
        </w:rPr>
        <w:t>Expert-</w:t>
      </w:r>
      <w:proofErr w:type="spellStart"/>
      <w:r w:rsidRPr="00905BF5">
        <w:rPr>
          <w:b/>
          <w:bCs/>
          <w:lang w:val="en-GB"/>
        </w:rPr>
        <w:t>Centered</w:t>
      </w:r>
      <w:proofErr w:type="spellEnd"/>
      <w:r w:rsidRPr="00905BF5">
        <w:rPr>
          <w:b/>
          <w:bCs/>
          <w:lang w:val="en-GB"/>
        </w:rPr>
        <w:t xml:space="preserve"> Elements</w:t>
      </w:r>
    </w:p>
    <w:p w14:paraId="5B474625" w14:textId="77777777" w:rsidR="00905BF5" w:rsidRPr="00905BF5" w:rsidRDefault="00905BF5" w:rsidP="00905BF5">
      <w:pPr>
        <w:pStyle w:val="ListParagraph"/>
        <w:spacing w:line="276" w:lineRule="auto"/>
        <w:rPr>
          <w:lang w:val="en-GB"/>
        </w:rPr>
      </w:pPr>
      <w:r w:rsidRPr="00905BF5">
        <w:rPr>
          <w:lang w:val="en-GB"/>
        </w:rPr>
        <w:t>Professional conservation experts, urban planners, architects, and government authorities remain responsible for major planning and restoration decisions. Technical expertise is necessary to address challenges such as urban development pressure, traffic management, tourism impacts, and building conservation.</w:t>
      </w:r>
    </w:p>
    <w:p w14:paraId="585AD620" w14:textId="77777777" w:rsidR="00905BF5" w:rsidRPr="00905BF5" w:rsidRDefault="00905BF5" w:rsidP="00905BF5">
      <w:pPr>
        <w:pStyle w:val="ListParagraph"/>
        <w:spacing w:line="276" w:lineRule="auto"/>
        <w:rPr>
          <w:b/>
          <w:bCs/>
          <w:lang w:val="en-GB"/>
        </w:rPr>
      </w:pPr>
      <w:r w:rsidRPr="00905BF5">
        <w:rPr>
          <w:b/>
          <w:bCs/>
          <w:lang w:val="en-GB"/>
        </w:rPr>
        <w:t>Overall Assessment</w:t>
      </w:r>
    </w:p>
    <w:p w14:paraId="2FD57DEA" w14:textId="77777777" w:rsidR="00905BF5" w:rsidRPr="00905BF5" w:rsidRDefault="00905BF5" w:rsidP="00905BF5">
      <w:pPr>
        <w:pStyle w:val="ListParagraph"/>
        <w:spacing w:line="276" w:lineRule="auto"/>
        <w:rPr>
          <w:lang w:val="en-GB"/>
        </w:rPr>
      </w:pPr>
      <w:r w:rsidRPr="00905BF5">
        <w:rPr>
          <w:lang w:val="en-GB"/>
        </w:rPr>
        <w:t xml:space="preserve">Although expert knowledge and heritage values remain important, Jaipur's management approach is best described as </w:t>
      </w:r>
      <w:r w:rsidRPr="00905BF5">
        <w:rPr>
          <w:b/>
          <w:bCs/>
          <w:lang w:val="en-GB"/>
        </w:rPr>
        <w:t>people-</w:t>
      </w:r>
      <w:proofErr w:type="spellStart"/>
      <w:r w:rsidRPr="00905BF5">
        <w:rPr>
          <w:b/>
          <w:bCs/>
          <w:lang w:val="en-GB"/>
        </w:rPr>
        <w:t>centered</w:t>
      </w:r>
      <w:proofErr w:type="spellEnd"/>
      <w:r w:rsidRPr="00905BF5">
        <w:rPr>
          <w:lang w:val="en-GB"/>
        </w:rPr>
        <w:t xml:space="preserve"> because it recognizes the city as a living heritage landscape where communities are active participants rather than passive beneficiaries. The integration of cultural traditions, local livelihoods, and community engagement into conservation strategies reflects key principles of people-</w:t>
      </w:r>
      <w:proofErr w:type="spellStart"/>
      <w:r w:rsidRPr="00905BF5">
        <w:rPr>
          <w:lang w:val="en-GB"/>
        </w:rPr>
        <w:t>centered</w:t>
      </w:r>
      <w:proofErr w:type="spellEnd"/>
      <w:r w:rsidRPr="00905BF5">
        <w:rPr>
          <w:lang w:val="en-GB"/>
        </w:rPr>
        <w:t xml:space="preserve"> heritage management.</w:t>
      </w:r>
    </w:p>
    <w:p w14:paraId="2C4C5040" w14:textId="44F7DBAF" w:rsidR="00905BF5" w:rsidRDefault="00905BF5" w:rsidP="00905BF5">
      <w:pPr>
        <w:pStyle w:val="ListParagraph"/>
        <w:spacing w:line="276" w:lineRule="auto"/>
        <w:rPr>
          <w:lang w:val="en-GB"/>
        </w:rPr>
      </w:pPr>
    </w:p>
    <w:p w14:paraId="4DBDEA6E" w14:textId="77777777" w:rsidR="00905BF5" w:rsidRPr="00905BF5" w:rsidRDefault="00905BF5" w:rsidP="00905BF5">
      <w:pPr>
        <w:pStyle w:val="ListParagraph"/>
        <w:spacing w:line="276" w:lineRule="auto"/>
        <w:rPr>
          <w:lang w:val="en-GB"/>
        </w:rPr>
      </w:pPr>
    </w:p>
    <w:p w14:paraId="06AF83B7" w14:textId="77777777" w:rsidR="00905BF5" w:rsidRPr="00905BF5" w:rsidRDefault="00905BF5" w:rsidP="00905BF5">
      <w:pPr>
        <w:pStyle w:val="ListParagraph"/>
        <w:spacing w:line="276" w:lineRule="auto"/>
        <w:rPr>
          <w:b/>
          <w:bCs/>
          <w:lang w:val="en-GB"/>
        </w:rPr>
      </w:pPr>
      <w:r w:rsidRPr="00905BF5">
        <w:rPr>
          <w:b/>
          <w:bCs/>
          <w:lang w:val="en-GB"/>
        </w:rPr>
        <w:lastRenderedPageBreak/>
        <w:t>References</w:t>
      </w:r>
    </w:p>
    <w:p w14:paraId="165CBC81" w14:textId="77777777" w:rsidR="00905BF5" w:rsidRPr="00905BF5" w:rsidRDefault="00905BF5" w:rsidP="00905BF5">
      <w:pPr>
        <w:pStyle w:val="ListParagraph"/>
        <w:numPr>
          <w:ilvl w:val="0"/>
          <w:numId w:val="20"/>
        </w:numPr>
        <w:spacing w:line="276" w:lineRule="auto"/>
        <w:rPr>
          <w:lang w:val="en-GB"/>
        </w:rPr>
      </w:pPr>
      <w:r w:rsidRPr="00905BF5">
        <w:rPr>
          <w:lang w:val="en-GB"/>
        </w:rPr>
        <w:t xml:space="preserve">ICCROM. (2015). </w:t>
      </w:r>
      <w:r w:rsidRPr="00905BF5">
        <w:rPr>
          <w:i/>
          <w:iCs/>
          <w:lang w:val="en-GB"/>
        </w:rPr>
        <w:t>People-Centred Approaches to the Conservation of Cultural Heritage: Living Heritage</w:t>
      </w:r>
      <w:r w:rsidRPr="00905BF5">
        <w:rPr>
          <w:lang w:val="en-GB"/>
        </w:rPr>
        <w:t xml:space="preserve">. Rome: ICCROM. Google Scholar. </w:t>
      </w:r>
    </w:p>
    <w:p w14:paraId="7EB85D1A" w14:textId="77777777" w:rsidR="00905BF5" w:rsidRPr="00905BF5" w:rsidRDefault="00905BF5" w:rsidP="00905BF5">
      <w:pPr>
        <w:pStyle w:val="ListParagraph"/>
        <w:numPr>
          <w:ilvl w:val="0"/>
          <w:numId w:val="20"/>
        </w:numPr>
        <w:spacing w:line="276" w:lineRule="auto"/>
        <w:rPr>
          <w:lang w:val="en-GB"/>
        </w:rPr>
      </w:pPr>
      <w:r w:rsidRPr="00905BF5">
        <w:rPr>
          <w:lang w:val="en-GB"/>
        </w:rPr>
        <w:t xml:space="preserve">Poulios, I. (2014). “Discussing Strategy in Heritage Conservation: Living Heritage Approach as an Example of Strategic Innovation.” </w:t>
      </w:r>
      <w:r w:rsidRPr="00905BF5">
        <w:rPr>
          <w:i/>
          <w:iCs/>
          <w:lang w:val="en-GB"/>
        </w:rPr>
        <w:t>Journal of Cultural Heritage Management and Sustainable Development</w:t>
      </w:r>
      <w:r w:rsidRPr="00905BF5">
        <w:rPr>
          <w:lang w:val="en-GB"/>
        </w:rPr>
        <w:t xml:space="preserve">, 4(1), 16–34. DOI: </w:t>
      </w:r>
      <w:r w:rsidRPr="00905BF5">
        <w:rPr>
          <w:b/>
          <w:bCs/>
          <w:lang w:val="en-GB"/>
        </w:rPr>
        <w:t>10.1108/JCHMSD-10-2012-0058</w:t>
      </w:r>
      <w:r w:rsidRPr="00905BF5">
        <w:rPr>
          <w:lang w:val="en-GB"/>
        </w:rPr>
        <w:t xml:space="preserve"> </w:t>
      </w:r>
    </w:p>
    <w:p w14:paraId="01D8B026" w14:textId="77777777" w:rsidR="00905BF5" w:rsidRPr="00905BF5" w:rsidRDefault="00905BF5" w:rsidP="00905BF5">
      <w:pPr>
        <w:pStyle w:val="ListParagraph"/>
        <w:numPr>
          <w:ilvl w:val="0"/>
          <w:numId w:val="20"/>
        </w:numPr>
        <w:spacing w:line="276" w:lineRule="auto"/>
        <w:rPr>
          <w:lang w:val="en-GB"/>
        </w:rPr>
      </w:pPr>
      <w:r w:rsidRPr="00905BF5">
        <w:rPr>
          <w:lang w:val="en-GB"/>
        </w:rPr>
        <w:t xml:space="preserve">Smith, L. (2006). </w:t>
      </w:r>
      <w:r w:rsidRPr="00905BF5">
        <w:rPr>
          <w:i/>
          <w:iCs/>
          <w:lang w:val="en-GB"/>
        </w:rPr>
        <w:t>Uses of Heritage</w:t>
      </w:r>
      <w:r w:rsidRPr="00905BF5">
        <w:rPr>
          <w:lang w:val="en-GB"/>
        </w:rPr>
        <w:t xml:space="preserve">. Routledge. DOI: </w:t>
      </w:r>
      <w:r w:rsidRPr="00905BF5">
        <w:rPr>
          <w:b/>
          <w:bCs/>
          <w:lang w:val="en-GB"/>
        </w:rPr>
        <w:t>10.4324/9780203602263</w:t>
      </w:r>
      <w:r w:rsidRPr="00905BF5">
        <w:rPr>
          <w:lang w:val="en-GB"/>
        </w:rPr>
        <w:t xml:space="preserve"> </w:t>
      </w:r>
    </w:p>
    <w:p w14:paraId="70EA6576" w14:textId="77777777" w:rsidR="00905BF5" w:rsidRPr="00905BF5" w:rsidRDefault="00905BF5" w:rsidP="00905BF5">
      <w:pPr>
        <w:pStyle w:val="ListParagraph"/>
        <w:numPr>
          <w:ilvl w:val="0"/>
          <w:numId w:val="20"/>
        </w:numPr>
        <w:spacing w:line="276" w:lineRule="auto"/>
        <w:rPr>
          <w:lang w:val="en-GB"/>
        </w:rPr>
      </w:pPr>
      <w:r w:rsidRPr="00905BF5">
        <w:rPr>
          <w:lang w:val="en-GB"/>
        </w:rPr>
        <w:t xml:space="preserve">Logan, W., Nic Craith, M., &amp; </w:t>
      </w:r>
      <w:proofErr w:type="spellStart"/>
      <w:r w:rsidRPr="00905BF5">
        <w:rPr>
          <w:lang w:val="en-GB"/>
        </w:rPr>
        <w:t>Kockel</w:t>
      </w:r>
      <w:proofErr w:type="spellEnd"/>
      <w:r w:rsidRPr="00905BF5">
        <w:rPr>
          <w:lang w:val="en-GB"/>
        </w:rPr>
        <w:t xml:space="preserve">, U. (2015). </w:t>
      </w:r>
      <w:r w:rsidRPr="00905BF5">
        <w:rPr>
          <w:i/>
          <w:iCs/>
          <w:lang w:val="en-GB"/>
        </w:rPr>
        <w:t>A Companion to Heritage Studies</w:t>
      </w:r>
      <w:r w:rsidRPr="00905BF5">
        <w:rPr>
          <w:lang w:val="en-GB"/>
        </w:rPr>
        <w:t xml:space="preserve">. Wiley Blackwell. DOI: </w:t>
      </w:r>
      <w:r w:rsidRPr="00905BF5">
        <w:rPr>
          <w:b/>
          <w:bCs/>
          <w:lang w:val="en-GB"/>
        </w:rPr>
        <w:t>10.1002/9781118486634</w:t>
      </w:r>
      <w:r w:rsidRPr="00905BF5">
        <w:rPr>
          <w:lang w:val="en-GB"/>
        </w:rPr>
        <w:t xml:space="preserve"> </w:t>
      </w:r>
    </w:p>
    <w:p w14:paraId="6B4360E5" w14:textId="77777777" w:rsidR="00905BF5" w:rsidRPr="00905BF5" w:rsidRDefault="00905BF5" w:rsidP="00905BF5">
      <w:pPr>
        <w:pStyle w:val="ListParagraph"/>
        <w:numPr>
          <w:ilvl w:val="0"/>
          <w:numId w:val="20"/>
        </w:numPr>
        <w:spacing w:line="276" w:lineRule="auto"/>
        <w:rPr>
          <w:lang w:val="en-GB"/>
        </w:rPr>
      </w:pPr>
      <w:proofErr w:type="spellStart"/>
      <w:r w:rsidRPr="00905BF5">
        <w:rPr>
          <w:lang w:val="en-GB"/>
        </w:rPr>
        <w:t>Bandarin</w:t>
      </w:r>
      <w:proofErr w:type="spellEnd"/>
      <w:r w:rsidRPr="00905BF5">
        <w:rPr>
          <w:lang w:val="en-GB"/>
        </w:rPr>
        <w:t xml:space="preserve">, F., &amp; van </w:t>
      </w:r>
      <w:proofErr w:type="spellStart"/>
      <w:r w:rsidRPr="00905BF5">
        <w:rPr>
          <w:lang w:val="en-GB"/>
        </w:rPr>
        <w:t>Oers</w:t>
      </w:r>
      <w:proofErr w:type="spellEnd"/>
      <w:r w:rsidRPr="00905BF5">
        <w:rPr>
          <w:lang w:val="en-GB"/>
        </w:rPr>
        <w:t xml:space="preserve">, R. (2012). </w:t>
      </w:r>
      <w:r w:rsidRPr="00905BF5">
        <w:rPr>
          <w:i/>
          <w:iCs/>
          <w:lang w:val="en-GB"/>
        </w:rPr>
        <w:t>The Historic Urban Landscape: Managing Heritage in an Urban Century</w:t>
      </w:r>
      <w:r w:rsidRPr="00905BF5">
        <w:rPr>
          <w:lang w:val="en-GB"/>
        </w:rPr>
        <w:t xml:space="preserve">. Wiley-Blackwell. DOI: </w:t>
      </w:r>
      <w:r w:rsidRPr="00905BF5">
        <w:rPr>
          <w:b/>
          <w:bCs/>
          <w:lang w:val="en-GB"/>
        </w:rPr>
        <w:t>10.1002/9781119968115</w:t>
      </w:r>
      <w:r w:rsidRPr="00905BF5">
        <w:rPr>
          <w:lang w:val="en-GB"/>
        </w:rPr>
        <w:t xml:space="preserve"> </w:t>
      </w:r>
    </w:p>
    <w:p w14:paraId="12E919DF" w14:textId="77777777" w:rsidR="00905BF5" w:rsidRPr="00905BF5" w:rsidRDefault="00905BF5" w:rsidP="00905BF5">
      <w:pPr>
        <w:pStyle w:val="ListParagraph"/>
        <w:numPr>
          <w:ilvl w:val="0"/>
          <w:numId w:val="20"/>
        </w:numPr>
        <w:spacing w:line="276" w:lineRule="auto"/>
        <w:rPr>
          <w:lang w:val="en-GB"/>
        </w:rPr>
      </w:pPr>
      <w:r w:rsidRPr="00905BF5">
        <w:rPr>
          <w:lang w:val="en-GB"/>
        </w:rPr>
        <w:t xml:space="preserve">Wijesuriya, G. (2018). “People-Centred Approaches: Engaging Communities and Developing Capacities for Managing Heritage.” </w:t>
      </w:r>
      <w:r w:rsidRPr="00905BF5">
        <w:rPr>
          <w:i/>
          <w:iCs/>
          <w:lang w:val="en-GB"/>
        </w:rPr>
        <w:t>ICCROM Perspectives</w:t>
      </w:r>
      <w:r w:rsidRPr="00905BF5">
        <w:rPr>
          <w:lang w:val="en-GB"/>
        </w:rPr>
        <w:t xml:space="preserve">. Google Scholar. </w:t>
      </w:r>
    </w:p>
    <w:p w14:paraId="13922A0D" w14:textId="77777777" w:rsidR="00905BF5" w:rsidRPr="00905BF5" w:rsidRDefault="00905BF5" w:rsidP="00905BF5">
      <w:pPr>
        <w:pStyle w:val="ListParagraph"/>
        <w:numPr>
          <w:ilvl w:val="0"/>
          <w:numId w:val="20"/>
        </w:numPr>
        <w:spacing w:line="276" w:lineRule="auto"/>
        <w:rPr>
          <w:lang w:val="en-GB"/>
        </w:rPr>
      </w:pPr>
      <w:r w:rsidRPr="00905BF5">
        <w:rPr>
          <w:lang w:val="en-GB"/>
        </w:rPr>
        <w:t xml:space="preserve">UNESCO. (2011). </w:t>
      </w:r>
      <w:r w:rsidRPr="00905BF5">
        <w:rPr>
          <w:i/>
          <w:iCs/>
          <w:lang w:val="en-GB"/>
        </w:rPr>
        <w:t>Recommendation on the Historic Urban Landscape</w:t>
      </w:r>
      <w:r w:rsidRPr="00905BF5">
        <w:rPr>
          <w:lang w:val="en-GB"/>
        </w:rPr>
        <w:t xml:space="preserve">. Paris: UNESCO. Google Scholar. </w:t>
      </w:r>
    </w:p>
    <w:p w14:paraId="6963E460" w14:textId="77777777" w:rsidR="00905BF5" w:rsidRPr="00905BF5" w:rsidRDefault="00905BF5" w:rsidP="00905BF5">
      <w:pPr>
        <w:pStyle w:val="ListParagraph"/>
        <w:numPr>
          <w:ilvl w:val="0"/>
          <w:numId w:val="20"/>
        </w:numPr>
        <w:spacing w:line="276" w:lineRule="auto"/>
        <w:rPr>
          <w:lang w:val="en-GB"/>
        </w:rPr>
      </w:pPr>
      <w:r w:rsidRPr="00905BF5">
        <w:rPr>
          <w:lang w:val="en-GB"/>
        </w:rPr>
        <w:t xml:space="preserve">Roders, A. P., &amp; van </w:t>
      </w:r>
      <w:proofErr w:type="spellStart"/>
      <w:r w:rsidRPr="00905BF5">
        <w:rPr>
          <w:lang w:val="en-GB"/>
        </w:rPr>
        <w:t>Oers</w:t>
      </w:r>
      <w:proofErr w:type="spellEnd"/>
      <w:r w:rsidRPr="00905BF5">
        <w:rPr>
          <w:lang w:val="en-GB"/>
        </w:rPr>
        <w:t xml:space="preserve">, R. (2011). “Bridging Cultural Heritage and Sustainable Development.” </w:t>
      </w:r>
      <w:r w:rsidRPr="00905BF5">
        <w:rPr>
          <w:i/>
          <w:iCs/>
          <w:lang w:val="en-GB"/>
        </w:rPr>
        <w:t>Journal of Cultural Heritage Management and Sustainable Development</w:t>
      </w:r>
      <w:r w:rsidRPr="00905BF5">
        <w:rPr>
          <w:lang w:val="en-GB"/>
        </w:rPr>
        <w:t xml:space="preserve">, 1(1), 5–14. DOI: </w:t>
      </w:r>
      <w:r w:rsidRPr="00905BF5">
        <w:rPr>
          <w:b/>
          <w:bCs/>
          <w:lang w:val="en-GB"/>
        </w:rPr>
        <w:t>10.1108/20441261111129998</w:t>
      </w:r>
      <w:r w:rsidRPr="00905BF5">
        <w:rPr>
          <w:lang w:val="en-GB"/>
        </w:rPr>
        <w:t xml:space="preserve"> </w:t>
      </w:r>
    </w:p>
    <w:p w14:paraId="383D24CC" w14:textId="77777777" w:rsidR="00905BF5" w:rsidRPr="00905BF5" w:rsidRDefault="00905BF5" w:rsidP="00905BF5">
      <w:pPr>
        <w:pStyle w:val="ListParagraph"/>
        <w:numPr>
          <w:ilvl w:val="0"/>
          <w:numId w:val="20"/>
        </w:numPr>
        <w:spacing w:line="276" w:lineRule="auto"/>
        <w:rPr>
          <w:lang w:val="en-GB"/>
        </w:rPr>
      </w:pPr>
      <w:proofErr w:type="spellStart"/>
      <w:r w:rsidRPr="00905BF5">
        <w:rPr>
          <w:lang w:val="en-GB"/>
        </w:rPr>
        <w:t>Chirikure</w:t>
      </w:r>
      <w:proofErr w:type="spellEnd"/>
      <w:r w:rsidRPr="00905BF5">
        <w:rPr>
          <w:lang w:val="en-GB"/>
        </w:rPr>
        <w:t xml:space="preserve">, S., Manyanga, M., Ndoro, W., &amp; </w:t>
      </w:r>
      <w:proofErr w:type="spellStart"/>
      <w:r w:rsidRPr="00905BF5">
        <w:rPr>
          <w:lang w:val="en-GB"/>
        </w:rPr>
        <w:t>Pwiti</w:t>
      </w:r>
      <w:proofErr w:type="spellEnd"/>
      <w:r w:rsidRPr="00905BF5">
        <w:rPr>
          <w:lang w:val="en-GB"/>
        </w:rPr>
        <w:t xml:space="preserve">, G. (2010). “Community Involvement in Archaeology and Cultural Heritage Management.” </w:t>
      </w:r>
      <w:r w:rsidRPr="00905BF5">
        <w:rPr>
          <w:i/>
          <w:iCs/>
          <w:lang w:val="en-GB"/>
        </w:rPr>
        <w:t>Current Anthropology</w:t>
      </w:r>
      <w:r w:rsidRPr="00905BF5">
        <w:rPr>
          <w:lang w:val="en-GB"/>
        </w:rPr>
        <w:t xml:space="preserve">, 51(3), 467–485. DOI: </w:t>
      </w:r>
      <w:r w:rsidRPr="00905BF5">
        <w:rPr>
          <w:b/>
          <w:bCs/>
          <w:lang w:val="en-GB"/>
        </w:rPr>
        <w:t>10.1086/653837</w:t>
      </w:r>
      <w:r w:rsidRPr="00905BF5">
        <w:rPr>
          <w:lang w:val="en-GB"/>
        </w:rPr>
        <w:t xml:space="preserve">. </w:t>
      </w:r>
    </w:p>
    <w:p w14:paraId="4A88241C" w14:textId="77777777" w:rsidR="00905BF5" w:rsidRPr="00232559" w:rsidRDefault="00905BF5" w:rsidP="00F61E85">
      <w:pPr>
        <w:pStyle w:val="ListParagraph"/>
        <w:spacing w:line="276" w:lineRule="auto"/>
        <w:ind w:left="0"/>
        <w:rPr>
          <w:lang w:val="en-US"/>
        </w:rPr>
      </w:pPr>
    </w:p>
    <w:sectPr w:rsidR="00905BF5" w:rsidRPr="002325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6A239C3A-8BE7-45BF-BF79-04296E3FE565}"/>
    <w:embedBold r:id="rId2" w:fontKey="{70775B18-25C4-4C84-8768-B203953B5D79}"/>
    <w:embedItalic r:id="rId3" w:fontKey="{68DE3E33-6B95-4C3F-80C8-18313C27E364}"/>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941E09A3-8449-4F7B-9F8F-604132DEC5B5}"/>
  </w:font>
  <w:font w:name="Calibri Light">
    <w:panose1 w:val="020F0302020204030204"/>
    <w:charset w:val="00"/>
    <w:family w:val="swiss"/>
    <w:pitch w:val="variable"/>
    <w:sig w:usb0="E4002EFF" w:usb1="C000247B" w:usb2="00000009" w:usb3="00000000" w:csb0="000001FF" w:csb1="00000000"/>
    <w:embedRegular r:id="rId5" w:fontKey="{0FC5BFE3-42DD-476D-9624-1C9AC757D729}"/>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BB52ED82"/>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07A32492"/>
    <w:multiLevelType w:val="hybridMultilevel"/>
    <w:tmpl w:val="399EE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3345"/>
    <w:multiLevelType w:val="hybridMultilevel"/>
    <w:tmpl w:val="516CF8DC"/>
    <w:lvl w:ilvl="0" w:tplc="816C7C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2F6658"/>
    <w:multiLevelType w:val="multilevel"/>
    <w:tmpl w:val="2494BB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7A7426"/>
    <w:multiLevelType w:val="hybridMultilevel"/>
    <w:tmpl w:val="5C602C58"/>
    <w:lvl w:ilvl="0" w:tplc="E9BC699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2635803"/>
    <w:multiLevelType w:val="multilevel"/>
    <w:tmpl w:val="41548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F61B36"/>
    <w:multiLevelType w:val="multilevel"/>
    <w:tmpl w:val="49D4A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66079D"/>
    <w:multiLevelType w:val="hybridMultilevel"/>
    <w:tmpl w:val="9A566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04D374C"/>
    <w:multiLevelType w:val="multilevel"/>
    <w:tmpl w:val="4C7A3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9BB07AF"/>
    <w:multiLevelType w:val="hybridMultilevel"/>
    <w:tmpl w:val="DF3A6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ACD1428"/>
    <w:multiLevelType w:val="multilevel"/>
    <w:tmpl w:val="0B869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7930BAC"/>
    <w:multiLevelType w:val="multilevel"/>
    <w:tmpl w:val="D160C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482321"/>
    <w:multiLevelType w:val="hybridMultilevel"/>
    <w:tmpl w:val="B6685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E1B2512"/>
    <w:multiLevelType w:val="hybridMultilevel"/>
    <w:tmpl w:val="9A2E5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4273100"/>
    <w:multiLevelType w:val="multilevel"/>
    <w:tmpl w:val="29FAC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D9E4A76"/>
    <w:multiLevelType w:val="multilevel"/>
    <w:tmpl w:val="91667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DBF239E"/>
    <w:multiLevelType w:val="hybridMultilevel"/>
    <w:tmpl w:val="2E6AE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3F459CA"/>
    <w:multiLevelType w:val="hybridMultilevel"/>
    <w:tmpl w:val="AD0C1FCA"/>
    <w:lvl w:ilvl="0" w:tplc="74101CA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54F387D"/>
    <w:multiLevelType w:val="multilevel"/>
    <w:tmpl w:val="A1443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5222506">
    <w:abstractNumId w:val="2"/>
  </w:num>
  <w:num w:numId="2" w16cid:durableId="1882092387">
    <w:abstractNumId w:val="18"/>
  </w:num>
  <w:num w:numId="3" w16cid:durableId="1544052912">
    <w:abstractNumId w:val="0"/>
  </w:num>
  <w:num w:numId="4" w16cid:durableId="746540664">
    <w:abstractNumId w:val="1"/>
  </w:num>
  <w:num w:numId="5" w16cid:durableId="1108088842">
    <w:abstractNumId w:val="4"/>
  </w:num>
  <w:num w:numId="6" w16cid:durableId="1713579031">
    <w:abstractNumId w:val="17"/>
  </w:num>
  <w:num w:numId="7" w16cid:durableId="612253008">
    <w:abstractNumId w:val="16"/>
  </w:num>
  <w:num w:numId="8" w16cid:durableId="314267375">
    <w:abstractNumId w:val="12"/>
  </w:num>
  <w:num w:numId="9" w16cid:durableId="327443921">
    <w:abstractNumId w:val="13"/>
  </w:num>
  <w:num w:numId="10" w16cid:durableId="1481845840">
    <w:abstractNumId w:val="9"/>
  </w:num>
  <w:num w:numId="11" w16cid:durableId="1209099905">
    <w:abstractNumId w:val="7"/>
  </w:num>
  <w:num w:numId="12" w16cid:durableId="350495173">
    <w:abstractNumId w:val="6"/>
  </w:num>
  <w:num w:numId="13" w16cid:durableId="133064909">
    <w:abstractNumId w:val="11"/>
  </w:num>
  <w:num w:numId="14" w16cid:durableId="121389507">
    <w:abstractNumId w:val="10"/>
  </w:num>
  <w:num w:numId="15" w16cid:durableId="544491566">
    <w:abstractNumId w:val="5"/>
  </w:num>
  <w:num w:numId="16" w16cid:durableId="1903364063">
    <w:abstractNumId w:val="15"/>
  </w:num>
  <w:num w:numId="17" w16cid:durableId="1279871215">
    <w:abstractNumId w:val="3"/>
  </w:num>
  <w:num w:numId="18" w16cid:durableId="368459728">
    <w:abstractNumId w:val="19"/>
  </w:num>
  <w:num w:numId="19" w16cid:durableId="731780978">
    <w:abstractNumId w:val="14"/>
  </w:num>
  <w:num w:numId="20" w16cid:durableId="14478414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01C93"/>
    <w:rsid w:val="00016EE8"/>
    <w:rsid w:val="0003533E"/>
    <w:rsid w:val="001700EC"/>
    <w:rsid w:val="00174BB1"/>
    <w:rsid w:val="00224657"/>
    <w:rsid w:val="00224FD9"/>
    <w:rsid w:val="00232559"/>
    <w:rsid w:val="002F4AE0"/>
    <w:rsid w:val="00384E8A"/>
    <w:rsid w:val="003D1074"/>
    <w:rsid w:val="0040757F"/>
    <w:rsid w:val="00426865"/>
    <w:rsid w:val="00477CAA"/>
    <w:rsid w:val="00502E29"/>
    <w:rsid w:val="005E1FD5"/>
    <w:rsid w:val="005E458B"/>
    <w:rsid w:val="00672345"/>
    <w:rsid w:val="00705037"/>
    <w:rsid w:val="00786BC0"/>
    <w:rsid w:val="007A44D2"/>
    <w:rsid w:val="007C7917"/>
    <w:rsid w:val="00844EC2"/>
    <w:rsid w:val="008516FE"/>
    <w:rsid w:val="00905BF5"/>
    <w:rsid w:val="00942251"/>
    <w:rsid w:val="009C1D0A"/>
    <w:rsid w:val="00A044F7"/>
    <w:rsid w:val="00A057BE"/>
    <w:rsid w:val="00A8150E"/>
    <w:rsid w:val="00B20343"/>
    <w:rsid w:val="00B37BB0"/>
    <w:rsid w:val="00B85EA7"/>
    <w:rsid w:val="00BE65DD"/>
    <w:rsid w:val="00C612A4"/>
    <w:rsid w:val="00C80777"/>
    <w:rsid w:val="00CC6AD1"/>
    <w:rsid w:val="00CF34F8"/>
    <w:rsid w:val="00DF7E49"/>
    <w:rsid w:val="00E6778A"/>
    <w:rsid w:val="00F25F5B"/>
    <w:rsid w:val="00F61E85"/>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C04AB"/>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CF34F8"/>
    <w:pPr>
      <w:ind w:left="720"/>
      <w:contextualSpacing/>
    </w:pPr>
  </w:style>
  <w:style w:type="character" w:styleId="Hyperlink">
    <w:name w:val="Hyperlink"/>
    <w:basedOn w:val="DefaultParagraphFont"/>
    <w:uiPriority w:val="99"/>
    <w:unhideWhenUsed/>
    <w:rsid w:val="00F61E85"/>
    <w:rPr>
      <w:color w:val="0563C1" w:themeColor="hyperlink"/>
      <w:u w:val="single"/>
    </w:rPr>
  </w:style>
  <w:style w:type="character" w:styleId="UnresolvedMention">
    <w:name w:val="Unresolved Mention"/>
    <w:basedOn w:val="DefaultParagraphFont"/>
    <w:uiPriority w:val="99"/>
    <w:semiHidden/>
    <w:unhideWhenUsed/>
    <w:rsid w:val="00F61E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1089</Words>
  <Characters>6210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2026-06-23T07:32:00Z</dcterms:created>
  <dcterms:modified xsi:type="dcterms:W3CDTF">2026-06-23T07:32:00Z</dcterms:modified>
</cp:coreProperties>
</file>