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42D5B1B3" w14:textId="77777777" w:rsidR="008260C6" w:rsidRDefault="008260C6" w:rsidP="00927A25">
      <w:pPr>
        <w:pStyle w:val="ListParagraph"/>
        <w:spacing w:line="276" w:lineRule="auto"/>
        <w:ind w:left="0"/>
        <w:rPr>
          <w:lang w:val="en-US"/>
        </w:rPr>
      </w:pPr>
    </w:p>
    <w:p w14:paraId="63A8A4F7" w14:textId="77777777" w:rsidR="008260C6" w:rsidRPr="008260C6" w:rsidRDefault="008260C6" w:rsidP="008260C6">
      <w:pPr>
        <w:pStyle w:val="ListParagraph"/>
        <w:spacing w:line="276" w:lineRule="auto"/>
        <w:rPr>
          <w:b/>
          <w:bCs/>
        </w:rPr>
      </w:pPr>
      <w:r w:rsidRPr="008260C6">
        <w:rPr>
          <w:b/>
          <w:bCs/>
        </w:rPr>
        <w:lastRenderedPageBreak/>
        <w:t>Part 1: How Guest Expectations Shape the Overall Service Experience</w:t>
      </w:r>
    </w:p>
    <w:p w14:paraId="57CD9682" w14:textId="77777777" w:rsidR="008260C6" w:rsidRPr="008260C6" w:rsidRDefault="008260C6" w:rsidP="008260C6">
      <w:pPr>
        <w:pStyle w:val="ListParagraph"/>
        <w:spacing w:line="276" w:lineRule="auto"/>
      </w:pPr>
      <w:r w:rsidRPr="008260C6">
        <w:t xml:space="preserve">In modern hospitality operations, guest expectations serve as the primary baseline standard against which all real-time experiences are measured. This structural dynamic is predominantly explained via the </w:t>
      </w:r>
      <w:r w:rsidRPr="008260C6">
        <w:rPr>
          <w:b/>
          <w:bCs/>
        </w:rPr>
        <w:t>Zone of Tolerance Model</w:t>
      </w:r>
      <w:r w:rsidRPr="008260C6">
        <w:t xml:space="preserve"> (Zeithaml et al., 1993). Rather than a single fixed expectation, guests possess a spectrum of desires: the </w:t>
      </w:r>
      <w:r w:rsidRPr="008260C6">
        <w:rPr>
          <w:i/>
          <w:iCs/>
        </w:rPr>
        <w:t>desired service level</w:t>
      </w:r>
      <w:r w:rsidRPr="008260C6">
        <w:t xml:space="preserve"> (what they hope to receive) and the </w:t>
      </w:r>
      <w:r w:rsidRPr="008260C6">
        <w:rPr>
          <w:i/>
          <w:iCs/>
        </w:rPr>
        <w:t>adequate service level</w:t>
      </w:r>
      <w:r w:rsidRPr="008260C6">
        <w:t xml:space="preserve"> (the bare minimum acceptable standard). The variance between these two boundaries forms the zone of tolerance.</w:t>
      </w:r>
    </w:p>
    <w:p w14:paraId="0513DFF5" w14:textId="77777777" w:rsidR="008260C6" w:rsidRPr="008260C6" w:rsidRDefault="008260C6" w:rsidP="008260C6">
      <w:pPr>
        <w:pStyle w:val="ListParagraph"/>
        <w:spacing w:line="276" w:lineRule="auto"/>
      </w:pPr>
      <w:r w:rsidRPr="008260C6">
        <w:t xml:space="preserve">Pre-arrival expectations are heavily calibrated by explicit signals like hotel marketing and room pricing, alongside implicit cues like online review ratings. The direct impact of these expectations </w:t>
      </w:r>
      <w:proofErr w:type="gramStart"/>
      <w:r w:rsidRPr="008260C6">
        <w:t>manifest</w:t>
      </w:r>
      <w:proofErr w:type="gramEnd"/>
      <w:r w:rsidRPr="008260C6">
        <w:t xml:space="preserve"> in three distinct ways:</w:t>
      </w:r>
    </w:p>
    <w:p w14:paraId="66836E9A" w14:textId="77777777" w:rsidR="008260C6" w:rsidRPr="008260C6" w:rsidRDefault="008260C6" w:rsidP="008260C6">
      <w:pPr>
        <w:pStyle w:val="ListParagraph"/>
        <w:numPr>
          <w:ilvl w:val="0"/>
          <w:numId w:val="22"/>
        </w:numPr>
        <w:spacing w:line="276" w:lineRule="auto"/>
      </w:pPr>
      <w:r w:rsidRPr="008260C6">
        <w:rPr>
          <w:b/>
          <w:bCs/>
        </w:rPr>
        <w:t>Falling Below Tolerance:</w:t>
      </w:r>
      <w:r w:rsidRPr="008260C6">
        <w:t xml:space="preserve"> When actual service execution drops below the adequate service boundary, it triggers negative disconfirmation. This results in severe friction, customer outrage, and immediate erosion of brand trust.</w:t>
      </w:r>
    </w:p>
    <w:p w14:paraId="5B36F76A" w14:textId="77777777" w:rsidR="008260C6" w:rsidRPr="008260C6" w:rsidRDefault="008260C6" w:rsidP="008260C6">
      <w:pPr>
        <w:pStyle w:val="ListParagraph"/>
        <w:numPr>
          <w:ilvl w:val="0"/>
          <w:numId w:val="22"/>
        </w:numPr>
        <w:spacing w:line="276" w:lineRule="auto"/>
      </w:pPr>
      <w:r w:rsidRPr="008260C6">
        <w:rPr>
          <w:b/>
          <w:bCs/>
        </w:rPr>
        <w:t>Meeting the Zone:</w:t>
      </w:r>
      <w:r w:rsidRPr="008260C6">
        <w:t xml:space="preserve"> When performance sits securely within the zone of tolerance, the service is deemed acceptable but unexceptional, resulting in passive satisfaction without driving genuine customer retention.</w:t>
      </w:r>
    </w:p>
    <w:p w14:paraId="66BE85CE" w14:textId="77777777" w:rsidR="008260C6" w:rsidRPr="008260C6" w:rsidRDefault="008260C6" w:rsidP="008260C6">
      <w:pPr>
        <w:pStyle w:val="ListParagraph"/>
        <w:numPr>
          <w:ilvl w:val="0"/>
          <w:numId w:val="22"/>
        </w:numPr>
        <w:spacing w:line="276" w:lineRule="auto"/>
      </w:pPr>
      <w:r w:rsidRPr="008260C6">
        <w:rPr>
          <w:b/>
          <w:bCs/>
        </w:rPr>
        <w:t>Exceeding Desired Limits:</w:t>
      </w:r>
      <w:r w:rsidRPr="008260C6">
        <w:t xml:space="preserve"> When a hotel surpasses the upper boundary of desired expectations, it creates positive disconfirmation, generating a powerful psychological state of consumer delight.</w:t>
      </w:r>
    </w:p>
    <w:p w14:paraId="36202A0B" w14:textId="77777777" w:rsidR="008260C6" w:rsidRPr="008260C6" w:rsidRDefault="008260C6" w:rsidP="008260C6">
      <w:pPr>
        <w:pStyle w:val="ListParagraph"/>
        <w:spacing w:line="276" w:lineRule="auto"/>
      </w:pPr>
      <w:r w:rsidRPr="008260C6">
        <w:t xml:space="preserve">Because hospitality experiences are highly intangible and subjective, pre-existing expectations act as a strict emotional lens. For example, a </w:t>
      </w:r>
      <w:proofErr w:type="spellStart"/>
      <w:r w:rsidRPr="008260C6">
        <w:t>traveler</w:t>
      </w:r>
      <w:proofErr w:type="spellEnd"/>
      <w:r w:rsidRPr="008260C6">
        <w:t xml:space="preserve"> paying premium luxury rates holds a very narrow zone of tolerance. Consequently, minor administrative bottlenecks are perceived as catastrophic failures, demonstrating that expectations entirely govern a guest’s final calculation of service value.</w:t>
      </w:r>
    </w:p>
    <w:p w14:paraId="0AF9CBA7" w14:textId="77777777" w:rsidR="008260C6" w:rsidRPr="008260C6" w:rsidRDefault="008260C6" w:rsidP="008260C6">
      <w:pPr>
        <w:pStyle w:val="ListParagraph"/>
        <w:spacing w:line="276" w:lineRule="auto"/>
        <w:rPr>
          <w:b/>
          <w:bCs/>
        </w:rPr>
      </w:pPr>
      <w:r w:rsidRPr="008260C6">
        <w:rPr>
          <w:b/>
          <w:bCs/>
        </w:rPr>
        <w:t>Part 2: Case Study Analysis – The Arrival Failure</w:t>
      </w:r>
    </w:p>
    <w:p w14:paraId="2C068F79" w14:textId="77777777" w:rsidR="008260C6" w:rsidRPr="008260C6" w:rsidRDefault="008260C6" w:rsidP="008260C6">
      <w:pPr>
        <w:pStyle w:val="ListParagraph"/>
        <w:spacing w:line="276" w:lineRule="auto"/>
        <w:rPr>
          <w:b/>
          <w:bCs/>
        </w:rPr>
      </w:pPr>
      <w:r w:rsidRPr="008260C6">
        <w:rPr>
          <w:b/>
          <w:bCs/>
        </w:rPr>
        <w:t>Components of the Guest Experience Negatively Affected</w:t>
      </w:r>
    </w:p>
    <w:p w14:paraId="12BAEB94" w14:textId="77777777" w:rsidR="008260C6" w:rsidRPr="008260C6" w:rsidRDefault="008260C6" w:rsidP="008260C6">
      <w:pPr>
        <w:pStyle w:val="ListParagraph"/>
        <w:spacing w:line="276" w:lineRule="auto"/>
      </w:pPr>
      <w:r w:rsidRPr="008260C6">
        <w:t>The scenario illustrated in image_28947d.png highlights a multifaceted operational collapse at the initial phase of the guest cycle. The impacted components include:</w:t>
      </w:r>
    </w:p>
    <w:p w14:paraId="27EC3F58" w14:textId="77777777" w:rsidR="008260C6" w:rsidRPr="008260C6" w:rsidRDefault="008260C6" w:rsidP="008260C6">
      <w:pPr>
        <w:pStyle w:val="ListParagraph"/>
        <w:numPr>
          <w:ilvl w:val="0"/>
          <w:numId w:val="23"/>
        </w:numPr>
        <w:spacing w:line="276" w:lineRule="auto"/>
      </w:pPr>
      <w:r w:rsidRPr="008260C6">
        <w:rPr>
          <w:b/>
          <w:bCs/>
        </w:rPr>
        <w:t>The Expressive Sub-system:</w:t>
      </w:r>
      <w:r w:rsidRPr="008260C6">
        <w:t xml:space="preserve"> Front desk staff represent the psychological bridge between the </w:t>
      </w:r>
      <w:proofErr w:type="spellStart"/>
      <w:r w:rsidRPr="008260C6">
        <w:t>traveler</w:t>
      </w:r>
      <w:proofErr w:type="spellEnd"/>
      <w:r w:rsidRPr="008260C6">
        <w:t xml:space="preserve"> and the property. An unfriendly attitude violates the hospitality covenant, turning what should be a welcoming transition into an adversarial encounter.</w:t>
      </w:r>
    </w:p>
    <w:p w14:paraId="2D46DDC0" w14:textId="77777777" w:rsidR="008260C6" w:rsidRPr="008260C6" w:rsidRDefault="008260C6" w:rsidP="008260C6">
      <w:pPr>
        <w:pStyle w:val="ListParagraph"/>
        <w:numPr>
          <w:ilvl w:val="0"/>
          <w:numId w:val="23"/>
        </w:numPr>
        <w:spacing w:line="276" w:lineRule="auto"/>
      </w:pPr>
      <w:r w:rsidRPr="008260C6">
        <w:rPr>
          <w:b/>
          <w:bCs/>
        </w:rPr>
        <w:t>The Efficiency Dimension:</w:t>
      </w:r>
      <w:r w:rsidRPr="008260C6">
        <w:t xml:space="preserve"> Prolonged check-in speeds directly impact the physical comfort of the customer. Slowness at the desk artificially extends travel fatigue, transforming a routine process into a severe friction point.</w:t>
      </w:r>
    </w:p>
    <w:p w14:paraId="12B5CCDE" w14:textId="77777777" w:rsidR="008260C6" w:rsidRPr="008260C6" w:rsidRDefault="008260C6" w:rsidP="008260C6">
      <w:pPr>
        <w:pStyle w:val="ListParagraph"/>
        <w:numPr>
          <w:ilvl w:val="0"/>
          <w:numId w:val="23"/>
        </w:numPr>
        <w:spacing w:line="276" w:lineRule="auto"/>
      </w:pPr>
      <w:r w:rsidRPr="008260C6">
        <w:rPr>
          <w:b/>
          <w:bCs/>
        </w:rPr>
        <w:t>The Competence Layer:</w:t>
      </w:r>
      <w:r w:rsidRPr="008260C6">
        <w:t xml:space="preserve"> A front office agent is expected to be a primary info-hub. An inability to resolve basic inquiries demonstrates a fundamental failure in training, destroying the guest’s belief in the hotel’s underlying utility.</w:t>
      </w:r>
    </w:p>
    <w:p w14:paraId="63812A60" w14:textId="77777777" w:rsidR="008260C6" w:rsidRPr="008260C6" w:rsidRDefault="008260C6" w:rsidP="008260C6">
      <w:pPr>
        <w:pStyle w:val="ListParagraph"/>
        <w:spacing w:line="276" w:lineRule="auto"/>
        <w:rPr>
          <w:b/>
          <w:bCs/>
        </w:rPr>
      </w:pPr>
      <w:r w:rsidRPr="008260C6">
        <w:rPr>
          <w:b/>
          <w:bCs/>
        </w:rPr>
        <w:t>Influence on the Guest’s Perception of the Hotel</w:t>
      </w:r>
    </w:p>
    <w:p w14:paraId="6D439AE2" w14:textId="77777777" w:rsidR="008260C6" w:rsidRPr="008260C6" w:rsidRDefault="008260C6" w:rsidP="008260C6">
      <w:pPr>
        <w:pStyle w:val="ListParagraph"/>
        <w:spacing w:line="276" w:lineRule="auto"/>
      </w:pPr>
      <w:r w:rsidRPr="008260C6">
        <w:lastRenderedPageBreak/>
        <w:t xml:space="preserve">An international </w:t>
      </w:r>
      <w:proofErr w:type="spellStart"/>
      <w:r w:rsidRPr="008260C6">
        <w:t>traveler</w:t>
      </w:r>
      <w:proofErr w:type="spellEnd"/>
      <w:r w:rsidRPr="008260C6">
        <w:t xml:space="preserve"> arriving after a </w:t>
      </w:r>
      <w:proofErr w:type="spellStart"/>
      <w:r w:rsidRPr="008260C6">
        <w:t>grueling</w:t>
      </w:r>
      <w:proofErr w:type="spellEnd"/>
      <w:r w:rsidRPr="008260C6">
        <w:t xml:space="preserve"> flight suffers from depleted emotional and physical reserves. Under the </w:t>
      </w:r>
      <w:r w:rsidRPr="008260C6">
        <w:rPr>
          <w:b/>
          <w:bCs/>
        </w:rPr>
        <w:t>Expectation-Evidence Discrepancy Theory</w:t>
      </w:r>
      <w:r w:rsidRPr="008260C6">
        <w:t xml:space="preserve"> (Oliver &amp; Swan, 1989), a severe service failure at the first touchpoint produces a powerful </w:t>
      </w:r>
      <w:r w:rsidRPr="008260C6">
        <w:rPr>
          <w:b/>
          <w:bCs/>
        </w:rPr>
        <w:t>"Negative Priming Effect."</w:t>
      </w:r>
    </w:p>
    <w:p w14:paraId="5599D386" w14:textId="77777777" w:rsidR="008260C6" w:rsidRPr="008260C6" w:rsidRDefault="008260C6" w:rsidP="008260C6">
      <w:pPr>
        <w:pStyle w:val="ListParagraph"/>
        <w:spacing w:line="276" w:lineRule="auto"/>
      </w:pPr>
      <w:r w:rsidRPr="008260C6">
        <w:t xml:space="preserve">Because the initial interaction was substandard, the guest will form an immediate, unconscious assumption that the entire hotel is poorly managed and unprofessional. They are highly likely to perceive the remainder of their stay through a hyper-critical filter, viewing minor variations in room quality or food service as proof of structural failure. This lack of initial alignment heavily undermines customer retention, dramatically shifting the </w:t>
      </w:r>
      <w:proofErr w:type="spellStart"/>
      <w:r w:rsidRPr="008260C6">
        <w:t>traveler</w:t>
      </w:r>
      <w:proofErr w:type="spellEnd"/>
      <w:r w:rsidRPr="008260C6">
        <w:t xml:space="preserve"> toward negative word-of-mouth and driving them to post public, critical complaints online.</w:t>
      </w:r>
    </w:p>
    <w:p w14:paraId="0954AC9A" w14:textId="77777777" w:rsidR="008260C6" w:rsidRPr="008260C6" w:rsidRDefault="008260C6" w:rsidP="008260C6">
      <w:pPr>
        <w:pStyle w:val="ListParagraph"/>
        <w:spacing w:line="276" w:lineRule="auto"/>
        <w:rPr>
          <w:b/>
          <w:bCs/>
        </w:rPr>
      </w:pPr>
      <w:r w:rsidRPr="008260C6">
        <w:rPr>
          <w:b/>
          <w:bCs/>
        </w:rPr>
        <w:t>Comprehensive Managerial Interventions</w:t>
      </w:r>
    </w:p>
    <w:p w14:paraId="106E3929" w14:textId="77777777" w:rsidR="008260C6" w:rsidRPr="008260C6" w:rsidRDefault="008260C6" w:rsidP="008260C6">
      <w:pPr>
        <w:pStyle w:val="ListParagraph"/>
        <w:spacing w:line="276" w:lineRule="auto"/>
      </w:pPr>
      <w:r w:rsidRPr="008260C6">
        <w:t>To immediately defuse this specific crisis and permanently optimize front-of-house operations, management should adopt a dual-layered operational framework:</w:t>
      </w:r>
    </w:p>
    <w:p w14:paraId="6F93899F" w14:textId="77777777" w:rsidR="008260C6" w:rsidRPr="008260C6" w:rsidRDefault="008260C6" w:rsidP="008260C6">
      <w:pPr>
        <w:pStyle w:val="ListParagraph"/>
        <w:spacing w:line="276" w:lineRule="auto"/>
      </w:pPr>
      <w:r w:rsidRPr="008260C6">
        <w:t xml:space="preserve">                  ┌───────────────────────────────┐</w:t>
      </w:r>
    </w:p>
    <w:p w14:paraId="0A138DA7" w14:textId="77777777" w:rsidR="008260C6" w:rsidRPr="008260C6" w:rsidRDefault="008260C6" w:rsidP="008260C6">
      <w:pPr>
        <w:pStyle w:val="ListParagraph"/>
        <w:spacing w:line="276" w:lineRule="auto"/>
      </w:pPr>
      <w:r w:rsidRPr="008260C6">
        <w:t xml:space="preserve">                  │   Managerial Action Plan      │</w:t>
      </w:r>
    </w:p>
    <w:p w14:paraId="2B2E00EF" w14:textId="77777777" w:rsidR="008260C6" w:rsidRPr="008260C6" w:rsidRDefault="008260C6" w:rsidP="008260C6">
      <w:pPr>
        <w:pStyle w:val="ListParagraph"/>
        <w:spacing w:line="276" w:lineRule="auto"/>
      </w:pPr>
      <w:r w:rsidRPr="008260C6">
        <w:t xml:space="preserve">                  └───────────────</w:t>
      </w:r>
      <w:r w:rsidRPr="008260C6">
        <w:rPr>
          <w:rFonts w:ascii="MS Gothic" w:eastAsia="MS Gothic" w:hAnsi="MS Gothic" w:cs="MS Gothic" w:hint="eastAsia"/>
        </w:rPr>
        <w:t>┬</w:t>
      </w:r>
      <w:r w:rsidRPr="008260C6">
        <w:rPr>
          <w:rFonts w:ascii="Calibri" w:hAnsi="Calibri" w:cs="Calibri"/>
        </w:rPr>
        <w:t>───────────────┘</w:t>
      </w:r>
    </w:p>
    <w:p w14:paraId="1EE68C52" w14:textId="77777777" w:rsidR="008260C6" w:rsidRPr="008260C6" w:rsidRDefault="008260C6" w:rsidP="008260C6">
      <w:pPr>
        <w:pStyle w:val="ListParagraph"/>
        <w:spacing w:line="276" w:lineRule="auto"/>
      </w:pPr>
      <w:r w:rsidRPr="008260C6">
        <w:t xml:space="preserve">                                  │</w:t>
      </w:r>
    </w:p>
    <w:p w14:paraId="0DA1E1CF" w14:textId="77777777" w:rsidR="008260C6" w:rsidRPr="008260C6" w:rsidRDefault="008260C6" w:rsidP="008260C6">
      <w:pPr>
        <w:pStyle w:val="ListParagraph"/>
        <w:spacing w:line="276" w:lineRule="auto"/>
      </w:pPr>
      <w:r w:rsidRPr="008260C6">
        <w:t xml:space="preserve">         ┌────────────────────────</w:t>
      </w:r>
      <w:r w:rsidRPr="008260C6">
        <w:rPr>
          <w:rFonts w:ascii="MS Gothic" w:eastAsia="MS Gothic" w:hAnsi="MS Gothic" w:cs="MS Gothic" w:hint="eastAsia"/>
        </w:rPr>
        <w:t>┴</w:t>
      </w:r>
      <w:r w:rsidRPr="008260C6">
        <w:rPr>
          <w:rFonts w:ascii="Calibri" w:hAnsi="Calibri" w:cs="Calibri"/>
        </w:rPr>
        <w:t>────────────────────────┐</w:t>
      </w:r>
    </w:p>
    <w:p w14:paraId="166088A2" w14:textId="77777777" w:rsidR="008260C6" w:rsidRPr="008260C6" w:rsidRDefault="008260C6" w:rsidP="008260C6">
      <w:pPr>
        <w:pStyle w:val="ListParagraph"/>
        <w:spacing w:line="276" w:lineRule="auto"/>
      </w:pPr>
      <w:r w:rsidRPr="008260C6">
        <w:t xml:space="preserve">         </w:t>
      </w:r>
      <w:r w:rsidRPr="008260C6">
        <w:rPr>
          <w:rFonts w:ascii="Arial" w:hAnsi="Arial" w:cs="Arial"/>
        </w:rPr>
        <w:t>▼</w:t>
      </w:r>
      <w:r w:rsidRPr="008260C6">
        <w:t xml:space="preserve">                                                 </w:t>
      </w:r>
      <w:r w:rsidRPr="008260C6">
        <w:rPr>
          <w:rFonts w:ascii="Arial" w:hAnsi="Arial" w:cs="Arial"/>
        </w:rPr>
        <w:t>▼</w:t>
      </w:r>
    </w:p>
    <w:p w14:paraId="10667ECE" w14:textId="77777777" w:rsidR="008260C6" w:rsidRPr="008260C6" w:rsidRDefault="008260C6" w:rsidP="008260C6">
      <w:pPr>
        <w:pStyle w:val="ListParagraph"/>
        <w:spacing w:line="276" w:lineRule="auto"/>
      </w:pPr>
      <w:r w:rsidRPr="008260C6">
        <w:t>┌─────────────────┐                               ┌─────────────────┐</w:t>
      </w:r>
    </w:p>
    <w:p w14:paraId="471B510B" w14:textId="77777777" w:rsidR="008260C6" w:rsidRPr="008260C6" w:rsidRDefault="008260C6" w:rsidP="008260C6">
      <w:pPr>
        <w:pStyle w:val="ListParagraph"/>
        <w:spacing w:line="276" w:lineRule="auto"/>
      </w:pPr>
      <w:r w:rsidRPr="008260C6">
        <w:t>│ Immediate Fixes │                               │ Long-Term Fixes │</w:t>
      </w:r>
    </w:p>
    <w:p w14:paraId="7E00F347" w14:textId="77777777" w:rsidR="008260C6" w:rsidRPr="008260C6" w:rsidRDefault="008260C6" w:rsidP="008260C6">
      <w:pPr>
        <w:pStyle w:val="ListParagraph"/>
        <w:spacing w:line="276" w:lineRule="auto"/>
      </w:pPr>
      <w:r w:rsidRPr="008260C6">
        <w:t>└────────</w:t>
      </w:r>
      <w:r w:rsidRPr="008260C6">
        <w:rPr>
          <w:rFonts w:ascii="MS Gothic" w:eastAsia="MS Gothic" w:hAnsi="MS Gothic" w:cs="MS Gothic" w:hint="eastAsia"/>
        </w:rPr>
        <w:t>┬</w:t>
      </w:r>
      <w:r w:rsidRPr="008260C6">
        <w:rPr>
          <w:rFonts w:ascii="Calibri" w:hAnsi="Calibri" w:cs="Calibri"/>
        </w:rPr>
        <w:t>────────┘</w:t>
      </w:r>
      <w:r w:rsidRPr="008260C6">
        <w:t xml:space="preserve">                               └────────</w:t>
      </w:r>
      <w:r w:rsidRPr="008260C6">
        <w:rPr>
          <w:rFonts w:ascii="MS Gothic" w:eastAsia="MS Gothic" w:hAnsi="MS Gothic" w:cs="MS Gothic" w:hint="eastAsia"/>
        </w:rPr>
        <w:t>┬</w:t>
      </w:r>
      <w:r w:rsidRPr="008260C6">
        <w:rPr>
          <w:rFonts w:ascii="Calibri" w:hAnsi="Calibri" w:cs="Calibri"/>
        </w:rPr>
        <w:t>────────┘</w:t>
      </w:r>
    </w:p>
    <w:p w14:paraId="0581D44C" w14:textId="77777777" w:rsidR="008260C6" w:rsidRPr="008260C6" w:rsidRDefault="008260C6" w:rsidP="008260C6">
      <w:pPr>
        <w:pStyle w:val="ListParagraph"/>
        <w:spacing w:line="276" w:lineRule="auto"/>
      </w:pPr>
      <w:r w:rsidRPr="008260C6">
        <w:t xml:space="preserve">         │                                                 │</w:t>
      </w:r>
    </w:p>
    <w:p w14:paraId="60BA117E" w14:textId="77777777" w:rsidR="008260C6" w:rsidRPr="008260C6" w:rsidRDefault="008260C6" w:rsidP="008260C6">
      <w:pPr>
        <w:pStyle w:val="ListParagraph"/>
        <w:spacing w:line="276" w:lineRule="auto"/>
      </w:pPr>
      <w:r w:rsidRPr="008260C6">
        <w:t xml:space="preserve">         </w:t>
      </w:r>
      <w:r w:rsidRPr="008260C6">
        <w:rPr>
          <w:rFonts w:ascii="MS Gothic" w:eastAsia="MS Gothic" w:hAnsi="MS Gothic" w:cs="MS Gothic" w:hint="eastAsia"/>
        </w:rPr>
        <w:t>├</w:t>
      </w:r>
      <w:r w:rsidRPr="008260C6">
        <w:rPr>
          <w:rFonts w:ascii="Calibri" w:hAnsi="Calibri" w:cs="Calibri"/>
        </w:rPr>
        <w:t>─</w:t>
      </w:r>
      <w:r w:rsidRPr="008260C6">
        <w:rPr>
          <w:rFonts w:ascii="Arial" w:hAnsi="Arial" w:cs="Arial"/>
        </w:rPr>
        <w:t>►</w:t>
      </w:r>
      <w:r w:rsidRPr="008260C6">
        <w:t xml:space="preserve"> Guest Relations Executive Escort              </w:t>
      </w:r>
      <w:r w:rsidRPr="008260C6">
        <w:rPr>
          <w:rFonts w:ascii="MS Gothic" w:eastAsia="MS Gothic" w:hAnsi="MS Gothic" w:cs="MS Gothic" w:hint="eastAsia"/>
        </w:rPr>
        <w:t>├</w:t>
      </w:r>
      <w:r w:rsidRPr="008260C6">
        <w:rPr>
          <w:rFonts w:ascii="Calibri" w:hAnsi="Calibri" w:cs="Calibri"/>
        </w:rPr>
        <w:t>─</w:t>
      </w:r>
      <w:r w:rsidRPr="008260C6">
        <w:rPr>
          <w:rFonts w:ascii="Arial" w:hAnsi="Arial" w:cs="Arial"/>
        </w:rPr>
        <w:t>►</w:t>
      </w:r>
      <w:r w:rsidRPr="008260C6">
        <w:t xml:space="preserve"> Continuous Service Audits</w:t>
      </w:r>
    </w:p>
    <w:p w14:paraId="5D3DFD37" w14:textId="77777777" w:rsidR="008260C6" w:rsidRPr="008260C6" w:rsidRDefault="008260C6" w:rsidP="008260C6">
      <w:pPr>
        <w:pStyle w:val="ListParagraph"/>
        <w:spacing w:line="276" w:lineRule="auto"/>
      </w:pPr>
      <w:r w:rsidRPr="008260C6">
        <w:t xml:space="preserve">         └─</w:t>
      </w:r>
      <w:r w:rsidRPr="008260C6">
        <w:rPr>
          <w:rFonts w:ascii="Arial" w:hAnsi="Arial" w:cs="Arial"/>
        </w:rPr>
        <w:t>►</w:t>
      </w:r>
      <w:r w:rsidRPr="008260C6">
        <w:t xml:space="preserve"> Service Recovery Protocols &amp; Perks            </w:t>
      </w:r>
      <w:r w:rsidRPr="008260C6">
        <w:rPr>
          <w:rFonts w:ascii="Calibri" w:hAnsi="Calibri" w:cs="Calibri"/>
        </w:rPr>
        <w:t>└─</w:t>
      </w:r>
      <w:r w:rsidRPr="008260C6">
        <w:rPr>
          <w:rFonts w:ascii="Arial" w:hAnsi="Arial" w:cs="Arial"/>
        </w:rPr>
        <w:t>►</w:t>
      </w:r>
      <w:r w:rsidRPr="008260C6">
        <w:t xml:space="preserve"> Integration of Automated Desks</w:t>
      </w:r>
    </w:p>
    <w:p w14:paraId="2E281D25" w14:textId="77777777" w:rsidR="008260C6" w:rsidRPr="008260C6" w:rsidRDefault="008260C6" w:rsidP="008260C6">
      <w:pPr>
        <w:pStyle w:val="ListParagraph"/>
        <w:spacing w:line="276" w:lineRule="auto"/>
      </w:pPr>
      <w:r w:rsidRPr="008260C6">
        <w:rPr>
          <w:b/>
          <w:bCs/>
        </w:rPr>
        <w:t>Immediate Service Recovery:</w:t>
      </w:r>
    </w:p>
    <w:p w14:paraId="53F2D913" w14:textId="77777777" w:rsidR="008260C6" w:rsidRPr="008260C6" w:rsidRDefault="008260C6" w:rsidP="008260C6">
      <w:pPr>
        <w:pStyle w:val="ListParagraph"/>
        <w:numPr>
          <w:ilvl w:val="0"/>
          <w:numId w:val="24"/>
        </w:numPr>
        <w:spacing w:line="276" w:lineRule="auto"/>
      </w:pPr>
      <w:r w:rsidRPr="008260C6">
        <w:rPr>
          <w:b/>
          <w:bCs/>
        </w:rPr>
        <w:t>Executive Intervention:</w:t>
      </w:r>
      <w:r w:rsidRPr="008260C6">
        <w:t xml:space="preserve"> A Guest Relations Executive must immediately step in, separate the guest from the point of friction, and complete check-in procedures comfortably away from the desk.</w:t>
      </w:r>
    </w:p>
    <w:p w14:paraId="267E966E" w14:textId="77777777" w:rsidR="008260C6" w:rsidRPr="008260C6" w:rsidRDefault="008260C6" w:rsidP="008260C6">
      <w:pPr>
        <w:pStyle w:val="ListParagraph"/>
        <w:numPr>
          <w:ilvl w:val="0"/>
          <w:numId w:val="24"/>
        </w:numPr>
        <w:spacing w:line="276" w:lineRule="auto"/>
      </w:pPr>
      <w:r w:rsidRPr="008260C6">
        <w:rPr>
          <w:b/>
          <w:bCs/>
        </w:rPr>
        <w:t>Proactive Compensation:</w:t>
      </w:r>
      <w:r w:rsidRPr="008260C6">
        <w:t xml:space="preserve"> To visually mitigate the administrative error, management must implement proactive service recovery protocols. This includes offering a complimentary room tier upgrade, coordinating an elite dining credit, or waiving parking/resort surcharges, which can effectively repair customer goodwill (Smith et al., 1999).</w:t>
      </w:r>
    </w:p>
    <w:p w14:paraId="615DBC58" w14:textId="77777777" w:rsidR="008260C6" w:rsidRPr="008260C6" w:rsidRDefault="008260C6" w:rsidP="008260C6">
      <w:pPr>
        <w:pStyle w:val="ListParagraph"/>
        <w:spacing w:line="276" w:lineRule="auto"/>
      </w:pPr>
      <w:r w:rsidRPr="008260C6">
        <w:rPr>
          <w:b/>
          <w:bCs/>
        </w:rPr>
        <w:t>Long-Term Strategic Fixes:</w:t>
      </w:r>
    </w:p>
    <w:p w14:paraId="640F799F" w14:textId="77777777" w:rsidR="008260C6" w:rsidRPr="008260C6" w:rsidRDefault="008260C6" w:rsidP="008260C6">
      <w:pPr>
        <w:pStyle w:val="ListParagraph"/>
        <w:numPr>
          <w:ilvl w:val="0"/>
          <w:numId w:val="25"/>
        </w:numPr>
        <w:spacing w:line="276" w:lineRule="auto"/>
      </w:pPr>
      <w:r w:rsidRPr="008260C6">
        <w:rPr>
          <w:b/>
          <w:bCs/>
        </w:rPr>
        <w:t>Continuous Service Audits:</w:t>
      </w:r>
      <w:r w:rsidRPr="008260C6">
        <w:t xml:space="preserve"> Front office teams must face regular mystery shopper audits and mandatory knowledge refreshers on property infrastructure, operating hours, and standard regional information to ensure operational fluency.</w:t>
      </w:r>
    </w:p>
    <w:p w14:paraId="40B9BA0E" w14:textId="77777777" w:rsidR="008260C6" w:rsidRDefault="008260C6" w:rsidP="008260C6">
      <w:pPr>
        <w:pStyle w:val="ListParagraph"/>
        <w:numPr>
          <w:ilvl w:val="0"/>
          <w:numId w:val="25"/>
        </w:numPr>
        <w:spacing w:line="276" w:lineRule="auto"/>
      </w:pPr>
      <w:r w:rsidRPr="008260C6">
        <w:rPr>
          <w:b/>
          <w:bCs/>
        </w:rPr>
        <w:lastRenderedPageBreak/>
        <w:t>Predictive Staffing and Tech Integration:</w:t>
      </w:r>
      <w:r w:rsidRPr="008260C6">
        <w:t xml:space="preserve"> Management must sync international flight arrival projections with </w:t>
      </w:r>
      <w:proofErr w:type="spellStart"/>
      <w:r w:rsidRPr="008260C6">
        <w:t>labor</w:t>
      </w:r>
      <w:proofErr w:type="spellEnd"/>
      <w:r w:rsidRPr="008260C6">
        <w:t xml:space="preserve"> scheduling rosters to prevent understaffing during peak waves. Furthermore, deploying self-service check-in kiosks can help deflect baseline administrative volume, leaving human agents free to focus entirely on high-empathy guest interactions.</w:t>
      </w:r>
    </w:p>
    <w:p w14:paraId="3C3A7D9C" w14:textId="77777777" w:rsidR="008260C6" w:rsidRPr="008260C6" w:rsidRDefault="008260C6" w:rsidP="008260C6">
      <w:pPr>
        <w:pStyle w:val="ListParagraph"/>
        <w:spacing w:line="276" w:lineRule="auto"/>
      </w:pPr>
    </w:p>
    <w:p w14:paraId="120F564B" w14:textId="77777777" w:rsidR="008260C6" w:rsidRDefault="008260C6" w:rsidP="008260C6">
      <w:pPr>
        <w:pStyle w:val="ListParagraph"/>
        <w:spacing w:line="276" w:lineRule="auto"/>
        <w:rPr>
          <w:b/>
          <w:bCs/>
        </w:rPr>
      </w:pPr>
    </w:p>
    <w:p w14:paraId="30237724" w14:textId="2AF19C8B" w:rsidR="008260C6" w:rsidRPr="008260C6" w:rsidRDefault="008260C6" w:rsidP="008260C6">
      <w:pPr>
        <w:pStyle w:val="ListParagraph"/>
        <w:spacing w:line="276" w:lineRule="auto"/>
        <w:rPr>
          <w:b/>
          <w:bCs/>
        </w:rPr>
      </w:pPr>
      <w:r w:rsidRPr="008260C6">
        <w:rPr>
          <w:b/>
          <w:bCs/>
        </w:rPr>
        <w:t>References</w:t>
      </w:r>
    </w:p>
    <w:p w14:paraId="5B9E6190" w14:textId="77777777" w:rsidR="008260C6" w:rsidRPr="008260C6" w:rsidRDefault="008260C6" w:rsidP="008260C6">
      <w:pPr>
        <w:pStyle w:val="ListParagraph"/>
        <w:numPr>
          <w:ilvl w:val="0"/>
          <w:numId w:val="26"/>
        </w:numPr>
        <w:spacing w:line="276" w:lineRule="auto"/>
      </w:pPr>
      <w:r w:rsidRPr="008260C6">
        <w:t xml:space="preserve">Oliver, R. L., &amp; Swan, J. E. (1989). Consumer perceptions of interpersonal equity and satisfaction in transactions: A field survey approach. </w:t>
      </w:r>
      <w:r w:rsidRPr="008260C6">
        <w:rPr>
          <w:i/>
          <w:iCs/>
        </w:rPr>
        <w:t>Journal of Marketing</w:t>
      </w:r>
      <w:r w:rsidRPr="008260C6">
        <w:t xml:space="preserve">, 53(2), 21-35. </w:t>
      </w:r>
      <w:hyperlink r:id="rId6" w:tgtFrame="_blank" w:history="1">
        <w:r w:rsidRPr="008260C6">
          <w:rPr>
            <w:rStyle w:val="Hyperlink"/>
          </w:rPr>
          <w:t>https://doi.org/10.1177/002224298905300202</w:t>
        </w:r>
      </w:hyperlink>
    </w:p>
    <w:p w14:paraId="6611C812" w14:textId="77777777" w:rsidR="008260C6" w:rsidRPr="008260C6" w:rsidRDefault="008260C6" w:rsidP="008260C6">
      <w:pPr>
        <w:pStyle w:val="ListParagraph"/>
        <w:numPr>
          <w:ilvl w:val="0"/>
          <w:numId w:val="26"/>
        </w:numPr>
        <w:spacing w:line="276" w:lineRule="auto"/>
      </w:pPr>
      <w:r w:rsidRPr="008260C6">
        <w:t xml:space="preserve">Smith, A. K., Bolton, R. N., &amp; Wagner, J. (1999). A model of customer satisfaction with service recovery experiences: The effects of justice and mitigation. </w:t>
      </w:r>
      <w:r w:rsidRPr="008260C6">
        <w:rPr>
          <w:i/>
          <w:iCs/>
        </w:rPr>
        <w:t>Journal of Marketing Research</w:t>
      </w:r>
      <w:r w:rsidRPr="008260C6">
        <w:t xml:space="preserve">, 36(3), 356-372. </w:t>
      </w:r>
      <w:hyperlink r:id="rId7" w:tgtFrame="_blank" w:history="1">
        <w:r w:rsidRPr="008260C6">
          <w:rPr>
            <w:rStyle w:val="Hyperlink"/>
          </w:rPr>
          <w:t>https://doi.org/10.1177/002224379903600305</w:t>
        </w:r>
      </w:hyperlink>
    </w:p>
    <w:p w14:paraId="533556EB" w14:textId="77777777" w:rsidR="008260C6" w:rsidRPr="008260C6" w:rsidRDefault="008260C6" w:rsidP="008260C6">
      <w:pPr>
        <w:pStyle w:val="ListParagraph"/>
        <w:numPr>
          <w:ilvl w:val="0"/>
          <w:numId w:val="26"/>
        </w:numPr>
        <w:spacing w:line="276" w:lineRule="auto"/>
      </w:pPr>
      <w:r w:rsidRPr="008260C6">
        <w:t xml:space="preserve">Zeithaml, V. A., Berry, L. L., &amp; Parasuraman, A. (1993). The nature and determinants of customer expectations of service. </w:t>
      </w:r>
      <w:r w:rsidRPr="008260C6">
        <w:rPr>
          <w:i/>
          <w:iCs/>
        </w:rPr>
        <w:t>Journal of the Academy of Marketing Science</w:t>
      </w:r>
      <w:r w:rsidRPr="008260C6">
        <w:t xml:space="preserve">, 21(1), 1-12. </w:t>
      </w:r>
      <w:hyperlink r:id="rId8" w:tgtFrame="_blank" w:history="1">
        <w:r w:rsidRPr="008260C6">
          <w:rPr>
            <w:rStyle w:val="Hyperlink"/>
          </w:rPr>
          <w:t>https://doi.org/10.1177/0092070393211001</w:t>
        </w:r>
      </w:hyperlink>
    </w:p>
    <w:p w14:paraId="4054634B" w14:textId="77777777" w:rsidR="008260C6" w:rsidRPr="008260C6" w:rsidRDefault="008260C6" w:rsidP="008260C6">
      <w:pPr>
        <w:pStyle w:val="ListParagraph"/>
        <w:numPr>
          <w:ilvl w:val="0"/>
          <w:numId w:val="26"/>
        </w:numPr>
        <w:spacing w:line="276" w:lineRule="auto"/>
      </w:pPr>
      <w:r w:rsidRPr="008260C6">
        <w:t xml:space="preserve">Zemke, R., &amp; Schaaf, D. (1989). </w:t>
      </w:r>
      <w:r w:rsidRPr="008260C6">
        <w:rPr>
          <w:i/>
          <w:iCs/>
        </w:rPr>
        <w:t>The Service Edge: 101 Companies That Profit from Care</w:t>
      </w:r>
      <w:r w:rsidRPr="008260C6">
        <w:t xml:space="preserve">. New American Library. </w:t>
      </w:r>
      <w:hyperlink r:id="rId9" w:tgtFrame="_blank" w:history="1">
        <w:r w:rsidRPr="008260C6">
          <w:rPr>
            <w:rStyle w:val="Hyperlink"/>
          </w:rPr>
          <w:t>https://scholar.google.com/scholar?q=The+Service+Edge:+101+Companies+That+Profit+from+Care</w:t>
        </w:r>
      </w:hyperlink>
    </w:p>
    <w:p w14:paraId="2ADEFF53" w14:textId="77777777" w:rsidR="008260C6" w:rsidRPr="00927A25" w:rsidRDefault="008260C6" w:rsidP="00927A25">
      <w:pPr>
        <w:pStyle w:val="ListParagraph"/>
        <w:spacing w:line="276" w:lineRule="auto"/>
        <w:ind w:left="0"/>
        <w:rPr>
          <w:lang w:val="en-US"/>
        </w:rPr>
      </w:pPr>
    </w:p>
    <w:sectPr w:rsidR="008260C6"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50541D5-FA7B-421B-83C1-5276C0689938}"/>
    <w:embedBold r:id="rId2" w:fontKey="{79626E37-921B-4ACE-8163-3DE065EED85A}"/>
    <w:embedItalic r:id="rId3" w:fontKey="{C76618A8-DC78-4CD6-80F5-85B2D090E9C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BA100F2-5A17-4C7A-AABF-4ED8A2E65653}"/>
  </w:font>
  <w:font w:name="MS Gothic">
    <w:altName w:val="ＭＳ ゴシック"/>
    <w:panose1 w:val="020B0609070205080204"/>
    <w:charset w:val="80"/>
    <w:family w:val="modern"/>
    <w:pitch w:val="fixed"/>
    <w:sig w:usb0="E00002FF" w:usb1="6AC7FDFB" w:usb2="08000012" w:usb3="00000000" w:csb0="0002009F" w:csb1="00000000"/>
    <w:embedRegular r:id="rId5" w:subsetted="1" w:fontKey="{1F388063-57E1-4ABE-B683-584B1C517B05}"/>
  </w:font>
  <w:font w:name="Calibri Light">
    <w:panose1 w:val="020F0302020204030204"/>
    <w:charset w:val="00"/>
    <w:family w:val="swiss"/>
    <w:pitch w:val="variable"/>
    <w:sig w:usb0="E4002EFF" w:usb1="C000247B" w:usb2="00000009" w:usb3="00000000" w:csb0="000001FF" w:csb1="00000000"/>
    <w:embedRegular r:id="rId6" w:fontKey="{59EE6B2C-AADA-4BA3-8A6F-70B1CD64A6C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1AF07DF"/>
    <w:multiLevelType w:val="multilevel"/>
    <w:tmpl w:val="4E2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F662B"/>
    <w:multiLevelType w:val="multilevel"/>
    <w:tmpl w:val="8E26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47453"/>
    <w:multiLevelType w:val="multilevel"/>
    <w:tmpl w:val="E7F8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84494C"/>
    <w:multiLevelType w:val="multilevel"/>
    <w:tmpl w:val="7932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66106E"/>
    <w:multiLevelType w:val="multilevel"/>
    <w:tmpl w:val="FCB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E647E3"/>
    <w:multiLevelType w:val="multilevel"/>
    <w:tmpl w:val="43AC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F002A8"/>
    <w:multiLevelType w:val="multilevel"/>
    <w:tmpl w:val="06D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BB06BF"/>
    <w:multiLevelType w:val="multilevel"/>
    <w:tmpl w:val="F1B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B33CE7"/>
    <w:multiLevelType w:val="multilevel"/>
    <w:tmpl w:val="719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270BCF"/>
    <w:multiLevelType w:val="multilevel"/>
    <w:tmpl w:val="4DE2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5"/>
  </w:num>
  <w:num w:numId="2" w16cid:durableId="1012683535">
    <w:abstractNumId w:val="2"/>
  </w:num>
  <w:num w:numId="3" w16cid:durableId="1882092387">
    <w:abstractNumId w:val="17"/>
  </w:num>
  <w:num w:numId="4" w16cid:durableId="1544052912">
    <w:abstractNumId w:val="0"/>
  </w:num>
  <w:num w:numId="5" w16cid:durableId="1976175921">
    <w:abstractNumId w:val="12"/>
  </w:num>
  <w:num w:numId="6" w16cid:durableId="1741564058">
    <w:abstractNumId w:val="14"/>
  </w:num>
  <w:num w:numId="7" w16cid:durableId="192623156">
    <w:abstractNumId w:val="5"/>
  </w:num>
  <w:num w:numId="8" w16cid:durableId="378478015">
    <w:abstractNumId w:val="25"/>
  </w:num>
  <w:num w:numId="9" w16cid:durableId="982736017">
    <w:abstractNumId w:val="20"/>
  </w:num>
  <w:num w:numId="10" w16cid:durableId="1321621996">
    <w:abstractNumId w:val="21"/>
  </w:num>
  <w:num w:numId="11" w16cid:durableId="646325083">
    <w:abstractNumId w:val="3"/>
  </w:num>
  <w:num w:numId="12" w16cid:durableId="1195771833">
    <w:abstractNumId w:val="24"/>
  </w:num>
  <w:num w:numId="13" w16cid:durableId="193731801">
    <w:abstractNumId w:val="22"/>
  </w:num>
  <w:num w:numId="14" w16cid:durableId="673266209">
    <w:abstractNumId w:val="7"/>
  </w:num>
  <w:num w:numId="15" w16cid:durableId="1781879228">
    <w:abstractNumId w:val="13"/>
  </w:num>
  <w:num w:numId="16" w16cid:durableId="1668093758">
    <w:abstractNumId w:val="18"/>
  </w:num>
  <w:num w:numId="17" w16cid:durableId="2007324949">
    <w:abstractNumId w:val="1"/>
  </w:num>
  <w:num w:numId="18" w16cid:durableId="1519586626">
    <w:abstractNumId w:val="11"/>
  </w:num>
  <w:num w:numId="19" w16cid:durableId="594364362">
    <w:abstractNumId w:val="16"/>
  </w:num>
  <w:num w:numId="20" w16cid:durableId="1554539204">
    <w:abstractNumId w:val="9"/>
  </w:num>
  <w:num w:numId="21" w16cid:durableId="1000041387">
    <w:abstractNumId w:val="10"/>
  </w:num>
  <w:num w:numId="22" w16cid:durableId="410779959">
    <w:abstractNumId w:val="19"/>
  </w:num>
  <w:num w:numId="23" w16cid:durableId="1754163093">
    <w:abstractNumId w:val="8"/>
  </w:num>
  <w:num w:numId="24" w16cid:durableId="2092315176">
    <w:abstractNumId w:val="4"/>
  </w:num>
  <w:num w:numId="25" w16cid:durableId="1416241194">
    <w:abstractNumId w:val="23"/>
  </w:num>
  <w:num w:numId="26" w16cid:durableId="15915462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B6620"/>
    <w:rsid w:val="003C006E"/>
    <w:rsid w:val="003D1074"/>
    <w:rsid w:val="00426865"/>
    <w:rsid w:val="00477CAA"/>
    <w:rsid w:val="004C5A76"/>
    <w:rsid w:val="00502E29"/>
    <w:rsid w:val="005949FB"/>
    <w:rsid w:val="005E458B"/>
    <w:rsid w:val="00794642"/>
    <w:rsid w:val="007C4F78"/>
    <w:rsid w:val="008260C6"/>
    <w:rsid w:val="00844EC2"/>
    <w:rsid w:val="008516FE"/>
    <w:rsid w:val="00927A25"/>
    <w:rsid w:val="009669A8"/>
    <w:rsid w:val="009C1D0A"/>
    <w:rsid w:val="00A044F7"/>
    <w:rsid w:val="00A16DE0"/>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1177%2F0092070393211001" TargetMode="External"/><Relationship Id="rId3" Type="http://schemas.openxmlformats.org/officeDocument/2006/relationships/settings" Target="settings.xml"/><Relationship Id="rId7" Type="http://schemas.openxmlformats.org/officeDocument/2006/relationships/hyperlink" Target="https://www.google.com/search?q=https://doi.org/10.1177/0022243799036003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2989053002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3A%2F%2Fscholar.google.com%2Fscholar%3Fq%3DThe%2BService%2BEdge%3A%2B101%2BCompanies%2BThat%2BProfit%2Bfrom%2BCar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1154</Words>
  <Characters>6578</Characters>
  <Application>Microsoft Office Word</Application>
  <DocSecurity>0</DocSecurity>
  <Lines>54</Lines>
  <Paragraphs>15</Paragraphs>
  <ScaleCrop>false</ScaleCrop>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2026-06-23T15:16:00Z</dcterms:created>
  <dcterms:modified xsi:type="dcterms:W3CDTF">2026-06-23T15:16:00Z</dcterms:modified>
</cp:coreProperties>
</file>