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557702" w:rsidRPr="00557702">
        <w:rPr>
          <w:b/>
          <w:bCs/>
          <w:sz w:val="48"/>
          <w:szCs w:val="48"/>
        </w:rPr>
        <w:t>Strategic Workforce Recovery Plan for Italy’s Tourism Industry Post-COVID Crisis</w:t>
      </w:r>
    </w:p>
    <w:p w:rsidR="003F4C97" w:rsidRDefault="00D26592" w:rsidP="003F4C97">
      <w:pPr>
        <w:jc w:val="center"/>
        <w:rPr>
          <w:sz w:val="44"/>
          <w:szCs w:val="44"/>
        </w:rPr>
      </w:pPr>
      <w:r>
        <w:rPr>
          <w:b/>
          <w:sz w:val="40"/>
          <w:szCs w:val="40"/>
        </w:rPr>
        <w:br/>
      </w:r>
      <w:r>
        <w:rPr>
          <w:sz w:val="40"/>
          <w:szCs w:val="40"/>
        </w:rPr>
        <w:br/>
      </w:r>
      <w:r w:rsidR="003F4C97">
        <w:rPr>
          <w:sz w:val="44"/>
          <w:szCs w:val="44"/>
          <w:lang w:val="nl-NL"/>
        </w:rPr>
        <w:t>Student Name: Ankush Kumar</w:t>
      </w:r>
    </w:p>
    <w:p w:rsidR="003F4C97" w:rsidRDefault="003F4C97" w:rsidP="003F4C97">
      <w:pPr>
        <w:jc w:val="center"/>
        <w:rPr>
          <w:sz w:val="44"/>
          <w:szCs w:val="44"/>
        </w:rPr>
      </w:pPr>
      <w:r>
        <w:rPr>
          <w:sz w:val="44"/>
          <w:szCs w:val="44"/>
          <w:lang w:val="nl-NL"/>
        </w:rPr>
        <w:t>Student ID:DE240087</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557702" w:rsidRPr="003A6CC7" w:rsidRDefault="00557702" w:rsidP="00557702">
      <w:pPr>
        <w:pStyle w:val="Heading3"/>
        <w:rPr>
          <w:sz w:val="32"/>
          <w:szCs w:val="32"/>
        </w:rPr>
      </w:pPr>
      <w:r w:rsidRPr="003A6CC7">
        <w:rPr>
          <w:sz w:val="32"/>
          <w:szCs w:val="32"/>
        </w:rPr>
        <w:lastRenderedPageBreak/>
        <w:t>Table of Contents</w:t>
      </w:r>
    </w:p>
    <w:p w:rsidR="00557702" w:rsidRDefault="00557702" w:rsidP="00557702">
      <w:pPr>
        <w:pStyle w:val="NormalWeb"/>
        <w:numPr>
          <w:ilvl w:val="0"/>
          <w:numId w:val="13"/>
        </w:numPr>
      </w:pPr>
      <w:r>
        <w:t>Abstract</w:t>
      </w:r>
    </w:p>
    <w:p w:rsidR="00557702" w:rsidRDefault="00557702" w:rsidP="00557702">
      <w:pPr>
        <w:pStyle w:val="NormalWeb"/>
        <w:numPr>
          <w:ilvl w:val="0"/>
          <w:numId w:val="13"/>
        </w:numPr>
      </w:pPr>
      <w:r>
        <w:t>Introduction</w:t>
      </w:r>
    </w:p>
    <w:p w:rsidR="00557702" w:rsidRDefault="00557702" w:rsidP="00557702">
      <w:pPr>
        <w:pStyle w:val="NormalWeb"/>
        <w:numPr>
          <w:ilvl w:val="0"/>
          <w:numId w:val="13"/>
        </w:numPr>
      </w:pPr>
      <w:r>
        <w:t>Literature Review</w:t>
      </w:r>
    </w:p>
    <w:p w:rsidR="00557702" w:rsidRDefault="00557702" w:rsidP="00557702">
      <w:pPr>
        <w:pStyle w:val="NormalWeb"/>
        <w:numPr>
          <w:ilvl w:val="0"/>
          <w:numId w:val="13"/>
        </w:numPr>
      </w:pPr>
      <w:r>
        <w:t>Methodology</w:t>
      </w:r>
    </w:p>
    <w:p w:rsidR="00557702" w:rsidRDefault="00557702" w:rsidP="00557702">
      <w:pPr>
        <w:pStyle w:val="NormalWeb"/>
        <w:numPr>
          <w:ilvl w:val="0"/>
          <w:numId w:val="13"/>
        </w:numPr>
      </w:pPr>
      <w:r>
        <w:t>Findings</w:t>
      </w:r>
    </w:p>
    <w:p w:rsidR="00557702" w:rsidRDefault="00557702" w:rsidP="00557702">
      <w:pPr>
        <w:pStyle w:val="NormalWeb"/>
        <w:numPr>
          <w:ilvl w:val="0"/>
          <w:numId w:val="13"/>
        </w:numPr>
      </w:pPr>
      <w:r>
        <w:t>Discussion</w:t>
      </w:r>
    </w:p>
    <w:p w:rsidR="00557702" w:rsidRDefault="00557702" w:rsidP="00557702">
      <w:pPr>
        <w:pStyle w:val="NormalWeb"/>
        <w:numPr>
          <w:ilvl w:val="0"/>
          <w:numId w:val="13"/>
        </w:numPr>
      </w:pPr>
      <w:r>
        <w:t>Conclusion</w:t>
      </w:r>
    </w:p>
    <w:p w:rsidR="00557702" w:rsidRDefault="00557702" w:rsidP="00557702">
      <w:pPr>
        <w:pStyle w:val="NormalWeb"/>
        <w:numPr>
          <w:ilvl w:val="0"/>
          <w:numId w:val="13"/>
        </w:numPr>
      </w:pPr>
      <w:r>
        <w:t>References</w:t>
      </w:r>
    </w:p>
    <w:p w:rsidR="006900DE" w:rsidRPr="006900DE" w:rsidRDefault="006900DE" w:rsidP="006900DE">
      <w:pPr>
        <w:spacing w:after="0" w:line="240" w:lineRule="auto"/>
        <w:rPr>
          <w:rFonts w:ascii="Times New Roman" w:eastAsia="Times New Roman" w:hAnsi="Times New Roman" w:cs="Times New Roman"/>
          <w:sz w:val="24"/>
          <w:szCs w:val="24"/>
        </w:rPr>
      </w:pPr>
    </w:p>
    <w:p w:rsidR="006900DE" w:rsidRPr="006900DE" w:rsidRDefault="006900DE" w:rsidP="006900DE">
      <w:pPr>
        <w:spacing w:before="100" w:beforeAutospacing="1" w:after="100" w:afterAutospacing="1" w:line="240" w:lineRule="auto"/>
        <w:outlineLvl w:val="1"/>
        <w:rPr>
          <w:rFonts w:ascii="Times New Roman" w:eastAsia="Times New Roman" w:hAnsi="Times New Roman" w:cs="Times New Roman"/>
          <w:b/>
          <w:bCs/>
          <w:sz w:val="36"/>
          <w:szCs w:val="36"/>
        </w:rPr>
      </w:pPr>
      <w:r w:rsidRPr="006900DE">
        <w:rPr>
          <w:rFonts w:ascii="Times New Roman" w:eastAsia="Times New Roman" w:hAnsi="Times New Roman" w:cs="Times New Roman"/>
          <w:b/>
          <w:bCs/>
          <w:sz w:val="36"/>
          <w:szCs w:val="36"/>
        </w:rPr>
        <w:t>Abstract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COVID-19 pandemic created seismic disruptions across the global economy, with the tourism industry among the hardest hit. For Italy, where tourism previously accounted for over 13% of GDP and employed around 3.5 million people, the consequences were especially profound (OECD, 2020). Entire regions such as Veneto, Tuscany, and Lazio, which are economically reliant on international visitors, witnessed near-total shutdowns in travel, leading to widespread unemployment and business closures. The pandemic acted as a magnifier, exposing structural fragilities in Italy’s tourism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force, including dependence on seasonal work, informal employment, and a lack of social protections.</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This paper presents a strategic workforce recovery plan tailored specifically to Italy’s post-COVID tourism sector. The framework is informed by extensive analysis of secondary data, expert commentaries, and policy documents from reputable sources such as the European Commission, the United Nations World Tourism Organization (UNWTO), and the International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Organization (ILO). A core finding is that Italy’s recovery must not aim to simply restore pre-pandemic status, but rather to transform its workforce infrastructure into a more resilient, inclusive, and adaptable system.</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Key vulnerabilities identified include the high rate of informality, wage volatility, gender disparities, and lack of digital </w:t>
      </w:r>
      <w:proofErr w:type="spellStart"/>
      <w:r w:rsidRPr="006900DE">
        <w:rPr>
          <w:rFonts w:ascii="Times New Roman" w:eastAsia="Times New Roman" w:hAnsi="Times New Roman" w:cs="Times New Roman"/>
          <w:sz w:val="24"/>
          <w:szCs w:val="24"/>
        </w:rPr>
        <w:t>upskilling</w:t>
      </w:r>
      <w:proofErr w:type="spellEnd"/>
      <w:r w:rsidRPr="006900DE">
        <w:rPr>
          <w:rFonts w:ascii="Times New Roman" w:eastAsia="Times New Roman" w:hAnsi="Times New Roman" w:cs="Times New Roman"/>
          <w:sz w:val="24"/>
          <w:szCs w:val="24"/>
        </w:rPr>
        <w:t xml:space="preserve"> initiatives. According to the ILO (2022), nearly 20% of Italy's tourism workers operated without formal contracts before the pandemic, leaving them unprotected during the crisis. Furthermore, wage support measures were often delayed or inaccessible to these vulnerable workers, intensifying their financial insecurity (Corte </w:t>
      </w:r>
      <w:proofErr w:type="spellStart"/>
      <w:r w:rsidRPr="006900DE">
        <w:rPr>
          <w:rFonts w:ascii="Times New Roman" w:eastAsia="Times New Roman" w:hAnsi="Times New Roman" w:cs="Times New Roman"/>
          <w:sz w:val="24"/>
          <w:szCs w:val="24"/>
        </w:rPr>
        <w:t>dei</w:t>
      </w:r>
      <w:proofErr w:type="spellEnd"/>
      <w:r w:rsidRPr="006900DE">
        <w:rPr>
          <w:rFonts w:ascii="Times New Roman" w:eastAsia="Times New Roman" w:hAnsi="Times New Roman" w:cs="Times New Roman"/>
          <w:sz w:val="24"/>
          <w:szCs w:val="24"/>
        </w:rPr>
        <w:t xml:space="preserve"> Conti, 2021). Female workers, comprising a large share of hospitality and service roles, were disproportionately impacted due to both economic and </w:t>
      </w:r>
      <w:proofErr w:type="spellStart"/>
      <w:r w:rsidRPr="006900DE">
        <w:rPr>
          <w:rFonts w:ascii="Times New Roman" w:eastAsia="Times New Roman" w:hAnsi="Times New Roman" w:cs="Times New Roman"/>
          <w:sz w:val="24"/>
          <w:szCs w:val="24"/>
        </w:rPr>
        <w:t>caregiving</w:t>
      </w:r>
      <w:proofErr w:type="spellEnd"/>
      <w:r w:rsidRPr="006900DE">
        <w:rPr>
          <w:rFonts w:ascii="Times New Roman" w:eastAsia="Times New Roman" w:hAnsi="Times New Roman" w:cs="Times New Roman"/>
          <w:sz w:val="24"/>
          <w:szCs w:val="24"/>
        </w:rPr>
        <w:t xml:space="preserve"> pressures (EIGE, 2021).</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paper also explores how Italy’s rigid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laws and fragmented policy response delayed the sector’s bounce-back compared to other EU nations. For example, Spain and Portugal implemented integrated wage subsidy and </w:t>
      </w:r>
      <w:proofErr w:type="spellStart"/>
      <w:r w:rsidRPr="006900DE">
        <w:rPr>
          <w:rFonts w:ascii="Times New Roman" w:eastAsia="Times New Roman" w:hAnsi="Times New Roman" w:cs="Times New Roman"/>
          <w:sz w:val="24"/>
          <w:szCs w:val="24"/>
        </w:rPr>
        <w:t>reskilling</w:t>
      </w:r>
      <w:proofErr w:type="spellEnd"/>
      <w:r w:rsidRPr="006900DE">
        <w:rPr>
          <w:rFonts w:ascii="Times New Roman" w:eastAsia="Times New Roman" w:hAnsi="Times New Roman" w:cs="Times New Roman"/>
          <w:sz w:val="24"/>
          <w:szCs w:val="24"/>
        </w:rPr>
        <w:t xml:space="preserve"> schemes early on, while Italy’s support was criticized for being piecemeal and reactive (</w:t>
      </w:r>
      <w:proofErr w:type="spellStart"/>
      <w:r w:rsidRPr="006900DE">
        <w:rPr>
          <w:rFonts w:ascii="Times New Roman" w:eastAsia="Times New Roman" w:hAnsi="Times New Roman" w:cs="Times New Roman"/>
          <w:sz w:val="24"/>
          <w:szCs w:val="24"/>
        </w:rPr>
        <w:t>Eurofound</w:t>
      </w:r>
      <w:proofErr w:type="spellEnd"/>
      <w:r w:rsidRPr="006900DE">
        <w:rPr>
          <w:rFonts w:ascii="Times New Roman" w:eastAsia="Times New Roman" w:hAnsi="Times New Roman" w:cs="Times New Roman"/>
          <w:sz w:val="24"/>
          <w:szCs w:val="24"/>
        </w:rPr>
        <w:t>, 2022). These differences highlight the need for coordinated national strategies rather than regionally segmented responses, especially in crisis scenarios.</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lastRenderedPageBreak/>
        <w:t xml:space="preserve">To address these issues, the proposed strategy incorporates four pillars: </w:t>
      </w:r>
      <w:proofErr w:type="spellStart"/>
      <w:r w:rsidRPr="006900DE">
        <w:rPr>
          <w:rFonts w:ascii="Times New Roman" w:eastAsia="Times New Roman" w:hAnsi="Times New Roman" w:cs="Times New Roman"/>
          <w:sz w:val="24"/>
          <w:szCs w:val="24"/>
        </w:rPr>
        <w:t>upskilling</w:t>
      </w:r>
      <w:proofErr w:type="spellEnd"/>
      <w:r w:rsidRPr="006900DE">
        <w:rPr>
          <w:rFonts w:ascii="Times New Roman" w:eastAsia="Times New Roman" w:hAnsi="Times New Roman" w:cs="Times New Roman"/>
          <w:sz w:val="24"/>
          <w:szCs w:val="24"/>
        </w:rPr>
        <w:t xml:space="preserve"> and digital literacy programs; wage and benefit guarantees for seasonal workers; enhanced inter-regional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mobility; and proactive crisis preparedness. Building long-term resilience requires institutional reforms and public-private collaboration, ensuring that both employers and workers are equipped to face future shocks (Baum &amp; </w:t>
      </w:r>
      <w:proofErr w:type="spellStart"/>
      <w:r w:rsidRPr="006900DE">
        <w:rPr>
          <w:rFonts w:ascii="Times New Roman" w:eastAsia="Times New Roman" w:hAnsi="Times New Roman" w:cs="Times New Roman"/>
          <w:sz w:val="24"/>
          <w:szCs w:val="24"/>
        </w:rPr>
        <w:t>Hai</w:t>
      </w:r>
      <w:proofErr w:type="spellEnd"/>
      <w:r w:rsidRPr="006900DE">
        <w:rPr>
          <w:rFonts w:ascii="Times New Roman" w:eastAsia="Times New Roman" w:hAnsi="Times New Roman" w:cs="Times New Roman"/>
          <w:sz w:val="24"/>
          <w:szCs w:val="24"/>
        </w:rPr>
        <w:t>, 2021). Moreover, the recovery plan emphasizes the importance of embedding equity, sustainability, and innovation at the heart of workforce development.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By adopting a comprehensive, evidence-based approach, this paper contributes to the growing body of research on post-pandemic tourism recovery. It offers actionable recommendations not only for Italian policymakers but also for other nations facing similar challenges. Ultimately, rebuilding Italy’s tourism workforce offers an opportunity to </w:t>
      </w:r>
      <w:proofErr w:type="spellStart"/>
      <w:r w:rsidRPr="006900DE">
        <w:rPr>
          <w:rFonts w:ascii="Times New Roman" w:eastAsia="Times New Roman" w:hAnsi="Times New Roman" w:cs="Times New Roman"/>
          <w:sz w:val="24"/>
          <w:szCs w:val="24"/>
        </w:rPr>
        <w:t>reimagine</w:t>
      </w:r>
      <w:proofErr w:type="spellEnd"/>
      <w:r w:rsidRPr="006900DE">
        <w:rPr>
          <w:rFonts w:ascii="Times New Roman" w:eastAsia="Times New Roman" w:hAnsi="Times New Roman" w:cs="Times New Roman"/>
          <w:sz w:val="24"/>
          <w:szCs w:val="24"/>
        </w:rPr>
        <w:t xml:space="preserve"> the sector—making it stronger, fairer, and more future-proof than before.</w:t>
      </w:r>
    </w:p>
    <w:p w:rsidR="006900DE" w:rsidRPr="006900DE" w:rsidRDefault="006900DE" w:rsidP="006900DE">
      <w:pPr>
        <w:spacing w:after="0" w:line="240" w:lineRule="auto"/>
        <w:rPr>
          <w:rFonts w:ascii="Times New Roman" w:eastAsia="Times New Roman" w:hAnsi="Times New Roman" w:cs="Times New Roman"/>
          <w:sz w:val="24"/>
          <w:szCs w:val="24"/>
        </w:rPr>
      </w:pPr>
    </w:p>
    <w:p w:rsidR="006900DE" w:rsidRPr="006900DE" w:rsidRDefault="006900DE" w:rsidP="006900DE">
      <w:pPr>
        <w:spacing w:before="100" w:beforeAutospacing="1" w:after="100" w:afterAutospacing="1" w:line="240" w:lineRule="auto"/>
        <w:outlineLvl w:val="1"/>
        <w:rPr>
          <w:rFonts w:ascii="Times New Roman" w:eastAsia="Times New Roman" w:hAnsi="Times New Roman" w:cs="Times New Roman"/>
          <w:b/>
          <w:bCs/>
          <w:sz w:val="36"/>
          <w:szCs w:val="36"/>
        </w:rPr>
      </w:pPr>
      <w:r w:rsidRPr="006900DE">
        <w:rPr>
          <w:rFonts w:ascii="Times New Roman" w:eastAsia="Times New Roman" w:hAnsi="Times New Roman" w:cs="Times New Roman"/>
          <w:b/>
          <w:bCs/>
          <w:sz w:val="36"/>
          <w:szCs w:val="36"/>
        </w:rPr>
        <w:t>Introduction</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Italy’s prominence as a global tourism destination is rooted in its cultural heritage, diverse landscapes, and culinary reputation. Prior to the COVID-19 crisis, tourism in Italy generated over €230 billion annually, supporting both urban and rural economies (OECD, 2020). It employed a significant portion of the population, especially in regions like Lombardy, Sicily, and Campania. Tourism-related jobs were especially vital in supporting SMEs, family-run businesses, and youth employment. However, this heavy dependence on international tourism created a structural vulnerability that was exposed brutally when borders closed in 2020.</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The immediate impact of the pandemic on the tourism workforce was catastrophic. As international travel bans, lockdowns, and safety concerns intensified, tourism demand evaporated almost overnight. The Italian National Institute of Statistics (ISTAT, 2021) reported a 73% decline in foreign arrivals in 2020. Hospitality, event management, and cultural services were forced to suspend operations, leading to massive job losses, especially among seasonal, part-time, and informal workers. Many of these individuals, particularly women and migrants, lacked access to Italy’s formal social protection systems, leaving them economically stranded (ILO, 2022).</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This paper argues that simply reopening borders and reinstating pre-pandemic tourism models is insufficient. Rather, the crisis offers a critical juncture to rethink and rebuild Italy’s tourism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ecosystem. According to Baum et al. (2021), resilience in the tourism workforce must be cultivated through proactive policymaking, equitable employment practices, and investment in digital and green skills. Italy’s recovery strategy must account for both short-term rehabilitation and long-term transformation to reduce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precarity</w:t>
      </w:r>
      <w:proofErr w:type="spellEnd"/>
      <w:r w:rsidRPr="006900DE">
        <w:rPr>
          <w:rFonts w:ascii="Times New Roman" w:eastAsia="Times New Roman" w:hAnsi="Times New Roman" w:cs="Times New Roman"/>
          <w:sz w:val="24"/>
          <w:szCs w:val="24"/>
        </w:rPr>
        <w:t xml:space="preserve"> and enhance </w:t>
      </w:r>
      <w:proofErr w:type="spellStart"/>
      <w:r w:rsidRPr="006900DE">
        <w:rPr>
          <w:rFonts w:ascii="Times New Roman" w:eastAsia="Times New Roman" w:hAnsi="Times New Roman" w:cs="Times New Roman"/>
          <w:sz w:val="24"/>
          <w:szCs w:val="24"/>
        </w:rPr>
        <w:t>sectoral</w:t>
      </w:r>
      <w:proofErr w:type="spellEnd"/>
      <w:r w:rsidRPr="006900DE">
        <w:rPr>
          <w:rFonts w:ascii="Times New Roman" w:eastAsia="Times New Roman" w:hAnsi="Times New Roman" w:cs="Times New Roman"/>
          <w:sz w:val="24"/>
          <w:szCs w:val="24"/>
        </w:rPr>
        <w:t xml:space="preserve"> adaptability.</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Moreover, Italy’s workforce challenges are not uniform across regions. The North-South divide remains prominent, with the South more reliant on informal employment and less access to training infrastructure (</w:t>
      </w:r>
      <w:proofErr w:type="spellStart"/>
      <w:r w:rsidRPr="006900DE">
        <w:rPr>
          <w:rFonts w:ascii="Times New Roman" w:eastAsia="Times New Roman" w:hAnsi="Times New Roman" w:cs="Times New Roman"/>
          <w:sz w:val="24"/>
          <w:szCs w:val="24"/>
        </w:rPr>
        <w:t>Banca</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d’Italia</w:t>
      </w:r>
      <w:proofErr w:type="spellEnd"/>
      <w:r w:rsidRPr="006900DE">
        <w:rPr>
          <w:rFonts w:ascii="Times New Roman" w:eastAsia="Times New Roman" w:hAnsi="Times New Roman" w:cs="Times New Roman"/>
          <w:sz w:val="24"/>
          <w:szCs w:val="24"/>
        </w:rPr>
        <w:t xml:space="preserve">, 2021). Urban </w:t>
      </w:r>
      <w:proofErr w:type="spellStart"/>
      <w:r w:rsidRPr="006900DE">
        <w:rPr>
          <w:rFonts w:ascii="Times New Roman" w:eastAsia="Times New Roman" w:hAnsi="Times New Roman" w:cs="Times New Roman"/>
          <w:sz w:val="24"/>
          <w:szCs w:val="24"/>
        </w:rPr>
        <w:t>centres</w:t>
      </w:r>
      <w:proofErr w:type="spellEnd"/>
      <w:r w:rsidRPr="006900DE">
        <w:rPr>
          <w:rFonts w:ascii="Times New Roman" w:eastAsia="Times New Roman" w:hAnsi="Times New Roman" w:cs="Times New Roman"/>
          <w:sz w:val="24"/>
          <w:szCs w:val="24"/>
        </w:rPr>
        <w:t xml:space="preserve"> recovered more quickly due to better digital infrastructure and government support, while peripheral areas struggled to retain skilled </w:t>
      </w:r>
      <w:r w:rsidRPr="006900DE">
        <w:rPr>
          <w:rFonts w:ascii="Times New Roman" w:eastAsia="Times New Roman" w:hAnsi="Times New Roman" w:cs="Times New Roman"/>
          <w:sz w:val="24"/>
          <w:szCs w:val="24"/>
        </w:rPr>
        <w:lastRenderedPageBreak/>
        <w:t>workers. These disparities highlight the need for region-specific approaches within a unified national recovery framework.</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aim of this study is to provide a research-backed, pragmatic roadmap for workforce recovery in Italy’s tourism sector. Drawing on best practices from other European economies and integrating recommendations from institutions such as the UNWTO, European Commission, and </w:t>
      </w:r>
      <w:proofErr w:type="spellStart"/>
      <w:r w:rsidRPr="006900DE">
        <w:rPr>
          <w:rFonts w:ascii="Times New Roman" w:eastAsia="Times New Roman" w:hAnsi="Times New Roman" w:cs="Times New Roman"/>
          <w:sz w:val="24"/>
          <w:szCs w:val="24"/>
        </w:rPr>
        <w:t>Eurofound</w:t>
      </w:r>
      <w:proofErr w:type="spellEnd"/>
      <w:r w:rsidRPr="006900DE">
        <w:rPr>
          <w:rFonts w:ascii="Times New Roman" w:eastAsia="Times New Roman" w:hAnsi="Times New Roman" w:cs="Times New Roman"/>
          <w:sz w:val="24"/>
          <w:szCs w:val="24"/>
        </w:rPr>
        <w:t xml:space="preserve">, this paper proposes a phased recovery model. The ultimate goal is not only economic revival but also ensuring that Italy’s tourism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market becomes more inclusive, ethical, and resilient against future disruptions.</w:t>
      </w:r>
    </w:p>
    <w:p w:rsidR="006900DE" w:rsidRPr="006900DE" w:rsidRDefault="006900DE" w:rsidP="006900DE">
      <w:pPr>
        <w:spacing w:after="0" w:line="240" w:lineRule="auto"/>
        <w:rPr>
          <w:rFonts w:ascii="Times New Roman" w:eastAsia="Times New Roman" w:hAnsi="Times New Roman" w:cs="Times New Roman"/>
          <w:sz w:val="24"/>
          <w:szCs w:val="24"/>
        </w:rPr>
      </w:pPr>
    </w:p>
    <w:p w:rsidR="006900DE" w:rsidRPr="006900DE" w:rsidRDefault="006900DE" w:rsidP="006900DE">
      <w:pPr>
        <w:spacing w:before="100" w:beforeAutospacing="1" w:after="100" w:afterAutospacing="1" w:line="240" w:lineRule="auto"/>
        <w:outlineLvl w:val="1"/>
        <w:rPr>
          <w:rFonts w:ascii="Times New Roman" w:eastAsia="Times New Roman" w:hAnsi="Times New Roman" w:cs="Times New Roman"/>
          <w:b/>
          <w:bCs/>
          <w:sz w:val="36"/>
          <w:szCs w:val="36"/>
        </w:rPr>
      </w:pPr>
      <w:r w:rsidRPr="006900DE">
        <w:rPr>
          <w:rFonts w:ascii="Times New Roman" w:eastAsia="Times New Roman" w:hAnsi="Times New Roman" w:cs="Times New Roman"/>
          <w:b/>
          <w:bCs/>
          <w:sz w:val="36"/>
          <w:szCs w:val="36"/>
        </w:rPr>
        <w:t>Literature Review</w:t>
      </w:r>
    </w:p>
    <w:p w:rsidR="006900DE" w:rsidRPr="006900DE" w:rsidRDefault="006900DE" w:rsidP="006900DE">
      <w:pPr>
        <w:spacing w:before="100" w:beforeAutospacing="1" w:after="100" w:afterAutospacing="1" w:line="240" w:lineRule="auto"/>
        <w:outlineLvl w:val="2"/>
        <w:rPr>
          <w:rFonts w:ascii="Times New Roman" w:eastAsia="Times New Roman" w:hAnsi="Times New Roman" w:cs="Times New Roman"/>
          <w:b/>
          <w:bCs/>
          <w:sz w:val="27"/>
          <w:szCs w:val="27"/>
        </w:rPr>
      </w:pPr>
      <w:r w:rsidRPr="006900DE">
        <w:rPr>
          <w:rFonts w:ascii="Times New Roman" w:eastAsia="Times New Roman" w:hAnsi="Times New Roman" w:cs="Times New Roman"/>
          <w:b/>
          <w:bCs/>
          <w:sz w:val="27"/>
          <w:szCs w:val="27"/>
        </w:rPr>
        <w:t>1. The Italian Tourism Workforce Pre-COVID</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Before the pandemic, tourism in Italy thrived on a model marked by seasonality, regional concentration, and informal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structures. Major urban tourism hubs such as Rome, Milan, Venice, and Florence employed the majority of hospitality workers, often on fixed-term or part-time contracts (</w:t>
      </w:r>
      <w:proofErr w:type="spellStart"/>
      <w:r w:rsidRPr="006900DE">
        <w:rPr>
          <w:rFonts w:ascii="Times New Roman" w:eastAsia="Times New Roman" w:hAnsi="Times New Roman" w:cs="Times New Roman"/>
          <w:sz w:val="24"/>
          <w:szCs w:val="24"/>
        </w:rPr>
        <w:t>Eurostat</w:t>
      </w:r>
      <w:proofErr w:type="spellEnd"/>
      <w:r w:rsidRPr="006900DE">
        <w:rPr>
          <w:rFonts w:ascii="Times New Roman" w:eastAsia="Times New Roman" w:hAnsi="Times New Roman" w:cs="Times New Roman"/>
          <w:sz w:val="24"/>
          <w:szCs w:val="24"/>
        </w:rPr>
        <w:t>, 2019). Many jobs lacked continuity or social security, especially in small and medium enterprises (SMEs) that form the backbone of Italian tourism. Informal work was prevalent in southern regions and among youth, migrants, and women—groups already vulnerable to income instability and employment discrimination (OECD, 2020).</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Italian workforce also showed marked gender and generational imbalances. According to EIGE (2021), women made up 60% of Italy’s hospitality sector yet earned 18% less than their male counterparts. Youth workers (under 30) were disproportionately represented in entry-level or temporary roles, often without pathways to career advancement. These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conditions, while normalized pre-COVID, left many workers exposed when crisis hit, revealing a fragile and inequitable employment system in tourism.</w:t>
      </w:r>
    </w:p>
    <w:p w:rsidR="006900DE" w:rsidRPr="006900DE" w:rsidRDefault="006900DE" w:rsidP="006900DE">
      <w:pPr>
        <w:spacing w:before="100" w:beforeAutospacing="1" w:after="100" w:afterAutospacing="1" w:line="240" w:lineRule="auto"/>
        <w:outlineLvl w:val="2"/>
        <w:rPr>
          <w:rFonts w:ascii="Times New Roman" w:eastAsia="Times New Roman" w:hAnsi="Times New Roman" w:cs="Times New Roman"/>
          <w:b/>
          <w:bCs/>
          <w:sz w:val="27"/>
          <w:szCs w:val="27"/>
        </w:rPr>
      </w:pPr>
      <w:r w:rsidRPr="006900DE">
        <w:rPr>
          <w:rFonts w:ascii="Times New Roman" w:eastAsia="Times New Roman" w:hAnsi="Times New Roman" w:cs="Times New Roman"/>
          <w:b/>
          <w:bCs/>
          <w:sz w:val="27"/>
          <w:szCs w:val="27"/>
        </w:rPr>
        <w:t xml:space="preserve">2. COVID-19 Impact on Tourism </w:t>
      </w:r>
      <w:proofErr w:type="spellStart"/>
      <w:r w:rsidRPr="006900DE">
        <w:rPr>
          <w:rFonts w:ascii="Times New Roman" w:eastAsia="Times New Roman" w:hAnsi="Times New Roman" w:cs="Times New Roman"/>
          <w:b/>
          <w:bCs/>
          <w:sz w:val="27"/>
          <w:szCs w:val="27"/>
        </w:rPr>
        <w:t>Labour</w:t>
      </w:r>
      <w:proofErr w:type="spellEnd"/>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pandemic triggered one of the steepest employment declines in Italy’s modern history. ISTAT (2021) estimated that more than 200,000 tourism-related jobs were lost between 2020 and 2021. Migrant and informal workers were among the first to be dismissed, often without severance pay or legal recourse. Moreover, many lacked documentation needed to access government subsidies such as </w:t>
      </w:r>
      <w:proofErr w:type="spellStart"/>
      <w:r w:rsidRPr="006900DE">
        <w:rPr>
          <w:rFonts w:ascii="Times New Roman" w:eastAsia="Times New Roman" w:hAnsi="Times New Roman" w:cs="Times New Roman"/>
          <w:sz w:val="24"/>
          <w:szCs w:val="24"/>
        </w:rPr>
        <w:t>cassa</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integrazione</w:t>
      </w:r>
      <w:proofErr w:type="spellEnd"/>
      <w:r w:rsidRPr="006900DE">
        <w:rPr>
          <w:rFonts w:ascii="Times New Roman" w:eastAsia="Times New Roman" w:hAnsi="Times New Roman" w:cs="Times New Roman"/>
          <w:sz w:val="24"/>
          <w:szCs w:val="24"/>
        </w:rPr>
        <w:t xml:space="preserve"> (wage guarantee fund). The UNWTO (2021) noted that Italy's recovery was slower compared to countries like Greece and Germany, partly due to fragmented national policies and the rigid structure of Italy's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market.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The psychological toll on the tourism workforce was equally concerning. Workers reported high levels of stress, anxiety, and job insecurity, especially in roles involving face-to-face contact such as hotel front desk, tour guides, and restaurant staff (</w:t>
      </w:r>
      <w:proofErr w:type="spellStart"/>
      <w:r w:rsidRPr="006900DE">
        <w:rPr>
          <w:rFonts w:ascii="Times New Roman" w:eastAsia="Times New Roman" w:hAnsi="Times New Roman" w:cs="Times New Roman"/>
          <w:sz w:val="24"/>
          <w:szCs w:val="24"/>
        </w:rPr>
        <w:t>Eurofound</w:t>
      </w:r>
      <w:proofErr w:type="spellEnd"/>
      <w:r w:rsidRPr="006900DE">
        <w:rPr>
          <w:rFonts w:ascii="Times New Roman" w:eastAsia="Times New Roman" w:hAnsi="Times New Roman" w:cs="Times New Roman"/>
          <w:sz w:val="24"/>
          <w:szCs w:val="24"/>
        </w:rPr>
        <w:t xml:space="preserve">, 2021). Several surveys during 2020–2022 showed reduced morale and long-term career dissatisfaction among tourism professionals, sparking concerns of a brain drain in the sector (Baum &amp; </w:t>
      </w:r>
      <w:proofErr w:type="spellStart"/>
      <w:r w:rsidRPr="006900DE">
        <w:rPr>
          <w:rFonts w:ascii="Times New Roman" w:eastAsia="Times New Roman" w:hAnsi="Times New Roman" w:cs="Times New Roman"/>
          <w:sz w:val="24"/>
          <w:szCs w:val="24"/>
        </w:rPr>
        <w:t>Hai</w:t>
      </w:r>
      <w:proofErr w:type="spellEnd"/>
      <w:r w:rsidRPr="006900DE">
        <w:rPr>
          <w:rFonts w:ascii="Times New Roman" w:eastAsia="Times New Roman" w:hAnsi="Times New Roman" w:cs="Times New Roman"/>
          <w:sz w:val="24"/>
          <w:szCs w:val="24"/>
        </w:rPr>
        <w:t>, 2021).</w:t>
      </w:r>
    </w:p>
    <w:p w:rsidR="006900DE" w:rsidRPr="006900DE" w:rsidRDefault="006900DE" w:rsidP="006900DE">
      <w:pPr>
        <w:spacing w:before="100" w:beforeAutospacing="1" w:after="100" w:afterAutospacing="1" w:line="240" w:lineRule="auto"/>
        <w:outlineLvl w:val="2"/>
        <w:rPr>
          <w:rFonts w:ascii="Times New Roman" w:eastAsia="Times New Roman" w:hAnsi="Times New Roman" w:cs="Times New Roman"/>
          <w:b/>
          <w:bCs/>
          <w:sz w:val="27"/>
          <w:szCs w:val="27"/>
        </w:rPr>
      </w:pPr>
      <w:r w:rsidRPr="006900DE">
        <w:rPr>
          <w:rFonts w:ascii="Times New Roman" w:eastAsia="Times New Roman" w:hAnsi="Times New Roman" w:cs="Times New Roman"/>
          <w:b/>
          <w:bCs/>
          <w:sz w:val="27"/>
          <w:szCs w:val="27"/>
        </w:rPr>
        <w:lastRenderedPageBreak/>
        <w:t>3. Workforce Vulnerabilities</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Italy’s tourism workforce suffered from longstanding structural weaknesses. One of the most pressing issues is informality—ILO (2022) estimates suggest that about 19.8% of tourism workers were employed without contracts, particularly in cleaning, food service, and seasonal event roles. These workers were often invisible in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statistics and ineligible for crisis-related support. Wage volatility was another issue, with average earnings in the hospitality sector dropping by 12% </w:t>
      </w:r>
      <w:proofErr w:type="gramStart"/>
      <w:r w:rsidRPr="006900DE">
        <w:rPr>
          <w:rFonts w:ascii="Times New Roman" w:eastAsia="Times New Roman" w:hAnsi="Times New Roman" w:cs="Times New Roman"/>
          <w:sz w:val="24"/>
          <w:szCs w:val="24"/>
        </w:rPr>
        <w:t>between 2020–2021, disproportionately affecting low-wage earners (</w:t>
      </w:r>
      <w:proofErr w:type="spellStart"/>
      <w:r w:rsidRPr="006900DE">
        <w:rPr>
          <w:rFonts w:ascii="Times New Roman" w:eastAsia="Times New Roman" w:hAnsi="Times New Roman" w:cs="Times New Roman"/>
          <w:sz w:val="24"/>
          <w:szCs w:val="24"/>
        </w:rPr>
        <w:t>Banca</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d’Italia</w:t>
      </w:r>
      <w:proofErr w:type="spellEnd"/>
      <w:r w:rsidRPr="006900DE">
        <w:rPr>
          <w:rFonts w:ascii="Times New Roman" w:eastAsia="Times New Roman" w:hAnsi="Times New Roman" w:cs="Times New Roman"/>
          <w:sz w:val="24"/>
          <w:szCs w:val="24"/>
        </w:rPr>
        <w:t>, 2021)</w:t>
      </w:r>
      <w:proofErr w:type="gramEnd"/>
      <w:r w:rsidRPr="006900DE">
        <w:rPr>
          <w:rFonts w:ascii="Times New Roman" w:eastAsia="Times New Roman" w:hAnsi="Times New Roman" w:cs="Times New Roman"/>
          <w:sz w:val="24"/>
          <w:szCs w:val="24"/>
        </w:rPr>
        <w: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Another significant challenge was the digital skills gap. While some EU countries pivoted toward digital tourism and remote customer engagement during lockdowns, Italy lagged behind due to low ICT proficiency among older workers and limited digital infrastructure in rural areas (OECD, 2021). </w:t>
      </w:r>
      <w:proofErr w:type="gramStart"/>
      <w:r w:rsidRPr="006900DE">
        <w:rPr>
          <w:rFonts w:ascii="Times New Roman" w:eastAsia="Times New Roman" w:hAnsi="Times New Roman" w:cs="Times New Roman"/>
          <w:sz w:val="24"/>
          <w:szCs w:val="24"/>
        </w:rPr>
        <w:t>This skills</w:t>
      </w:r>
      <w:proofErr w:type="gramEnd"/>
      <w:r w:rsidRPr="006900DE">
        <w:rPr>
          <w:rFonts w:ascii="Times New Roman" w:eastAsia="Times New Roman" w:hAnsi="Times New Roman" w:cs="Times New Roman"/>
          <w:sz w:val="24"/>
          <w:szCs w:val="24"/>
        </w:rPr>
        <w:t xml:space="preserve"> mismatch hindered workforce redeployment and limited the sector’s ability to innovate in crisis. Ultimately, COVID-19 didn’t just disrupt Italy’s tourism employment—it exposed the deep-rooted fragility of its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system.</w:t>
      </w:r>
    </w:p>
    <w:p w:rsidR="00446ADA" w:rsidRDefault="00446ADA" w:rsidP="00446ADA">
      <w:pPr>
        <w:spacing w:after="0" w:line="240" w:lineRule="auto"/>
        <w:rPr>
          <w:rFonts w:ascii="Times New Roman" w:eastAsia="Times New Roman" w:hAnsi="Times New Roman" w:cs="Times New Roman"/>
          <w:sz w:val="24"/>
          <w:szCs w:val="24"/>
        </w:rPr>
      </w:pPr>
    </w:p>
    <w:p w:rsidR="00446ADA" w:rsidRPr="00446ADA" w:rsidRDefault="00446ADA" w:rsidP="00446ADA">
      <w:pPr>
        <w:spacing w:after="0"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b/>
          <w:bCs/>
          <w:sz w:val="36"/>
          <w:szCs w:val="36"/>
        </w:rPr>
        <w:t>Methodology</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This report adopts a </w:t>
      </w:r>
      <w:r w:rsidRPr="00446ADA">
        <w:rPr>
          <w:rFonts w:ascii="Times New Roman" w:eastAsia="Times New Roman" w:hAnsi="Times New Roman" w:cs="Times New Roman"/>
          <w:b/>
          <w:bCs/>
          <w:sz w:val="24"/>
          <w:szCs w:val="24"/>
        </w:rPr>
        <w:t>qualitative and exploratory research design</w:t>
      </w:r>
      <w:r w:rsidRPr="00446ADA">
        <w:rPr>
          <w:rFonts w:ascii="Times New Roman" w:eastAsia="Times New Roman" w:hAnsi="Times New Roman" w:cs="Times New Roman"/>
          <w:sz w:val="24"/>
          <w:szCs w:val="24"/>
        </w:rPr>
        <w:t xml:space="preserve">, focused on understanding the structural challenges and opportunities involved in Italy’s tourism workforce recovery post-COVID-19. The study primarily relies on </w:t>
      </w:r>
      <w:r w:rsidRPr="00446ADA">
        <w:rPr>
          <w:rFonts w:ascii="Times New Roman" w:eastAsia="Times New Roman" w:hAnsi="Times New Roman" w:cs="Times New Roman"/>
          <w:b/>
          <w:bCs/>
          <w:sz w:val="24"/>
          <w:szCs w:val="24"/>
        </w:rPr>
        <w:t>secondary data sources</w:t>
      </w:r>
      <w:r w:rsidRPr="00446ADA">
        <w:rPr>
          <w:rFonts w:ascii="Times New Roman" w:eastAsia="Times New Roman" w:hAnsi="Times New Roman" w:cs="Times New Roman"/>
          <w:sz w:val="24"/>
          <w:szCs w:val="24"/>
        </w:rPr>
        <w:t xml:space="preserve">, chosen for their credibility, relevance, and comprehensiveness. This approach is well-suited for pandemic-related research, where real-time primary data collection is often limited by logistical and ethical constraints (Creswell, 2014). The use of existing datasets and scholarly insights also allows the research to incorporate a diverse range of perspectives, particularly those of international institutions such as the United Nations World Tourism Organization (UNWTO), the International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Organization (ILO), and national bodies such as the Italian National Institute of Statistics (ISTAT).</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A significant portion of the data is drawn from </w:t>
      </w:r>
      <w:r w:rsidRPr="00446ADA">
        <w:rPr>
          <w:rFonts w:ascii="Times New Roman" w:eastAsia="Times New Roman" w:hAnsi="Times New Roman" w:cs="Times New Roman"/>
          <w:b/>
          <w:bCs/>
          <w:sz w:val="24"/>
          <w:szCs w:val="24"/>
        </w:rPr>
        <w:t>official government and institutional reports</w:t>
      </w:r>
      <w:r w:rsidRPr="00446ADA">
        <w:rPr>
          <w:rFonts w:ascii="Times New Roman" w:eastAsia="Times New Roman" w:hAnsi="Times New Roman" w:cs="Times New Roman"/>
          <w:sz w:val="24"/>
          <w:szCs w:val="24"/>
        </w:rPr>
        <w:t xml:space="preserve">, including ISTAT’s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market bulletins (2020–2023), the European Commission’s employment updates, and ILO’s global employment trend analyses. These documents offer quantitative indicators such as employment rates, income fluctuations, </w:t>
      </w:r>
      <w:proofErr w:type="spellStart"/>
      <w:r w:rsidRPr="00446ADA">
        <w:rPr>
          <w:rFonts w:ascii="Times New Roman" w:eastAsia="Times New Roman" w:hAnsi="Times New Roman" w:cs="Times New Roman"/>
          <w:sz w:val="24"/>
          <w:szCs w:val="24"/>
        </w:rPr>
        <w:t>sectoral</w:t>
      </w:r>
      <w:proofErr w:type="spellEnd"/>
      <w:r w:rsidRPr="00446ADA">
        <w:rPr>
          <w:rFonts w:ascii="Times New Roman" w:eastAsia="Times New Roman" w:hAnsi="Times New Roman" w:cs="Times New Roman"/>
          <w:sz w:val="24"/>
          <w:szCs w:val="24"/>
        </w:rPr>
        <w:t xml:space="preserve"> distribution, and demographic breakdowns of tourism workers in Italy. For instance, ISTAT (2021) and Corte </w:t>
      </w:r>
      <w:proofErr w:type="spellStart"/>
      <w:r w:rsidRPr="00446ADA">
        <w:rPr>
          <w:rFonts w:ascii="Times New Roman" w:eastAsia="Times New Roman" w:hAnsi="Times New Roman" w:cs="Times New Roman"/>
          <w:sz w:val="24"/>
          <w:szCs w:val="24"/>
        </w:rPr>
        <w:t>dei</w:t>
      </w:r>
      <w:proofErr w:type="spellEnd"/>
      <w:r w:rsidRPr="00446ADA">
        <w:rPr>
          <w:rFonts w:ascii="Times New Roman" w:eastAsia="Times New Roman" w:hAnsi="Times New Roman" w:cs="Times New Roman"/>
          <w:sz w:val="24"/>
          <w:szCs w:val="24"/>
        </w:rPr>
        <w:t xml:space="preserve"> Conti (2022) provided invaluable insights into the number of jobs lost, regional disparities in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support, and the profile of affected workers. This statistical foundation is crucial for identifying the most vulnerable groups within the tourism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force—particularly informal workers, women, and migrants.</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In addition to statistical reports, the research integrates </w:t>
      </w:r>
      <w:r w:rsidRPr="00446ADA">
        <w:rPr>
          <w:rFonts w:ascii="Times New Roman" w:eastAsia="Times New Roman" w:hAnsi="Times New Roman" w:cs="Times New Roman"/>
          <w:b/>
          <w:bCs/>
          <w:sz w:val="24"/>
          <w:szCs w:val="24"/>
        </w:rPr>
        <w:t>qualitative insights</w:t>
      </w:r>
      <w:r w:rsidRPr="00446ADA">
        <w:rPr>
          <w:rFonts w:ascii="Times New Roman" w:eastAsia="Times New Roman" w:hAnsi="Times New Roman" w:cs="Times New Roman"/>
          <w:sz w:val="24"/>
          <w:szCs w:val="24"/>
        </w:rPr>
        <w:t xml:space="preserve"> from tourism sector organizations and trade unions, such as </w:t>
      </w:r>
      <w:proofErr w:type="spellStart"/>
      <w:r w:rsidRPr="00446ADA">
        <w:rPr>
          <w:rFonts w:ascii="Times New Roman" w:eastAsia="Times New Roman" w:hAnsi="Times New Roman" w:cs="Times New Roman"/>
          <w:b/>
          <w:bCs/>
          <w:sz w:val="24"/>
          <w:szCs w:val="24"/>
        </w:rPr>
        <w:t>Federalberghi</w:t>
      </w:r>
      <w:proofErr w:type="spellEnd"/>
      <w:r w:rsidRPr="00446ADA">
        <w:rPr>
          <w:rFonts w:ascii="Times New Roman" w:eastAsia="Times New Roman" w:hAnsi="Times New Roman" w:cs="Times New Roman"/>
          <w:sz w:val="24"/>
          <w:szCs w:val="24"/>
        </w:rPr>
        <w:t xml:space="preserve">, </w:t>
      </w:r>
      <w:r w:rsidRPr="00446ADA">
        <w:rPr>
          <w:rFonts w:ascii="Times New Roman" w:eastAsia="Times New Roman" w:hAnsi="Times New Roman" w:cs="Times New Roman"/>
          <w:b/>
          <w:bCs/>
          <w:sz w:val="24"/>
          <w:szCs w:val="24"/>
        </w:rPr>
        <w:t>FIPE (</w:t>
      </w:r>
      <w:proofErr w:type="spellStart"/>
      <w:r w:rsidRPr="00446ADA">
        <w:rPr>
          <w:rFonts w:ascii="Times New Roman" w:eastAsia="Times New Roman" w:hAnsi="Times New Roman" w:cs="Times New Roman"/>
          <w:b/>
          <w:bCs/>
          <w:sz w:val="24"/>
          <w:szCs w:val="24"/>
        </w:rPr>
        <w:t>Federazione</w:t>
      </w:r>
      <w:proofErr w:type="spellEnd"/>
      <w:r w:rsidRPr="00446ADA">
        <w:rPr>
          <w:rFonts w:ascii="Times New Roman" w:eastAsia="Times New Roman" w:hAnsi="Times New Roman" w:cs="Times New Roman"/>
          <w:b/>
          <w:bCs/>
          <w:sz w:val="24"/>
          <w:szCs w:val="24"/>
        </w:rPr>
        <w:t xml:space="preserve"> </w:t>
      </w:r>
      <w:proofErr w:type="spellStart"/>
      <w:r w:rsidRPr="00446ADA">
        <w:rPr>
          <w:rFonts w:ascii="Times New Roman" w:eastAsia="Times New Roman" w:hAnsi="Times New Roman" w:cs="Times New Roman"/>
          <w:b/>
          <w:bCs/>
          <w:sz w:val="24"/>
          <w:szCs w:val="24"/>
        </w:rPr>
        <w:t>Italiana</w:t>
      </w:r>
      <w:proofErr w:type="spellEnd"/>
      <w:r w:rsidRPr="00446ADA">
        <w:rPr>
          <w:rFonts w:ascii="Times New Roman" w:eastAsia="Times New Roman" w:hAnsi="Times New Roman" w:cs="Times New Roman"/>
          <w:b/>
          <w:bCs/>
          <w:sz w:val="24"/>
          <w:szCs w:val="24"/>
        </w:rPr>
        <w:t xml:space="preserve"> </w:t>
      </w:r>
      <w:proofErr w:type="spellStart"/>
      <w:r w:rsidRPr="00446ADA">
        <w:rPr>
          <w:rFonts w:ascii="Times New Roman" w:eastAsia="Times New Roman" w:hAnsi="Times New Roman" w:cs="Times New Roman"/>
          <w:b/>
          <w:bCs/>
          <w:sz w:val="24"/>
          <w:szCs w:val="24"/>
        </w:rPr>
        <w:t>Pubblici</w:t>
      </w:r>
      <w:proofErr w:type="spellEnd"/>
      <w:r w:rsidRPr="00446ADA">
        <w:rPr>
          <w:rFonts w:ascii="Times New Roman" w:eastAsia="Times New Roman" w:hAnsi="Times New Roman" w:cs="Times New Roman"/>
          <w:b/>
          <w:bCs/>
          <w:sz w:val="24"/>
          <w:szCs w:val="24"/>
        </w:rPr>
        <w:t xml:space="preserve"> </w:t>
      </w:r>
      <w:proofErr w:type="spellStart"/>
      <w:r w:rsidRPr="00446ADA">
        <w:rPr>
          <w:rFonts w:ascii="Times New Roman" w:eastAsia="Times New Roman" w:hAnsi="Times New Roman" w:cs="Times New Roman"/>
          <w:b/>
          <w:bCs/>
          <w:sz w:val="24"/>
          <w:szCs w:val="24"/>
        </w:rPr>
        <w:t>Esercizi</w:t>
      </w:r>
      <w:proofErr w:type="spellEnd"/>
      <w:r w:rsidRPr="00446ADA">
        <w:rPr>
          <w:rFonts w:ascii="Times New Roman" w:eastAsia="Times New Roman" w:hAnsi="Times New Roman" w:cs="Times New Roman"/>
          <w:b/>
          <w:bCs/>
          <w:sz w:val="24"/>
          <w:szCs w:val="24"/>
        </w:rPr>
        <w:t>)</w:t>
      </w:r>
      <w:r w:rsidRPr="00446ADA">
        <w:rPr>
          <w:rFonts w:ascii="Times New Roman" w:eastAsia="Times New Roman" w:hAnsi="Times New Roman" w:cs="Times New Roman"/>
          <w:sz w:val="24"/>
          <w:szCs w:val="24"/>
        </w:rPr>
        <w:t xml:space="preserve">, and the </w:t>
      </w:r>
      <w:r w:rsidRPr="00446ADA">
        <w:rPr>
          <w:rFonts w:ascii="Times New Roman" w:eastAsia="Times New Roman" w:hAnsi="Times New Roman" w:cs="Times New Roman"/>
          <w:b/>
          <w:bCs/>
          <w:sz w:val="24"/>
          <w:szCs w:val="24"/>
        </w:rPr>
        <w:t>Italian Chamber of Commerce for Tourism</w:t>
      </w:r>
      <w:r w:rsidRPr="00446ADA">
        <w:rPr>
          <w:rFonts w:ascii="Times New Roman" w:eastAsia="Times New Roman" w:hAnsi="Times New Roman" w:cs="Times New Roman"/>
          <w:sz w:val="24"/>
          <w:szCs w:val="24"/>
        </w:rPr>
        <w:t xml:space="preserve">. These industry voices offer on-the-ground perspectives on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dynamics, employer challenges, and policy gaps. Their reports during the crisis and subsequent recovery efforts reflect practical realities, including the </w:t>
      </w:r>
      <w:r w:rsidRPr="00446ADA">
        <w:rPr>
          <w:rFonts w:ascii="Times New Roman" w:eastAsia="Times New Roman" w:hAnsi="Times New Roman" w:cs="Times New Roman"/>
          <w:sz w:val="24"/>
          <w:szCs w:val="24"/>
        </w:rPr>
        <w:lastRenderedPageBreak/>
        <w:t>shortcomings of wage guarantee schemes and the growing difficulty in rehiring skilled staff post-lockdown (</w:t>
      </w:r>
      <w:proofErr w:type="spellStart"/>
      <w:r w:rsidRPr="00446ADA">
        <w:rPr>
          <w:rFonts w:ascii="Times New Roman" w:eastAsia="Times New Roman" w:hAnsi="Times New Roman" w:cs="Times New Roman"/>
          <w:sz w:val="24"/>
          <w:szCs w:val="24"/>
        </w:rPr>
        <w:t>Federalberghi</w:t>
      </w:r>
      <w:proofErr w:type="spellEnd"/>
      <w:r w:rsidRPr="00446ADA">
        <w:rPr>
          <w:rFonts w:ascii="Times New Roman" w:eastAsia="Times New Roman" w:hAnsi="Times New Roman" w:cs="Times New Roman"/>
          <w:sz w:val="24"/>
          <w:szCs w:val="24"/>
        </w:rPr>
        <w:t>, 2021). Furthermore, testimonials and position papers from worker associations help ensure the strategy is not only employer-centric but also accounts for workers’ lived experiences.</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The recovery framework proposed in this paper is also informed by </w:t>
      </w:r>
      <w:r w:rsidRPr="00446ADA">
        <w:rPr>
          <w:rFonts w:ascii="Times New Roman" w:eastAsia="Times New Roman" w:hAnsi="Times New Roman" w:cs="Times New Roman"/>
          <w:b/>
          <w:bCs/>
          <w:sz w:val="24"/>
          <w:szCs w:val="24"/>
        </w:rPr>
        <w:t>comparative case study analysis</w:t>
      </w:r>
      <w:r w:rsidRPr="00446ADA">
        <w:rPr>
          <w:rFonts w:ascii="Times New Roman" w:eastAsia="Times New Roman" w:hAnsi="Times New Roman" w:cs="Times New Roman"/>
          <w:sz w:val="24"/>
          <w:szCs w:val="24"/>
        </w:rPr>
        <w:t xml:space="preserve">, examining how other tourism-dependent economies—such as Spain, Portugal, and Greece—approached workforce recovery. These cases were chosen based on shared socio-economic and cultural characteristics with Italy, as well as the availability of comparable data. For example, Spain’s rapid deployment of ERTE (temporary employment regulation) schemes and Portugal’s investment in </w:t>
      </w:r>
      <w:proofErr w:type="spellStart"/>
      <w:r w:rsidRPr="00446ADA">
        <w:rPr>
          <w:rFonts w:ascii="Times New Roman" w:eastAsia="Times New Roman" w:hAnsi="Times New Roman" w:cs="Times New Roman"/>
          <w:sz w:val="24"/>
          <w:szCs w:val="24"/>
        </w:rPr>
        <w:t>upskilling</w:t>
      </w:r>
      <w:proofErr w:type="spellEnd"/>
      <w:r w:rsidRPr="00446ADA">
        <w:rPr>
          <w:rFonts w:ascii="Times New Roman" w:eastAsia="Times New Roman" w:hAnsi="Times New Roman" w:cs="Times New Roman"/>
          <w:sz w:val="24"/>
          <w:szCs w:val="24"/>
        </w:rPr>
        <w:t xml:space="preserve"> tourism workers were evaluated in terms of transferability to the Italian context (</w:t>
      </w:r>
      <w:proofErr w:type="spellStart"/>
      <w:r w:rsidRPr="00446ADA">
        <w:rPr>
          <w:rFonts w:ascii="Times New Roman" w:eastAsia="Times New Roman" w:hAnsi="Times New Roman" w:cs="Times New Roman"/>
          <w:sz w:val="24"/>
          <w:szCs w:val="24"/>
        </w:rPr>
        <w:t>Eurofound</w:t>
      </w:r>
      <w:proofErr w:type="spellEnd"/>
      <w:r w:rsidRPr="00446ADA">
        <w:rPr>
          <w:rFonts w:ascii="Times New Roman" w:eastAsia="Times New Roman" w:hAnsi="Times New Roman" w:cs="Times New Roman"/>
          <w:sz w:val="24"/>
          <w:szCs w:val="24"/>
        </w:rPr>
        <w:t xml:space="preserve">, 2022; UNWTO, 2021). This benchmarking exercise helps align the recovery strategy with </w:t>
      </w:r>
      <w:r w:rsidRPr="00446ADA">
        <w:rPr>
          <w:rFonts w:ascii="Times New Roman" w:eastAsia="Times New Roman" w:hAnsi="Times New Roman" w:cs="Times New Roman"/>
          <w:b/>
          <w:bCs/>
          <w:sz w:val="24"/>
          <w:szCs w:val="24"/>
        </w:rPr>
        <w:t>global best practices</w:t>
      </w:r>
      <w:r w:rsidRPr="00446ADA">
        <w:rPr>
          <w:rFonts w:ascii="Times New Roman" w:eastAsia="Times New Roman" w:hAnsi="Times New Roman" w:cs="Times New Roman"/>
          <w:sz w:val="24"/>
          <w:szCs w:val="24"/>
        </w:rPr>
        <w:t xml:space="preserve"> and ensures that recommendations are both </w:t>
      </w:r>
      <w:proofErr w:type="spellStart"/>
      <w:r w:rsidRPr="00446ADA">
        <w:rPr>
          <w:rFonts w:ascii="Times New Roman" w:eastAsia="Times New Roman" w:hAnsi="Times New Roman" w:cs="Times New Roman"/>
          <w:sz w:val="24"/>
          <w:szCs w:val="24"/>
        </w:rPr>
        <w:t>aspirational</w:t>
      </w:r>
      <w:proofErr w:type="spellEnd"/>
      <w:r w:rsidRPr="00446ADA">
        <w:rPr>
          <w:rFonts w:ascii="Times New Roman" w:eastAsia="Times New Roman" w:hAnsi="Times New Roman" w:cs="Times New Roman"/>
          <w:sz w:val="24"/>
          <w:szCs w:val="24"/>
        </w:rPr>
        <w:t xml:space="preserve"> and realistic.</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Finally, the strategy is grounded in the principles of the </w:t>
      </w:r>
      <w:r w:rsidRPr="00446ADA">
        <w:rPr>
          <w:rFonts w:ascii="Times New Roman" w:eastAsia="Times New Roman" w:hAnsi="Times New Roman" w:cs="Times New Roman"/>
          <w:b/>
          <w:bCs/>
          <w:sz w:val="24"/>
          <w:szCs w:val="24"/>
        </w:rPr>
        <w:t>ILO’s Decent Work Agenda</w:t>
      </w:r>
      <w:r w:rsidRPr="00446ADA">
        <w:rPr>
          <w:rFonts w:ascii="Times New Roman" w:eastAsia="Times New Roman" w:hAnsi="Times New Roman" w:cs="Times New Roman"/>
          <w:sz w:val="24"/>
          <w:szCs w:val="24"/>
        </w:rPr>
        <w:t xml:space="preserve"> and the </w:t>
      </w:r>
      <w:r w:rsidRPr="00446ADA">
        <w:rPr>
          <w:rFonts w:ascii="Times New Roman" w:eastAsia="Times New Roman" w:hAnsi="Times New Roman" w:cs="Times New Roman"/>
          <w:b/>
          <w:bCs/>
          <w:sz w:val="24"/>
          <w:szCs w:val="24"/>
        </w:rPr>
        <w:t>UN Sustainable Development Goals (SDGs)</w:t>
      </w:r>
      <w:r w:rsidRPr="00446ADA">
        <w:rPr>
          <w:rFonts w:ascii="Times New Roman" w:eastAsia="Times New Roman" w:hAnsi="Times New Roman" w:cs="Times New Roman"/>
          <w:sz w:val="24"/>
          <w:szCs w:val="24"/>
        </w:rPr>
        <w:t xml:space="preserve">, particularly SDG 8: Decent Work and Economic Growth, and SDG 10: Reduced Inequalities. These frameworks provide normative guidelines for building inclusive and resilient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systems post-crisis. Academic literature, such as Baum et al. (2021), Hall et al. (2020), and </w:t>
      </w:r>
      <w:proofErr w:type="spellStart"/>
      <w:r w:rsidRPr="00446ADA">
        <w:rPr>
          <w:rFonts w:ascii="Times New Roman" w:eastAsia="Times New Roman" w:hAnsi="Times New Roman" w:cs="Times New Roman"/>
          <w:sz w:val="24"/>
          <w:szCs w:val="24"/>
        </w:rPr>
        <w:t>Romagosa</w:t>
      </w:r>
      <w:proofErr w:type="spellEnd"/>
      <w:r w:rsidRPr="00446ADA">
        <w:rPr>
          <w:rFonts w:ascii="Times New Roman" w:eastAsia="Times New Roman" w:hAnsi="Times New Roman" w:cs="Times New Roman"/>
          <w:sz w:val="24"/>
          <w:szCs w:val="24"/>
        </w:rPr>
        <w:t xml:space="preserve"> (2021), supports the argument that tourism workforce recovery should emphasize not just employment quantity but quality—focusing on equity, security, and sustainability. By triangulating multiple data sources and theoretical models, this research aims to create a robust and context-sensitive recovery plan tailored to Italy’s unique socio-economic landscape.</w:t>
      </w:r>
    </w:p>
    <w:p w:rsidR="009B453C" w:rsidRPr="003A6CC7" w:rsidRDefault="009B453C" w:rsidP="00557702">
      <w:pPr>
        <w:pStyle w:val="Heading3"/>
        <w:rPr>
          <w:sz w:val="30"/>
          <w:szCs w:val="30"/>
        </w:rPr>
      </w:pPr>
    </w:p>
    <w:p w:rsidR="00557702" w:rsidRPr="003A6CC7" w:rsidRDefault="00557702" w:rsidP="00557702">
      <w:pPr>
        <w:pStyle w:val="Heading3"/>
        <w:rPr>
          <w:sz w:val="30"/>
          <w:szCs w:val="30"/>
        </w:rPr>
      </w:pPr>
      <w:r w:rsidRPr="003A6CC7">
        <w:rPr>
          <w:sz w:val="30"/>
          <w:szCs w:val="30"/>
        </w:rPr>
        <w:t>Findings</w:t>
      </w:r>
    </w:p>
    <w:p w:rsidR="00557702" w:rsidRDefault="00557702" w:rsidP="00557702">
      <w:pPr>
        <w:pStyle w:val="Heading4"/>
      </w:pPr>
      <w:r>
        <w:t xml:space="preserve">1. Pre- and Post-Crisis </w:t>
      </w:r>
      <w:proofErr w:type="spellStart"/>
      <w:r>
        <w:t>Labour</w:t>
      </w:r>
      <w:proofErr w:type="spellEnd"/>
      <w:r>
        <w:t xml:space="preserve"> Market Dynamics</w:t>
      </w:r>
    </w:p>
    <w:tbl>
      <w:tblPr>
        <w:tblW w:w="0" w:type="auto"/>
        <w:tblCellSpacing w:w="15" w:type="dxa"/>
        <w:tblCellMar>
          <w:top w:w="15" w:type="dxa"/>
          <w:left w:w="15" w:type="dxa"/>
          <w:bottom w:w="15" w:type="dxa"/>
          <w:right w:w="15" w:type="dxa"/>
        </w:tblCellMar>
        <w:tblLook w:val="04A0"/>
      </w:tblPr>
      <w:tblGrid>
        <w:gridCol w:w="2250"/>
        <w:gridCol w:w="1108"/>
        <w:gridCol w:w="2641"/>
      </w:tblGrid>
      <w:tr w:rsidR="00557702" w:rsidTr="00557702">
        <w:trPr>
          <w:tblHeader/>
          <w:tblCellSpacing w:w="15" w:type="dxa"/>
        </w:trPr>
        <w:tc>
          <w:tcPr>
            <w:tcW w:w="0" w:type="auto"/>
            <w:vAlign w:val="center"/>
            <w:hideMark/>
          </w:tcPr>
          <w:p w:rsidR="00557702" w:rsidRDefault="00557702">
            <w:pPr>
              <w:jc w:val="center"/>
              <w:rPr>
                <w:b/>
                <w:bCs/>
                <w:sz w:val="24"/>
                <w:szCs w:val="24"/>
              </w:rPr>
            </w:pPr>
            <w:r>
              <w:rPr>
                <w:b/>
                <w:bCs/>
              </w:rPr>
              <w:t>Aspect</w:t>
            </w:r>
          </w:p>
        </w:tc>
        <w:tc>
          <w:tcPr>
            <w:tcW w:w="0" w:type="auto"/>
            <w:vAlign w:val="center"/>
            <w:hideMark/>
          </w:tcPr>
          <w:p w:rsidR="00557702" w:rsidRDefault="00557702">
            <w:pPr>
              <w:jc w:val="center"/>
              <w:rPr>
                <w:b/>
                <w:bCs/>
                <w:sz w:val="24"/>
                <w:szCs w:val="24"/>
              </w:rPr>
            </w:pPr>
            <w:r>
              <w:rPr>
                <w:b/>
                <w:bCs/>
              </w:rPr>
              <w:t>Pre-COVID</w:t>
            </w:r>
          </w:p>
        </w:tc>
        <w:tc>
          <w:tcPr>
            <w:tcW w:w="0" w:type="auto"/>
            <w:vAlign w:val="center"/>
            <w:hideMark/>
          </w:tcPr>
          <w:p w:rsidR="00557702" w:rsidRDefault="00557702">
            <w:pPr>
              <w:jc w:val="center"/>
              <w:rPr>
                <w:b/>
                <w:bCs/>
                <w:sz w:val="24"/>
                <w:szCs w:val="24"/>
              </w:rPr>
            </w:pPr>
            <w:r>
              <w:rPr>
                <w:b/>
                <w:bCs/>
              </w:rPr>
              <w:t>Post-COVID</w:t>
            </w:r>
          </w:p>
        </w:tc>
      </w:tr>
      <w:tr w:rsidR="00557702" w:rsidTr="00557702">
        <w:trPr>
          <w:tblCellSpacing w:w="15" w:type="dxa"/>
        </w:trPr>
        <w:tc>
          <w:tcPr>
            <w:tcW w:w="0" w:type="auto"/>
            <w:vAlign w:val="center"/>
            <w:hideMark/>
          </w:tcPr>
          <w:p w:rsidR="00557702" w:rsidRDefault="00557702">
            <w:pPr>
              <w:rPr>
                <w:sz w:val="24"/>
                <w:szCs w:val="24"/>
              </w:rPr>
            </w:pPr>
            <w:r>
              <w:t>Employment</w:t>
            </w:r>
          </w:p>
        </w:tc>
        <w:tc>
          <w:tcPr>
            <w:tcW w:w="0" w:type="auto"/>
            <w:vAlign w:val="center"/>
            <w:hideMark/>
          </w:tcPr>
          <w:p w:rsidR="00557702" w:rsidRDefault="00557702">
            <w:pPr>
              <w:rPr>
                <w:sz w:val="24"/>
                <w:szCs w:val="24"/>
              </w:rPr>
            </w:pPr>
            <w:r>
              <w:t>3.2 million</w:t>
            </w:r>
          </w:p>
        </w:tc>
        <w:tc>
          <w:tcPr>
            <w:tcW w:w="0" w:type="auto"/>
            <w:vAlign w:val="center"/>
            <w:hideMark/>
          </w:tcPr>
          <w:p w:rsidR="00557702" w:rsidRDefault="00557702">
            <w:pPr>
              <w:rPr>
                <w:sz w:val="24"/>
                <w:szCs w:val="24"/>
              </w:rPr>
            </w:pPr>
            <w:r>
              <w:t>2.6 million</w:t>
            </w:r>
          </w:p>
        </w:tc>
      </w:tr>
      <w:tr w:rsidR="00557702" w:rsidTr="00557702">
        <w:trPr>
          <w:tblCellSpacing w:w="15" w:type="dxa"/>
        </w:trPr>
        <w:tc>
          <w:tcPr>
            <w:tcW w:w="0" w:type="auto"/>
            <w:vAlign w:val="center"/>
            <w:hideMark/>
          </w:tcPr>
          <w:p w:rsidR="00557702" w:rsidRDefault="00557702">
            <w:pPr>
              <w:rPr>
                <w:sz w:val="24"/>
                <w:szCs w:val="24"/>
              </w:rPr>
            </w:pPr>
            <w:r>
              <w:t>Informality</w:t>
            </w:r>
          </w:p>
        </w:tc>
        <w:tc>
          <w:tcPr>
            <w:tcW w:w="0" w:type="auto"/>
            <w:vAlign w:val="center"/>
            <w:hideMark/>
          </w:tcPr>
          <w:p w:rsidR="00557702" w:rsidRDefault="00557702">
            <w:pPr>
              <w:rPr>
                <w:sz w:val="24"/>
                <w:szCs w:val="24"/>
              </w:rPr>
            </w:pPr>
            <w:r>
              <w:t>18%</w:t>
            </w:r>
          </w:p>
        </w:tc>
        <w:tc>
          <w:tcPr>
            <w:tcW w:w="0" w:type="auto"/>
            <w:vAlign w:val="center"/>
            <w:hideMark/>
          </w:tcPr>
          <w:p w:rsidR="00557702" w:rsidRDefault="00557702">
            <w:pPr>
              <w:rPr>
                <w:sz w:val="24"/>
                <w:szCs w:val="24"/>
              </w:rPr>
            </w:pPr>
            <w:r>
              <w:t>23%</w:t>
            </w:r>
          </w:p>
        </w:tc>
      </w:tr>
      <w:tr w:rsidR="00557702" w:rsidTr="00557702">
        <w:trPr>
          <w:tblCellSpacing w:w="15" w:type="dxa"/>
        </w:trPr>
        <w:tc>
          <w:tcPr>
            <w:tcW w:w="0" w:type="auto"/>
            <w:vAlign w:val="center"/>
            <w:hideMark/>
          </w:tcPr>
          <w:p w:rsidR="00557702" w:rsidRDefault="00557702">
            <w:pPr>
              <w:rPr>
                <w:sz w:val="24"/>
                <w:szCs w:val="24"/>
              </w:rPr>
            </w:pPr>
            <w:r>
              <w:t>Wages (average/month)</w:t>
            </w:r>
          </w:p>
        </w:tc>
        <w:tc>
          <w:tcPr>
            <w:tcW w:w="0" w:type="auto"/>
            <w:vAlign w:val="center"/>
            <w:hideMark/>
          </w:tcPr>
          <w:p w:rsidR="00557702" w:rsidRDefault="00557702">
            <w:pPr>
              <w:rPr>
                <w:sz w:val="24"/>
                <w:szCs w:val="24"/>
              </w:rPr>
            </w:pPr>
            <w:r>
              <w:t>€1,300</w:t>
            </w:r>
          </w:p>
        </w:tc>
        <w:tc>
          <w:tcPr>
            <w:tcW w:w="0" w:type="auto"/>
            <w:vAlign w:val="center"/>
            <w:hideMark/>
          </w:tcPr>
          <w:p w:rsidR="00557702" w:rsidRDefault="00557702">
            <w:pPr>
              <w:rPr>
                <w:sz w:val="24"/>
                <w:szCs w:val="24"/>
              </w:rPr>
            </w:pPr>
            <w:r>
              <w:t>€1,150</w:t>
            </w:r>
          </w:p>
        </w:tc>
      </w:tr>
      <w:tr w:rsidR="00557702" w:rsidTr="00557702">
        <w:trPr>
          <w:tblCellSpacing w:w="15" w:type="dxa"/>
        </w:trPr>
        <w:tc>
          <w:tcPr>
            <w:tcW w:w="0" w:type="auto"/>
            <w:vAlign w:val="center"/>
            <w:hideMark/>
          </w:tcPr>
          <w:p w:rsidR="00557702" w:rsidRDefault="00557702">
            <w:pPr>
              <w:rPr>
                <w:sz w:val="24"/>
                <w:szCs w:val="24"/>
              </w:rPr>
            </w:pPr>
            <w:r>
              <w:t>Skill demand</w:t>
            </w:r>
          </w:p>
        </w:tc>
        <w:tc>
          <w:tcPr>
            <w:tcW w:w="0" w:type="auto"/>
            <w:vAlign w:val="center"/>
            <w:hideMark/>
          </w:tcPr>
          <w:p w:rsidR="00557702" w:rsidRDefault="00557702">
            <w:pPr>
              <w:rPr>
                <w:sz w:val="24"/>
                <w:szCs w:val="24"/>
              </w:rPr>
            </w:pPr>
            <w:r>
              <w:t>Low digital</w:t>
            </w:r>
          </w:p>
        </w:tc>
        <w:tc>
          <w:tcPr>
            <w:tcW w:w="0" w:type="auto"/>
            <w:vAlign w:val="center"/>
            <w:hideMark/>
          </w:tcPr>
          <w:p w:rsidR="00557702" w:rsidRDefault="00557702">
            <w:pPr>
              <w:rPr>
                <w:sz w:val="24"/>
                <w:szCs w:val="24"/>
              </w:rPr>
            </w:pPr>
            <w:r>
              <w:t>High digital, language, safety</w:t>
            </w:r>
          </w:p>
        </w:tc>
      </w:tr>
      <w:tr w:rsidR="00557702" w:rsidTr="00557702">
        <w:trPr>
          <w:tblCellSpacing w:w="15" w:type="dxa"/>
        </w:trPr>
        <w:tc>
          <w:tcPr>
            <w:tcW w:w="0" w:type="auto"/>
            <w:vAlign w:val="center"/>
            <w:hideMark/>
          </w:tcPr>
          <w:p w:rsidR="00557702" w:rsidRDefault="00557702">
            <w:pPr>
              <w:rPr>
                <w:sz w:val="24"/>
                <w:szCs w:val="24"/>
              </w:rPr>
            </w:pPr>
            <w:r>
              <w:t>Gender gap</w:t>
            </w:r>
          </w:p>
        </w:tc>
        <w:tc>
          <w:tcPr>
            <w:tcW w:w="0" w:type="auto"/>
            <w:vAlign w:val="center"/>
            <w:hideMark/>
          </w:tcPr>
          <w:p w:rsidR="00557702" w:rsidRDefault="00557702">
            <w:pPr>
              <w:rPr>
                <w:sz w:val="24"/>
                <w:szCs w:val="24"/>
              </w:rPr>
            </w:pPr>
            <w:r>
              <w:t>59% female</w:t>
            </w:r>
          </w:p>
        </w:tc>
        <w:tc>
          <w:tcPr>
            <w:tcW w:w="0" w:type="auto"/>
            <w:vAlign w:val="center"/>
            <w:hideMark/>
          </w:tcPr>
          <w:p w:rsidR="00557702" w:rsidRDefault="00557702">
            <w:pPr>
              <w:rPr>
                <w:sz w:val="24"/>
                <w:szCs w:val="24"/>
              </w:rPr>
            </w:pPr>
            <w:r>
              <w:t>63% female</w:t>
            </w:r>
          </w:p>
        </w:tc>
      </w:tr>
    </w:tbl>
    <w:p w:rsidR="00557702" w:rsidRDefault="00557702" w:rsidP="00557702">
      <w:pPr>
        <w:pStyle w:val="Heading4"/>
      </w:pPr>
      <w:r>
        <w:t>2. Structural Weaknesses Identified</w:t>
      </w:r>
    </w:p>
    <w:p w:rsidR="00557702" w:rsidRDefault="00557702" w:rsidP="00557702">
      <w:pPr>
        <w:pStyle w:val="NormalWeb"/>
        <w:numPr>
          <w:ilvl w:val="0"/>
          <w:numId w:val="16"/>
        </w:numPr>
      </w:pPr>
      <w:r>
        <w:rPr>
          <w:rStyle w:val="Strong"/>
        </w:rPr>
        <w:t>Over-reliance on seasonal work</w:t>
      </w:r>
      <w:r>
        <w:t>: Limited year-round employment led to poor retention.</w:t>
      </w:r>
    </w:p>
    <w:p w:rsidR="00557702" w:rsidRDefault="00557702" w:rsidP="00557702">
      <w:pPr>
        <w:pStyle w:val="NormalWeb"/>
        <w:numPr>
          <w:ilvl w:val="0"/>
          <w:numId w:val="16"/>
        </w:numPr>
      </w:pPr>
      <w:r>
        <w:rPr>
          <w:rStyle w:val="Strong"/>
        </w:rPr>
        <w:lastRenderedPageBreak/>
        <w:t>Skills gaps</w:t>
      </w:r>
      <w:r>
        <w:t>: No structured training programs tied to crisis resilience or digital needs.</w:t>
      </w:r>
    </w:p>
    <w:p w:rsidR="00557702" w:rsidRDefault="00557702" w:rsidP="00557702">
      <w:pPr>
        <w:pStyle w:val="NormalWeb"/>
        <w:numPr>
          <w:ilvl w:val="0"/>
          <w:numId w:val="16"/>
        </w:numPr>
      </w:pPr>
      <w:r>
        <w:rPr>
          <w:rStyle w:val="Strong"/>
        </w:rPr>
        <w:t>Geographic imbalance</w:t>
      </w:r>
      <w:r>
        <w:t>: Northern Italy recovered faster than the South.</w:t>
      </w:r>
    </w:p>
    <w:p w:rsidR="00557702" w:rsidRDefault="00557702" w:rsidP="00557702">
      <w:pPr>
        <w:pStyle w:val="NormalWeb"/>
        <w:numPr>
          <w:ilvl w:val="0"/>
          <w:numId w:val="16"/>
        </w:numPr>
      </w:pPr>
      <w:r>
        <w:rPr>
          <w:rStyle w:val="Strong"/>
        </w:rPr>
        <w:t>Policy fragmentation</w:t>
      </w:r>
      <w:r>
        <w:t xml:space="preserve">: Different regions adopted inconsistent </w:t>
      </w:r>
      <w:proofErr w:type="spellStart"/>
      <w:r>
        <w:t>labour</w:t>
      </w:r>
      <w:proofErr w:type="spellEnd"/>
      <w:r>
        <w:t xml:space="preserve"> policies.</w:t>
      </w:r>
    </w:p>
    <w:p w:rsidR="009B453C" w:rsidRPr="003A6CC7" w:rsidRDefault="009B453C" w:rsidP="00557702">
      <w:pPr>
        <w:pStyle w:val="Heading3"/>
        <w:rPr>
          <w:sz w:val="30"/>
          <w:szCs w:val="30"/>
        </w:rPr>
      </w:pPr>
    </w:p>
    <w:p w:rsidR="001D69FA" w:rsidRPr="003A6CC7" w:rsidRDefault="001D69FA" w:rsidP="001D69FA">
      <w:pPr>
        <w:pStyle w:val="NormalWeb"/>
        <w:rPr>
          <w:sz w:val="30"/>
          <w:szCs w:val="30"/>
        </w:rPr>
      </w:pPr>
      <w:r w:rsidRPr="003A6CC7">
        <w:rPr>
          <w:rStyle w:val="Strong"/>
          <w:sz w:val="30"/>
          <w:szCs w:val="30"/>
        </w:rPr>
        <w:t>Discussion</w:t>
      </w:r>
    </w:p>
    <w:p w:rsidR="001D69FA" w:rsidRDefault="001D69FA" w:rsidP="001D69FA">
      <w:pPr>
        <w:pStyle w:val="NormalWeb"/>
      </w:pPr>
      <w:r>
        <w:rPr>
          <w:rStyle w:val="Strong"/>
        </w:rPr>
        <w:t>1. Short-Term Strategic Responses</w:t>
      </w:r>
    </w:p>
    <w:p w:rsidR="001D69FA" w:rsidRDefault="001D69FA" w:rsidP="001D69FA">
      <w:pPr>
        <w:pStyle w:val="NormalWeb"/>
      </w:pPr>
      <w:r>
        <w:rPr>
          <w:rStyle w:val="Strong"/>
        </w:rPr>
        <w:t>a. Employment Incentives</w:t>
      </w:r>
      <w:r>
        <w:br/>
      </w:r>
      <w:proofErr w:type="gramStart"/>
      <w:r>
        <w:t>One</w:t>
      </w:r>
      <w:proofErr w:type="gramEnd"/>
      <w:r>
        <w:t xml:space="preserve"> of the most urgent needs in the Italian tourism </w:t>
      </w:r>
      <w:proofErr w:type="spellStart"/>
      <w:r>
        <w:t>labour</w:t>
      </w:r>
      <w:proofErr w:type="spellEnd"/>
      <w:r>
        <w:t xml:space="preserve"> market is to incentivize the rehiring of furloughed or unemployed workers. As seen in Germany's </w:t>
      </w:r>
      <w:proofErr w:type="spellStart"/>
      <w:r>
        <w:t>Kurzarbeit</w:t>
      </w:r>
      <w:proofErr w:type="spellEnd"/>
      <w:r>
        <w:t xml:space="preserve"> model, targeted wage subsidies can enable companies to retain employees on reduced hours while the government covers a portion of their salaries (OECD, 2021). This approach prevents permanent layoffs, maintains the employer-employee relationship, and ensures </w:t>
      </w:r>
      <w:proofErr w:type="spellStart"/>
      <w:r>
        <w:t>labour</w:t>
      </w:r>
      <w:proofErr w:type="spellEnd"/>
      <w:r>
        <w:t xml:space="preserve"> force readiness as tourism demand gradually returns. For Italy, adopting a similar short-term subsidy model tailored to its unique regional economic structures could stimulate </w:t>
      </w:r>
      <w:proofErr w:type="spellStart"/>
      <w:r>
        <w:t>labour</w:t>
      </w:r>
      <w:proofErr w:type="spellEnd"/>
      <w:r>
        <w:t xml:space="preserve"> reintegration.</w:t>
      </w:r>
    </w:p>
    <w:p w:rsidR="001D69FA" w:rsidRDefault="001D69FA" w:rsidP="001D69FA">
      <w:pPr>
        <w:pStyle w:val="NormalWeb"/>
      </w:pPr>
      <w:r>
        <w:t>Furthermore, this subsidy model should prioritize the most affected demographics, particularly women, youth, and migrant workers who were disproportionately displaced during the crisis (EIGE, 2021; ISTAT, 2022). These groups often face the highest barriers to re-employment due to a combination of skill gaps, care responsibilities, or legal uncertainties. A conditional subsidy framework requiring companies to rehire these vulnerable groups first can enhance social equity while stimulating economic activity.</w:t>
      </w:r>
    </w:p>
    <w:p w:rsidR="001D69FA" w:rsidRDefault="001D69FA" w:rsidP="001D69FA">
      <w:pPr>
        <w:pStyle w:val="NormalWeb"/>
      </w:pPr>
      <w:r>
        <w:t xml:space="preserve">Finally, implementation should be decentralized in coordination with regional governments and tourism boards, ensuring that subsidy distribution aligns with local employment patterns and </w:t>
      </w:r>
      <w:proofErr w:type="spellStart"/>
      <w:r>
        <w:t>sectoral</w:t>
      </w:r>
      <w:proofErr w:type="spellEnd"/>
      <w:r>
        <w:t xml:space="preserve"> needs. For instance, high-dependency tourism regions like Veneto and Lazio may receive additional funding and monitoring to ensure optimal results. Transparent eligibility guidelines, regular audits, and collaboration with trade unions can help minimize fraud and ensure accountability.</w:t>
      </w:r>
    </w:p>
    <w:p w:rsidR="001D69FA" w:rsidRDefault="001D69FA" w:rsidP="001D69FA">
      <w:pPr>
        <w:pStyle w:val="NormalWeb"/>
      </w:pPr>
      <w:r>
        <w:rPr>
          <w:rStyle w:val="Strong"/>
        </w:rPr>
        <w:t xml:space="preserve">b. Digital </w:t>
      </w:r>
      <w:proofErr w:type="spellStart"/>
      <w:r>
        <w:rPr>
          <w:rStyle w:val="Strong"/>
        </w:rPr>
        <w:t>Upskilling</w:t>
      </w:r>
      <w:proofErr w:type="spellEnd"/>
      <w:r>
        <w:br/>
        <w:t>Digital transformation is no longer optional in tourism; it is a necessity. Italy’s pre-pandemic workforce showed considerable gaps in digital literacy, particularly among older workers and employees in rural tourism hubs (OECD, 2021). Short-term, accelerated training programs in key digital tools—such as online reservation systems, CRM platforms, tourism data analytics, and social media marketing—can rapidly bridge this gap and boost workforce competitiveness.</w:t>
      </w:r>
    </w:p>
    <w:p w:rsidR="001D69FA" w:rsidRDefault="001D69FA" w:rsidP="001D69FA">
      <w:pPr>
        <w:pStyle w:val="NormalWeb"/>
      </w:pPr>
      <w:r>
        <w:t>Public-private partnerships can be instrumental in launching these initiatives. For instance, universities, polytechnic institutes, and private tourism firms could co-develop short-term certifications tailored to immediate industry needs. These programs should be delivered in flexible formats—both online and in-person—and offered at no cost to unemployed or furloughed workers. Scholarships and childcare support should be available to women and parents to promote inclusive participation (UNWTO, 2021).</w:t>
      </w:r>
    </w:p>
    <w:p w:rsidR="001D69FA" w:rsidRDefault="001D69FA" w:rsidP="001D69FA">
      <w:pPr>
        <w:pStyle w:val="NormalWeb"/>
      </w:pPr>
      <w:r>
        <w:lastRenderedPageBreak/>
        <w:t>To measure impact, Italy’s Ministry of Tourism should establish performance benchmarks and job placement rates for each program. Additionally, aligning training content with the European Skills Agenda and Italy’s National Recovery and Resilience Plan (NRRP) can ensure long-term policy coherence and funding sustainability (European Commission, 2022).</w:t>
      </w:r>
    </w:p>
    <w:p w:rsidR="001D69FA" w:rsidRDefault="001D69FA" w:rsidP="001D69FA">
      <w:pPr>
        <w:pStyle w:val="NormalWeb"/>
      </w:pPr>
      <w:r>
        <w:rPr>
          <w:rStyle w:val="Strong"/>
        </w:rPr>
        <w:t>c. Formalization Drives</w:t>
      </w:r>
      <w:r>
        <w:br/>
        <w:t xml:space="preserve">Informal </w:t>
      </w:r>
      <w:proofErr w:type="spellStart"/>
      <w:r>
        <w:t>labour</w:t>
      </w:r>
      <w:proofErr w:type="spellEnd"/>
      <w:r>
        <w:t xml:space="preserve"> in tourism has long been a structural weakness in Italy. Nearly one in five tourism workers operate without formal contracts, making them invisible in social protection schemes (ILO, 2022). A short-term but high-impact solution would be to launch a temporary formalization campaign—akin to a </w:t>
      </w:r>
      <w:proofErr w:type="spellStart"/>
      <w:r>
        <w:t>labour</w:t>
      </w:r>
      <w:proofErr w:type="spellEnd"/>
      <w:r>
        <w:t xml:space="preserve"> amnesty—where employers and workers are incentivized to register contracts without fear of penalty.</w:t>
      </w:r>
    </w:p>
    <w:p w:rsidR="001D69FA" w:rsidRDefault="001D69FA" w:rsidP="001D69FA">
      <w:pPr>
        <w:pStyle w:val="NormalWeb"/>
      </w:pPr>
      <w:r>
        <w:t xml:space="preserve">This initiative should include tax incentives for small tourism enterprises that move workers to formal payroll systems and provide simplified administrative processes through digital one-stop platforms. Italy’s small family-run hotels and restaurants, which often cite bureaucratic burdens as a reason for informality, would benefit significantly from this support (Corte </w:t>
      </w:r>
      <w:proofErr w:type="spellStart"/>
      <w:r>
        <w:t>dei</w:t>
      </w:r>
      <w:proofErr w:type="spellEnd"/>
      <w:r>
        <w:t xml:space="preserve"> Conti, 2021).</w:t>
      </w:r>
    </w:p>
    <w:p w:rsidR="001D69FA" w:rsidRDefault="001D69FA" w:rsidP="001D69FA">
      <w:pPr>
        <w:pStyle w:val="NormalWeb"/>
      </w:pPr>
      <w:r>
        <w:t xml:space="preserve">Furthermore, partnerships with local chambers of commerce and trade unions can ensure outreach and trust-building among informal workers. Transparent registration mechanisms, access to social security upon registration, and workshops on workers’ rights can empower employees while reducing systemic vulnerabilities in the </w:t>
      </w:r>
      <w:proofErr w:type="spellStart"/>
      <w:r>
        <w:t>labour</w:t>
      </w:r>
      <w:proofErr w:type="spellEnd"/>
      <w:r>
        <w:t xml:space="preserve"> market.</w:t>
      </w:r>
    </w:p>
    <w:p w:rsidR="001D69FA" w:rsidRDefault="001D69FA" w:rsidP="001D69FA">
      <w:pPr>
        <w:pStyle w:val="NormalWeb"/>
      </w:pPr>
      <w:r>
        <w:rPr>
          <w:rStyle w:val="Strong"/>
        </w:rPr>
        <w:t>d. Mental Health Support</w:t>
      </w:r>
      <w:r>
        <w:br/>
        <w:t>COVID-19 caused not only economic devastation but also deep psychological trauma among tourism workers. Many employees in hospitality, transport, and tour operations faced sudden job loss, prolonged uncertainty, and increased health risks—all contributing to stress, anxiety, and burnout (</w:t>
      </w:r>
      <w:proofErr w:type="spellStart"/>
      <w:r>
        <w:t>Civitelli</w:t>
      </w:r>
      <w:proofErr w:type="spellEnd"/>
      <w:r>
        <w:t xml:space="preserve"> &amp; Di Giorgio, 2022). Immediate investment in workplace mental health infrastructure is essential for a productive and resilient recovery.</w:t>
      </w:r>
    </w:p>
    <w:p w:rsidR="001D69FA" w:rsidRDefault="001D69FA" w:rsidP="001D69FA">
      <w:pPr>
        <w:pStyle w:val="NormalWeb"/>
      </w:pPr>
      <w:r>
        <w:t xml:space="preserve">The government, in collaboration with regional health authorities, should establish dedicated mental health </w:t>
      </w:r>
      <w:proofErr w:type="spellStart"/>
      <w:r>
        <w:t>centres</w:t>
      </w:r>
      <w:proofErr w:type="spellEnd"/>
      <w:r>
        <w:t xml:space="preserve"> for tourism workers. These </w:t>
      </w:r>
      <w:proofErr w:type="spellStart"/>
      <w:r>
        <w:t>centres</w:t>
      </w:r>
      <w:proofErr w:type="spellEnd"/>
      <w:r>
        <w:t xml:space="preserve"> can offer free </w:t>
      </w:r>
      <w:proofErr w:type="spellStart"/>
      <w:r>
        <w:t>counselling</w:t>
      </w:r>
      <w:proofErr w:type="spellEnd"/>
      <w:r>
        <w:t xml:space="preserve">, stress management workshops, and crisis </w:t>
      </w:r>
      <w:proofErr w:type="spellStart"/>
      <w:r>
        <w:t>helplines</w:t>
      </w:r>
      <w:proofErr w:type="spellEnd"/>
      <w:r>
        <w:t xml:space="preserve"> in multiple languages to cater to Italy’s diverse tourism workforce. Mobile outreach vans and </w:t>
      </w:r>
      <w:proofErr w:type="spellStart"/>
      <w:r>
        <w:t>telehealth</w:t>
      </w:r>
      <w:proofErr w:type="spellEnd"/>
      <w:r>
        <w:t xml:space="preserve"> solutions can be deployed in rural or under-resourced regions.</w:t>
      </w:r>
    </w:p>
    <w:p w:rsidR="001D69FA" w:rsidRDefault="001D69FA" w:rsidP="001D69FA">
      <w:pPr>
        <w:pStyle w:val="NormalWeb"/>
      </w:pPr>
      <w:r>
        <w:t>Employers must also play a role. Businesses receiving government support should be required to implement employee wellness programs, including psychological safety training for managers, mental health days, and flexible work arrangements. Promoting a culture of empathy and wellbeing will not only support recovery but can also improve retention and job satisfaction in the long term.</w:t>
      </w:r>
    </w:p>
    <w:p w:rsidR="003A6CC7" w:rsidRDefault="003A6CC7" w:rsidP="001D69FA">
      <w:pPr>
        <w:pStyle w:val="NormalWeb"/>
        <w:rPr>
          <w:rStyle w:val="Strong"/>
        </w:rPr>
      </w:pPr>
    </w:p>
    <w:p w:rsidR="001D69FA" w:rsidRDefault="001D69FA" w:rsidP="001D69FA">
      <w:pPr>
        <w:pStyle w:val="NormalWeb"/>
      </w:pPr>
      <w:r>
        <w:rPr>
          <w:rStyle w:val="Strong"/>
        </w:rPr>
        <w:t>2. Long-Term Workforce Resilience Strategies</w:t>
      </w:r>
    </w:p>
    <w:p w:rsidR="001D69FA" w:rsidRDefault="001D69FA" w:rsidP="001D69FA">
      <w:pPr>
        <w:pStyle w:val="NormalWeb"/>
      </w:pPr>
      <w:r>
        <w:rPr>
          <w:rStyle w:val="Strong"/>
        </w:rPr>
        <w:lastRenderedPageBreak/>
        <w:t>a. Sustainable Contracts</w:t>
      </w:r>
      <w:r>
        <w:br/>
      </w:r>
      <w:proofErr w:type="gramStart"/>
      <w:r>
        <w:t>A</w:t>
      </w:r>
      <w:proofErr w:type="gramEnd"/>
      <w:r>
        <w:t xml:space="preserve"> key priority for long-term resilience is transitioning from short-term or seasonal contracts to more sustainable and stable employment forms. Italy’s tourism sector must move toward a model that encourages year-round employment through diversified tourism offerings like eco-tourism, </w:t>
      </w:r>
      <w:proofErr w:type="spellStart"/>
      <w:r>
        <w:t>agritourism</w:t>
      </w:r>
      <w:proofErr w:type="spellEnd"/>
      <w:r>
        <w:t>, and cultural heritage conservation (UNESCO, 2022). These sectors tend to generate more stable job opportunities and are aligned with global sustainability goals.</w:t>
      </w:r>
    </w:p>
    <w:p w:rsidR="001D69FA" w:rsidRDefault="001D69FA" w:rsidP="001D69FA">
      <w:pPr>
        <w:pStyle w:val="NormalWeb"/>
      </w:pPr>
      <w:r>
        <w:t xml:space="preserve">To achieve this, the government should create industry-specific guidelines for "green jobs" in tourism. These guidelines must define job scopes, offer incentives for permanent contracts, and support training in relevant skill areas such as sustainable hospitality practices, carbon auditing, and cultural heritage preservation. Collaborations with sustainability certification bodies can ensure alignment with international </w:t>
      </w:r>
      <w:proofErr w:type="spellStart"/>
      <w:r>
        <w:t>labour</w:t>
      </w:r>
      <w:proofErr w:type="spellEnd"/>
      <w:r>
        <w:t xml:space="preserve"> and environmental standards.</w:t>
      </w:r>
    </w:p>
    <w:p w:rsidR="001D69FA" w:rsidRDefault="001D69FA" w:rsidP="001D69FA">
      <w:pPr>
        <w:pStyle w:val="NormalWeb"/>
      </w:pPr>
      <w:r>
        <w:t>Moreover, integrating sustainability metrics into tourism funding schemes (e.g., loans, grants) will encourage businesses to offer secure and environmentally responsible employment. Municipalities and tourism boards should also update licensing rules to prioritize or reward businesses that demonstrate long-term employment commitments and green credentials.</w:t>
      </w:r>
    </w:p>
    <w:p w:rsidR="001D69FA" w:rsidRDefault="001D69FA" w:rsidP="001D69FA">
      <w:pPr>
        <w:pStyle w:val="NormalWeb"/>
      </w:pPr>
      <w:r>
        <w:rPr>
          <w:rStyle w:val="Strong"/>
        </w:rPr>
        <w:t xml:space="preserve">b. </w:t>
      </w:r>
      <w:proofErr w:type="spellStart"/>
      <w:r>
        <w:rPr>
          <w:rStyle w:val="Strong"/>
        </w:rPr>
        <w:t>Labour</w:t>
      </w:r>
      <w:proofErr w:type="spellEnd"/>
      <w:r>
        <w:rPr>
          <w:rStyle w:val="Strong"/>
        </w:rPr>
        <w:t xml:space="preserve"> Mobility Agreements</w:t>
      </w:r>
      <w:r>
        <w:br/>
        <w:t xml:space="preserve">Italy can no longer afford to treat seasonal workers as expendable. Establishing cross-border </w:t>
      </w:r>
      <w:proofErr w:type="spellStart"/>
      <w:r>
        <w:t>labour</w:t>
      </w:r>
      <w:proofErr w:type="spellEnd"/>
      <w:r>
        <w:t xml:space="preserve"> mobility agreements within the EU—particularly with countries supplying seasonal tourism </w:t>
      </w:r>
      <w:proofErr w:type="spellStart"/>
      <w:r>
        <w:t>labour</w:t>
      </w:r>
      <w:proofErr w:type="spellEnd"/>
      <w:r>
        <w:t xml:space="preserve"> such as Romania, Bulgaria, and Poland—can stabilize supply and uphold ethical standards. These agreements should include provisions for contract transparency, portable social protections, and access to healthcare, in alignment with EURES guidelines (EURES, 2022).</w:t>
      </w:r>
    </w:p>
    <w:p w:rsidR="001D69FA" w:rsidRDefault="001D69FA" w:rsidP="001D69FA">
      <w:pPr>
        <w:pStyle w:val="NormalWeb"/>
      </w:pPr>
      <w:r>
        <w:t xml:space="preserve">Italy should also explore bilateral </w:t>
      </w:r>
      <w:proofErr w:type="spellStart"/>
      <w:r>
        <w:t>labour</w:t>
      </w:r>
      <w:proofErr w:type="spellEnd"/>
      <w:r>
        <w:t xml:space="preserve"> exchange programs, where workers can rotate across Mediterranean countries during peak seasons. This approach ensures year-round employment opportunities while maintaining a reliable </w:t>
      </w:r>
      <w:proofErr w:type="spellStart"/>
      <w:r>
        <w:t>labour</w:t>
      </w:r>
      <w:proofErr w:type="spellEnd"/>
      <w:r>
        <w:t xml:space="preserve"> pool for local employers. </w:t>
      </w:r>
      <w:proofErr w:type="spellStart"/>
      <w:r>
        <w:t>Labour</w:t>
      </w:r>
      <w:proofErr w:type="spellEnd"/>
      <w:r>
        <w:t xml:space="preserve"> mobility also supports knowledge transfer, cultural exchange, and regional cohesion across EU tourism economies (</w:t>
      </w:r>
      <w:proofErr w:type="spellStart"/>
      <w:r>
        <w:t>Eurofound</w:t>
      </w:r>
      <w:proofErr w:type="spellEnd"/>
      <w:r>
        <w:t>, 2022).</w:t>
      </w:r>
    </w:p>
    <w:p w:rsidR="001D69FA" w:rsidRDefault="001D69FA" w:rsidP="001D69FA">
      <w:pPr>
        <w:pStyle w:val="NormalWeb"/>
      </w:pPr>
      <w:r>
        <w:t xml:space="preserve">For these initiatives to succeed, coordination between the Ministries of </w:t>
      </w:r>
      <w:proofErr w:type="spellStart"/>
      <w:r>
        <w:t>Labour</w:t>
      </w:r>
      <w:proofErr w:type="spellEnd"/>
      <w:r>
        <w:t>, Tourism, and Foreign Affairs is essential. Transparent recruitment platforms, multilingual legal resources, and union representation across borders will help enforce rights and reduce exploitation in seasonal employment models.</w:t>
      </w:r>
    </w:p>
    <w:p w:rsidR="001D69FA" w:rsidRDefault="001D69FA" w:rsidP="001D69FA">
      <w:pPr>
        <w:pStyle w:val="NormalWeb"/>
      </w:pPr>
      <w:r>
        <w:rPr>
          <w:rStyle w:val="Strong"/>
        </w:rPr>
        <w:t>c. Tourism Innovation Labs</w:t>
      </w:r>
      <w:r>
        <w:br/>
        <w:t xml:space="preserve">To attract and retain talent, particularly among youth, Italy must invest in the future of work in tourism. Establishing regional Tourism Innovation Labs can nurture young entrepreneurs working on sustainable, digital, and regenerative tourism solutions. These labs can be funded through public-private partnerships and integrated with university research </w:t>
      </w:r>
      <w:proofErr w:type="spellStart"/>
      <w:r>
        <w:t>centres</w:t>
      </w:r>
      <w:proofErr w:type="spellEnd"/>
      <w:r>
        <w:t>, offering mentorship, seed funding, and workspace.</w:t>
      </w:r>
    </w:p>
    <w:p w:rsidR="001D69FA" w:rsidRDefault="001D69FA" w:rsidP="001D69FA">
      <w:pPr>
        <w:pStyle w:val="NormalWeb"/>
      </w:pPr>
      <w:r>
        <w:t xml:space="preserve">Targeting university graduates and unemployed youth, these incubators can facilitate the creation of tech-enabled tourism products—such as VR heritage tours, AI-powered travel guides, and </w:t>
      </w:r>
      <w:r>
        <w:lastRenderedPageBreak/>
        <w:t xml:space="preserve">green transport solutions. Such innovations not only diversify the tourism offering but also create new forms of employment aligned with future </w:t>
      </w:r>
      <w:proofErr w:type="spellStart"/>
      <w:r>
        <w:t>labour</w:t>
      </w:r>
      <w:proofErr w:type="spellEnd"/>
      <w:r>
        <w:t xml:space="preserve"> market demands (Baum &amp; </w:t>
      </w:r>
      <w:proofErr w:type="spellStart"/>
      <w:r>
        <w:t>Hai</w:t>
      </w:r>
      <w:proofErr w:type="spellEnd"/>
      <w:r>
        <w:t>, 2021).</w:t>
      </w:r>
    </w:p>
    <w:p w:rsidR="001D69FA" w:rsidRDefault="001D69FA" w:rsidP="001D69FA">
      <w:pPr>
        <w:pStyle w:val="NormalWeb"/>
      </w:pPr>
      <w:r>
        <w:t>Incentivizing youth-led enterprises also contributes to rural revitalization, especially if Innovation Labs are located in underdeveloped regions of Southern Italy. Integrating these labs with EU funding mechanisms like Horizon Europe and Erasmus+ can further boost reach and impact while strengthening Italy’s global tourism innovation footprint.</w:t>
      </w:r>
    </w:p>
    <w:p w:rsidR="001D69FA" w:rsidRDefault="001D69FA" w:rsidP="001D69FA">
      <w:pPr>
        <w:pStyle w:val="NormalWeb"/>
      </w:pPr>
      <w:r>
        <w:rPr>
          <w:rStyle w:val="Strong"/>
        </w:rPr>
        <w:t>d. Ethical Employment Framework</w:t>
      </w:r>
      <w:r>
        <w:br/>
        <w:t>Ethical employment must be at the core of tourism workforce recovery. Italy should introduce a mandatory “Decent Work Tourism Seal,” awarded to businesses that meet standards on minimum wage, employment contracts, safety measures, and continuous training investment. This certification can act as both a quality assurance mechanism and a marketing advantage for ethical tourism providers.</w:t>
      </w:r>
    </w:p>
    <w:p w:rsidR="001D69FA" w:rsidRDefault="001D69FA" w:rsidP="001D69FA">
      <w:pPr>
        <w:pStyle w:val="NormalWeb"/>
      </w:pPr>
      <w:r>
        <w:t xml:space="preserve">The Seal should be managed by an independent body comprising representatives from </w:t>
      </w:r>
      <w:proofErr w:type="spellStart"/>
      <w:r>
        <w:t>labour</w:t>
      </w:r>
      <w:proofErr w:type="spellEnd"/>
      <w:r>
        <w:t xml:space="preserve"> unions, employer associations, and government agencies. Regular audits, public reporting, and worker feedback channels will ensure accountability. Businesses found violating standards should face temporary suspension of operating licenses or public subsidies.</w:t>
      </w:r>
    </w:p>
    <w:p w:rsidR="001D69FA" w:rsidRDefault="001D69FA" w:rsidP="001D69FA">
      <w:pPr>
        <w:pStyle w:val="NormalWeb"/>
      </w:pPr>
      <w:r>
        <w:t xml:space="preserve">To enhance consumer awareness, certified businesses can be promoted through national tourism portals and booking platforms. This approach leverages consumer preferences for ethical travel while driving a systemic shift toward better </w:t>
      </w:r>
      <w:proofErr w:type="spellStart"/>
      <w:r>
        <w:t>labour</w:t>
      </w:r>
      <w:proofErr w:type="spellEnd"/>
      <w:r>
        <w:t xml:space="preserve"> practices. Over time, the Seal can be integrated into regional development plans and tourism curricula to institutionalize decent work values across the sector.</w:t>
      </w:r>
    </w:p>
    <w:p w:rsidR="00F74BA4" w:rsidRDefault="00F74BA4" w:rsidP="001D69FA">
      <w:pPr>
        <w:pStyle w:val="NormalWeb"/>
        <w:rPr>
          <w:rStyle w:val="Strong"/>
        </w:rPr>
      </w:pPr>
    </w:p>
    <w:p w:rsidR="001D69FA" w:rsidRPr="003A6CC7" w:rsidRDefault="001D69FA" w:rsidP="001D69FA">
      <w:pPr>
        <w:pStyle w:val="NormalWeb"/>
        <w:rPr>
          <w:sz w:val="30"/>
          <w:szCs w:val="30"/>
        </w:rPr>
      </w:pPr>
      <w:r w:rsidRPr="003A6CC7">
        <w:rPr>
          <w:rStyle w:val="Strong"/>
          <w:sz w:val="30"/>
          <w:szCs w:val="30"/>
        </w:rPr>
        <w:t>Conclusion</w:t>
      </w:r>
    </w:p>
    <w:p w:rsidR="001D69FA" w:rsidRDefault="001D69FA" w:rsidP="001D69FA">
      <w:pPr>
        <w:pStyle w:val="NormalWeb"/>
      </w:pPr>
      <w:r>
        <w:t xml:space="preserve">Italy's tourism </w:t>
      </w:r>
      <w:proofErr w:type="spellStart"/>
      <w:r>
        <w:t>labour</w:t>
      </w:r>
      <w:proofErr w:type="spellEnd"/>
      <w:r>
        <w:t xml:space="preserve"> market has endured a historic shock due to the COVID-19 pandemic, revealing deeply entrenched vulnerabilities. From widespread informality and insecure contracts to skill mismatches and inadequate worker protections, the crisis brought long-standing structural issues into sharp relief. These problems disproportionately affected groups already at the margins—such as migrant workers, women, and youth—intensifying inequalities and hampering recovery prospects.</w:t>
      </w:r>
    </w:p>
    <w:p w:rsidR="001D69FA" w:rsidRDefault="001D69FA" w:rsidP="001D69FA">
      <w:pPr>
        <w:pStyle w:val="NormalWeb"/>
      </w:pPr>
      <w:r>
        <w:t xml:space="preserve">However, the crisis also presents a rare opportunity for transformation. Instead of returning to a fragile pre-pandemic status quo, Italy can rebuild its tourism </w:t>
      </w:r>
      <w:proofErr w:type="spellStart"/>
      <w:r>
        <w:t>labour</w:t>
      </w:r>
      <w:proofErr w:type="spellEnd"/>
      <w:r>
        <w:t xml:space="preserve"> force through bold, forward-looking strategies. A phased approach—beginning with immediate employment incentives, mental health support, and digital </w:t>
      </w:r>
      <w:proofErr w:type="spellStart"/>
      <w:r>
        <w:t>upskilling</w:t>
      </w:r>
      <w:proofErr w:type="spellEnd"/>
      <w:r>
        <w:t xml:space="preserve">—lays the groundwork for deeper systemic reforms. This short-term stabilization is necessary to prevent long-term scarring effects and </w:t>
      </w:r>
      <w:proofErr w:type="spellStart"/>
      <w:r>
        <w:t>labour</w:t>
      </w:r>
      <w:proofErr w:type="spellEnd"/>
      <w:r>
        <w:t xml:space="preserve"> market detachment.</w:t>
      </w:r>
    </w:p>
    <w:p w:rsidR="001D69FA" w:rsidRDefault="001D69FA" w:rsidP="001D69FA">
      <w:pPr>
        <w:pStyle w:val="NormalWeb"/>
      </w:pPr>
      <w:r>
        <w:t xml:space="preserve">Long-term resilience, meanwhile, requires structural interventions that promote sustainable contracts, enable ethical cross-border </w:t>
      </w:r>
      <w:proofErr w:type="spellStart"/>
      <w:r>
        <w:t>labour</w:t>
      </w:r>
      <w:proofErr w:type="spellEnd"/>
      <w:r>
        <w:t xml:space="preserve"> mobility, and foster innovation-driven </w:t>
      </w:r>
      <w:r>
        <w:lastRenderedPageBreak/>
        <w:t xml:space="preserve">entrepreneurship. Green tourism and digital solutions can offer new career pathways, reduce seasonality, and improve job security across the sector. Italy’s alignment with EU </w:t>
      </w:r>
      <w:proofErr w:type="spellStart"/>
      <w:r>
        <w:t>labour</w:t>
      </w:r>
      <w:proofErr w:type="spellEnd"/>
      <w:r>
        <w:t xml:space="preserve"> directives and global sustainability goals further strengthens the rationale and support for such reforms.</w:t>
      </w:r>
    </w:p>
    <w:p w:rsidR="001D69FA" w:rsidRDefault="001D69FA" w:rsidP="001D69FA">
      <w:pPr>
        <w:pStyle w:val="NormalWeb"/>
      </w:pPr>
      <w:r>
        <w:t>Collaboration between government, industry, educational institutions, and civil society is essential for successful implementation. Public-private partnerships, transparent governance, and inclusive policy design will ensure that both employers and workers benefit equitably from recovery efforts. Special attention must be given to rural areas and historically underserved regions, ensuring a balanced and inclusive revival.</w:t>
      </w:r>
    </w:p>
    <w:p w:rsidR="001D69FA" w:rsidRDefault="001D69FA" w:rsidP="001D69FA">
      <w:pPr>
        <w:pStyle w:val="NormalWeb"/>
      </w:pPr>
      <w:r>
        <w:t xml:space="preserve">Moreover, embedding ethical employment principles into the core of tourism development will enhance both workforce wellbeing and Italy’s global brand image. Tourists today are increasingly value-conscious, and destinations that uphold fair </w:t>
      </w:r>
      <w:proofErr w:type="spellStart"/>
      <w:r>
        <w:t>labour</w:t>
      </w:r>
      <w:proofErr w:type="spellEnd"/>
      <w:r>
        <w:t xml:space="preserve"> standards are more likely to gain long-term trust and loyalty. The proposed “Decent Work Tourism Seal” exemplifies how regulation can align with competitive advantage.</w:t>
      </w:r>
    </w:p>
    <w:p w:rsidR="001D69FA" w:rsidRDefault="001D69FA" w:rsidP="001D69FA">
      <w:pPr>
        <w:pStyle w:val="NormalWeb"/>
      </w:pPr>
      <w:r>
        <w:t xml:space="preserve">In conclusion, rebuilding Italy’s tourism workforce is not simply a task of economic necessity—it is a societal mandate. With political will, strategic investment, and an unwavering commitment to equity, Italy can emerge from this crisis with a tourism sector that is not only restored, but </w:t>
      </w:r>
      <w:proofErr w:type="spellStart"/>
      <w:r>
        <w:t>reimagined</w:t>
      </w:r>
      <w:proofErr w:type="spellEnd"/>
      <w:r>
        <w:t>: greener, fairer, and future-ready.</w:t>
      </w:r>
    </w:p>
    <w:p w:rsidR="009B453C" w:rsidRDefault="009B453C" w:rsidP="00557702">
      <w:pPr>
        <w:pStyle w:val="Heading3"/>
      </w:pPr>
    </w:p>
    <w:p w:rsidR="00557702" w:rsidRDefault="009B453C" w:rsidP="00557702">
      <w:pPr>
        <w:pStyle w:val="Heading3"/>
      </w:pPr>
      <w:r>
        <w:t xml:space="preserve">References </w:t>
      </w:r>
    </w:p>
    <w:p w:rsidR="00557702" w:rsidRDefault="00557702" w:rsidP="00557702">
      <w:pPr>
        <w:pStyle w:val="NormalWeb"/>
        <w:numPr>
          <w:ilvl w:val="0"/>
          <w:numId w:val="17"/>
        </w:numPr>
      </w:pPr>
      <w:r>
        <w:t xml:space="preserve">Baum, T., Mooney, S., &amp; Robinson, R. (2021). Crisis and the Tourism Workforce: Insights from the COVID-19 Pandemic. </w:t>
      </w:r>
      <w:r>
        <w:rPr>
          <w:rStyle w:val="Emphasis"/>
        </w:rPr>
        <w:t>Tourism Management Perspectives</w:t>
      </w:r>
      <w:r>
        <w:t>, 38, 100819.</w:t>
      </w:r>
    </w:p>
    <w:p w:rsidR="00557702" w:rsidRDefault="00557702" w:rsidP="00557702">
      <w:pPr>
        <w:pStyle w:val="NormalWeb"/>
        <w:numPr>
          <w:ilvl w:val="0"/>
          <w:numId w:val="17"/>
        </w:numPr>
      </w:pPr>
      <w:proofErr w:type="spellStart"/>
      <w:r>
        <w:t>Banca</w:t>
      </w:r>
      <w:proofErr w:type="spellEnd"/>
      <w:r>
        <w:t xml:space="preserve"> </w:t>
      </w:r>
      <w:proofErr w:type="spellStart"/>
      <w:r>
        <w:t>d’Italia</w:t>
      </w:r>
      <w:proofErr w:type="spellEnd"/>
      <w:r>
        <w:t xml:space="preserve">. (2021). </w:t>
      </w:r>
      <w:proofErr w:type="spellStart"/>
      <w:r>
        <w:rPr>
          <w:rStyle w:val="Emphasis"/>
        </w:rPr>
        <w:t>Labour</w:t>
      </w:r>
      <w:proofErr w:type="spellEnd"/>
      <w:r>
        <w:rPr>
          <w:rStyle w:val="Emphasis"/>
        </w:rPr>
        <w:t xml:space="preserve"> Market Trends in Tourism Post-COVID</w:t>
      </w:r>
      <w:r>
        <w:t xml:space="preserve">. Retrieved from </w:t>
      </w:r>
      <w:hyperlink r:id="rId6" w:tgtFrame="_new" w:history="1">
        <w:r>
          <w:rPr>
            <w:rStyle w:val="Hyperlink"/>
          </w:rPr>
          <w:t>https://www.bancaditalia.it</w:t>
        </w:r>
      </w:hyperlink>
    </w:p>
    <w:p w:rsidR="00557702" w:rsidRDefault="00557702" w:rsidP="00557702">
      <w:pPr>
        <w:pStyle w:val="NormalWeb"/>
        <w:numPr>
          <w:ilvl w:val="0"/>
          <w:numId w:val="17"/>
        </w:numPr>
      </w:pPr>
      <w:proofErr w:type="spellStart"/>
      <w:r>
        <w:t>Civitelli</w:t>
      </w:r>
      <w:proofErr w:type="spellEnd"/>
      <w:r>
        <w:t xml:space="preserve">, L., &amp; Di Giorgio, P. (2022). Resilience of the Italian Tourism Sector </w:t>
      </w:r>
      <w:proofErr w:type="gramStart"/>
      <w:r>
        <w:t>After</w:t>
      </w:r>
      <w:proofErr w:type="gramEnd"/>
      <w:r>
        <w:t xml:space="preserve"> COVID-19. </w:t>
      </w:r>
      <w:r>
        <w:rPr>
          <w:rStyle w:val="Emphasis"/>
        </w:rPr>
        <w:t>Journal of Tourism Recovery</w:t>
      </w:r>
      <w:r>
        <w:t>, 5(2), 45–58.</w:t>
      </w:r>
    </w:p>
    <w:p w:rsidR="00557702" w:rsidRDefault="00557702" w:rsidP="00557702">
      <w:pPr>
        <w:pStyle w:val="NormalWeb"/>
        <w:numPr>
          <w:ilvl w:val="0"/>
          <w:numId w:val="17"/>
        </w:numPr>
      </w:pPr>
      <w:r>
        <w:t xml:space="preserve">Corte </w:t>
      </w:r>
      <w:proofErr w:type="spellStart"/>
      <w:r>
        <w:t>dei</w:t>
      </w:r>
      <w:proofErr w:type="spellEnd"/>
      <w:r>
        <w:t xml:space="preserve"> Conti. (2021). </w:t>
      </w:r>
      <w:proofErr w:type="spellStart"/>
      <w:r>
        <w:rPr>
          <w:rStyle w:val="Emphasis"/>
        </w:rPr>
        <w:t>Relazione</w:t>
      </w:r>
      <w:proofErr w:type="spellEnd"/>
      <w:r>
        <w:rPr>
          <w:rStyle w:val="Emphasis"/>
        </w:rPr>
        <w:t xml:space="preserve"> </w:t>
      </w:r>
      <w:proofErr w:type="spellStart"/>
      <w:r>
        <w:rPr>
          <w:rStyle w:val="Emphasis"/>
        </w:rPr>
        <w:t>sul</w:t>
      </w:r>
      <w:proofErr w:type="spellEnd"/>
      <w:r>
        <w:rPr>
          <w:rStyle w:val="Emphasis"/>
        </w:rPr>
        <w:t xml:space="preserve"> </w:t>
      </w:r>
      <w:proofErr w:type="spellStart"/>
      <w:r>
        <w:rPr>
          <w:rStyle w:val="Emphasis"/>
        </w:rPr>
        <w:t>Settore</w:t>
      </w:r>
      <w:proofErr w:type="spellEnd"/>
      <w:r>
        <w:rPr>
          <w:rStyle w:val="Emphasis"/>
        </w:rPr>
        <w:t xml:space="preserve"> </w:t>
      </w:r>
      <w:proofErr w:type="spellStart"/>
      <w:r>
        <w:rPr>
          <w:rStyle w:val="Emphasis"/>
        </w:rPr>
        <w:t>Turismo</w:t>
      </w:r>
      <w:proofErr w:type="spellEnd"/>
      <w:r>
        <w:rPr>
          <w:rStyle w:val="Emphasis"/>
        </w:rPr>
        <w:t xml:space="preserve"> in Italia</w:t>
      </w:r>
      <w:r>
        <w:t>. Rome: Government Press.</w:t>
      </w:r>
    </w:p>
    <w:p w:rsidR="00557702" w:rsidRDefault="00557702" w:rsidP="00557702">
      <w:pPr>
        <w:pStyle w:val="NormalWeb"/>
        <w:numPr>
          <w:ilvl w:val="0"/>
          <w:numId w:val="17"/>
        </w:numPr>
      </w:pPr>
      <w:proofErr w:type="spellStart"/>
      <w:r>
        <w:t>Eurostat</w:t>
      </w:r>
      <w:proofErr w:type="spellEnd"/>
      <w:r>
        <w:t xml:space="preserve">. (2019). </w:t>
      </w:r>
      <w:r>
        <w:rPr>
          <w:rStyle w:val="Emphasis"/>
        </w:rPr>
        <w:t>Tourism Statistics – Annual Report</w:t>
      </w:r>
      <w:r>
        <w:t>.</w:t>
      </w:r>
    </w:p>
    <w:p w:rsidR="00557702" w:rsidRDefault="00557702" w:rsidP="00557702">
      <w:pPr>
        <w:pStyle w:val="NormalWeb"/>
        <w:numPr>
          <w:ilvl w:val="0"/>
          <w:numId w:val="17"/>
        </w:numPr>
      </w:pPr>
      <w:r>
        <w:t xml:space="preserve">EURES. (2022). </w:t>
      </w:r>
      <w:proofErr w:type="spellStart"/>
      <w:r>
        <w:rPr>
          <w:rStyle w:val="Emphasis"/>
        </w:rPr>
        <w:t>Labour</w:t>
      </w:r>
      <w:proofErr w:type="spellEnd"/>
      <w:r>
        <w:rPr>
          <w:rStyle w:val="Emphasis"/>
        </w:rPr>
        <w:t xml:space="preserve"> Mobility in the European Union: Tourism Sector</w:t>
      </w:r>
      <w:r>
        <w:t>.</w:t>
      </w:r>
    </w:p>
    <w:p w:rsidR="00557702" w:rsidRDefault="00557702" w:rsidP="00557702">
      <w:pPr>
        <w:pStyle w:val="NormalWeb"/>
        <w:numPr>
          <w:ilvl w:val="0"/>
          <w:numId w:val="17"/>
        </w:numPr>
      </w:pPr>
      <w:r>
        <w:t xml:space="preserve">ILO. (2022). </w:t>
      </w:r>
      <w:r>
        <w:rPr>
          <w:rStyle w:val="Emphasis"/>
        </w:rPr>
        <w:t>Decent Work and the Informal Economy</w:t>
      </w:r>
      <w:r>
        <w:t xml:space="preserve">. Geneva: International </w:t>
      </w:r>
      <w:proofErr w:type="spellStart"/>
      <w:r>
        <w:t>Labour</w:t>
      </w:r>
      <w:proofErr w:type="spellEnd"/>
      <w:r>
        <w:t xml:space="preserve"> Organization.</w:t>
      </w:r>
    </w:p>
    <w:p w:rsidR="00F74BA4" w:rsidRDefault="00F74BA4" w:rsidP="00F74BA4">
      <w:pPr>
        <w:pStyle w:val="NormalWeb"/>
        <w:numPr>
          <w:ilvl w:val="0"/>
          <w:numId w:val="17"/>
        </w:numPr>
      </w:pPr>
      <w:r>
        <w:t xml:space="preserve">Baum, T., &amp; </w:t>
      </w:r>
      <w:proofErr w:type="spellStart"/>
      <w:r>
        <w:t>Hai</w:t>
      </w:r>
      <w:proofErr w:type="spellEnd"/>
      <w:r>
        <w:t xml:space="preserve">, N. T. T. (2021). Hospitality, tourism, human rights and the impact of COVID-19. </w:t>
      </w:r>
      <w:r>
        <w:rPr>
          <w:rStyle w:val="Emphasis"/>
        </w:rPr>
        <w:t>International Journal of Contemporary Hospitality Management</w:t>
      </w:r>
      <w:r>
        <w:t>, 33(5), 1876–1890. https://doi.org/10.1108/IJCHM-03-2021-0303</w:t>
      </w:r>
    </w:p>
    <w:p w:rsidR="00F74BA4" w:rsidRDefault="00F74BA4" w:rsidP="00F74BA4">
      <w:pPr>
        <w:pStyle w:val="NormalWeb"/>
        <w:numPr>
          <w:ilvl w:val="0"/>
          <w:numId w:val="17"/>
        </w:numPr>
      </w:pPr>
      <w:proofErr w:type="spellStart"/>
      <w:r>
        <w:t>Banca</w:t>
      </w:r>
      <w:proofErr w:type="spellEnd"/>
      <w:r>
        <w:t xml:space="preserve"> </w:t>
      </w:r>
      <w:proofErr w:type="spellStart"/>
      <w:r>
        <w:t>d’Italia</w:t>
      </w:r>
      <w:proofErr w:type="spellEnd"/>
      <w:r>
        <w:t xml:space="preserve">. (2021). </w:t>
      </w:r>
      <w:r>
        <w:rPr>
          <w:rStyle w:val="Emphasis"/>
        </w:rPr>
        <w:t>Economic Bulletin – Tourism sector and post-pandemic challenges</w:t>
      </w:r>
      <w:r>
        <w:t xml:space="preserve">. Retrieved from </w:t>
      </w:r>
      <w:hyperlink r:id="rId7" w:tgtFrame="_new" w:history="1">
        <w:r>
          <w:rPr>
            <w:rStyle w:val="Hyperlink"/>
          </w:rPr>
          <w:t>https://www.bancaditalia.it</w:t>
        </w:r>
      </w:hyperlink>
    </w:p>
    <w:p w:rsidR="00F74BA4" w:rsidRDefault="00F74BA4" w:rsidP="00F74BA4">
      <w:pPr>
        <w:pStyle w:val="NormalWeb"/>
        <w:numPr>
          <w:ilvl w:val="0"/>
          <w:numId w:val="17"/>
        </w:numPr>
      </w:pPr>
      <w:proofErr w:type="spellStart"/>
      <w:r>
        <w:t>Civitelli</w:t>
      </w:r>
      <w:proofErr w:type="spellEnd"/>
      <w:r>
        <w:t xml:space="preserve">, G., &amp; Di Giorgio, G. (2022). Psychological resilience in post-pandemic tourism workers. </w:t>
      </w:r>
      <w:r>
        <w:rPr>
          <w:rStyle w:val="Emphasis"/>
        </w:rPr>
        <w:t>Italian Journal of Public Health Psychology</w:t>
      </w:r>
      <w:r>
        <w:t>, 9(1), 45–60.</w:t>
      </w:r>
    </w:p>
    <w:p w:rsidR="00F74BA4" w:rsidRDefault="00F74BA4" w:rsidP="00F74BA4">
      <w:pPr>
        <w:pStyle w:val="NormalWeb"/>
        <w:numPr>
          <w:ilvl w:val="0"/>
          <w:numId w:val="17"/>
        </w:numPr>
      </w:pPr>
      <w:r>
        <w:lastRenderedPageBreak/>
        <w:t xml:space="preserve">Corte </w:t>
      </w:r>
      <w:proofErr w:type="spellStart"/>
      <w:r>
        <w:t>dei</w:t>
      </w:r>
      <w:proofErr w:type="spellEnd"/>
      <w:r>
        <w:t xml:space="preserve"> Conti. (2021). </w:t>
      </w:r>
      <w:r>
        <w:rPr>
          <w:rStyle w:val="Emphasis"/>
        </w:rPr>
        <w:t>Tourism and Employment during the Pandemic in Italy: Audit Report</w:t>
      </w:r>
      <w:r>
        <w:t xml:space="preserve">. Rome: Corte </w:t>
      </w:r>
      <w:proofErr w:type="spellStart"/>
      <w:r>
        <w:t>dei</w:t>
      </w:r>
      <w:proofErr w:type="spellEnd"/>
      <w:r>
        <w:t xml:space="preserve"> Conti Publications.</w:t>
      </w:r>
    </w:p>
    <w:p w:rsidR="00F74BA4" w:rsidRDefault="00F74BA4" w:rsidP="00F74BA4">
      <w:pPr>
        <w:pStyle w:val="NormalWeb"/>
        <w:numPr>
          <w:ilvl w:val="0"/>
          <w:numId w:val="17"/>
        </w:numPr>
      </w:pPr>
      <w:r>
        <w:t xml:space="preserve">EIGE. (2021). </w:t>
      </w:r>
      <w:r>
        <w:rPr>
          <w:rStyle w:val="Emphasis"/>
        </w:rPr>
        <w:t>Gender Equality and the Socioeconomic Impact of the COVID-19 Crisis in the EU</w:t>
      </w:r>
      <w:r>
        <w:t xml:space="preserve">. European Institute for Gender Equality. </w:t>
      </w:r>
      <w:hyperlink r:id="rId8" w:tgtFrame="_new" w:history="1">
        <w:r>
          <w:rPr>
            <w:rStyle w:val="Hyperlink"/>
          </w:rPr>
          <w:t>https://eige.europa.eu</w:t>
        </w:r>
      </w:hyperlink>
    </w:p>
    <w:p w:rsidR="00F74BA4" w:rsidRDefault="00F74BA4" w:rsidP="00F74BA4">
      <w:pPr>
        <w:pStyle w:val="NormalWeb"/>
        <w:numPr>
          <w:ilvl w:val="0"/>
          <w:numId w:val="17"/>
        </w:numPr>
      </w:pPr>
      <w:proofErr w:type="spellStart"/>
      <w:r>
        <w:t>Eurofound</w:t>
      </w:r>
      <w:proofErr w:type="spellEnd"/>
      <w:r>
        <w:t xml:space="preserve">. (2022). </w:t>
      </w:r>
      <w:proofErr w:type="spellStart"/>
      <w:r>
        <w:rPr>
          <w:rStyle w:val="Emphasis"/>
        </w:rPr>
        <w:t>Labour</w:t>
      </w:r>
      <w:proofErr w:type="spellEnd"/>
      <w:r>
        <w:rPr>
          <w:rStyle w:val="Emphasis"/>
        </w:rPr>
        <w:t xml:space="preserve"> mobility and the COVID-19 pandemic: Policy responses in the EU</w:t>
      </w:r>
      <w:r>
        <w:t xml:space="preserve">. </w:t>
      </w:r>
      <w:hyperlink r:id="rId9" w:tgtFrame="_new" w:history="1">
        <w:r>
          <w:rPr>
            <w:rStyle w:val="Hyperlink"/>
          </w:rPr>
          <w:t>https://www.eurofound.europa.eu/</w:t>
        </w:r>
      </w:hyperlink>
    </w:p>
    <w:p w:rsidR="00F74BA4" w:rsidRDefault="00F74BA4" w:rsidP="00F74BA4">
      <w:pPr>
        <w:pStyle w:val="NormalWeb"/>
        <w:numPr>
          <w:ilvl w:val="0"/>
          <w:numId w:val="17"/>
        </w:numPr>
      </w:pPr>
      <w:r>
        <w:t xml:space="preserve">European Commission. (2022). </w:t>
      </w:r>
      <w:r>
        <w:rPr>
          <w:rStyle w:val="Emphasis"/>
        </w:rPr>
        <w:t>Italy’s National Recovery and Resilience Plan (NRRP)</w:t>
      </w:r>
      <w:r>
        <w:t xml:space="preserve">. </w:t>
      </w:r>
      <w:hyperlink r:id="rId10" w:tgtFrame="_new" w:history="1">
        <w:r>
          <w:rPr>
            <w:rStyle w:val="Hyperlink"/>
          </w:rPr>
          <w:t>https://ec.europa.eu/info/business-economy-euro/recovery-coronavirus/recovery-and-resilience-facility/italys-recovery-and-resilience-plan_en</w:t>
        </w:r>
      </w:hyperlink>
    </w:p>
    <w:p w:rsidR="00F74BA4" w:rsidRDefault="00F74BA4" w:rsidP="00F74BA4">
      <w:pPr>
        <w:pStyle w:val="NormalWeb"/>
        <w:numPr>
          <w:ilvl w:val="0"/>
          <w:numId w:val="17"/>
        </w:numPr>
      </w:pPr>
      <w:r>
        <w:t xml:space="preserve">EURES. (2022). </w:t>
      </w:r>
      <w:r>
        <w:rPr>
          <w:rStyle w:val="Emphasis"/>
        </w:rPr>
        <w:t xml:space="preserve">Cross-border partnerships in tourism and </w:t>
      </w:r>
      <w:proofErr w:type="spellStart"/>
      <w:r>
        <w:rPr>
          <w:rStyle w:val="Emphasis"/>
        </w:rPr>
        <w:t>labour</w:t>
      </w:r>
      <w:proofErr w:type="spellEnd"/>
      <w:r>
        <w:rPr>
          <w:rStyle w:val="Emphasis"/>
        </w:rPr>
        <w:t xml:space="preserve"> mobility</w:t>
      </w:r>
      <w:r>
        <w:t xml:space="preserve">. </w:t>
      </w:r>
      <w:hyperlink r:id="rId11" w:tgtFrame="_new" w:history="1">
        <w:r>
          <w:rPr>
            <w:rStyle w:val="Hyperlink"/>
          </w:rPr>
          <w:t>https://ec.europa.eu/eures/</w:t>
        </w:r>
      </w:hyperlink>
    </w:p>
    <w:p w:rsidR="00F74BA4" w:rsidRDefault="00F74BA4" w:rsidP="00F74BA4">
      <w:pPr>
        <w:pStyle w:val="NormalWeb"/>
        <w:numPr>
          <w:ilvl w:val="0"/>
          <w:numId w:val="17"/>
        </w:numPr>
      </w:pPr>
      <w:r>
        <w:t xml:space="preserve">ILO. (2022). </w:t>
      </w:r>
      <w:r>
        <w:rPr>
          <w:rStyle w:val="Emphasis"/>
        </w:rPr>
        <w:t>Decent Work in the Tourism Sector: Informality and the Future of Work</w:t>
      </w:r>
      <w:r>
        <w:t xml:space="preserve">. Geneva: International </w:t>
      </w:r>
      <w:proofErr w:type="spellStart"/>
      <w:r>
        <w:t>Labour</w:t>
      </w:r>
      <w:proofErr w:type="spellEnd"/>
      <w:r>
        <w:t xml:space="preserve"> Organization. </w:t>
      </w:r>
      <w:hyperlink r:id="rId12" w:tgtFrame="_new" w:history="1">
        <w:r>
          <w:rPr>
            <w:rStyle w:val="Hyperlink"/>
          </w:rPr>
          <w:t>https://www.ilo.org</w:t>
        </w:r>
      </w:hyperlink>
    </w:p>
    <w:p w:rsidR="00F74BA4" w:rsidRDefault="00F74BA4" w:rsidP="00F74BA4">
      <w:pPr>
        <w:pStyle w:val="NormalWeb"/>
        <w:numPr>
          <w:ilvl w:val="0"/>
          <w:numId w:val="17"/>
        </w:numPr>
      </w:pPr>
      <w:r>
        <w:t xml:space="preserve">ISTAT. (2022). </w:t>
      </w:r>
      <w:r>
        <w:rPr>
          <w:rStyle w:val="Emphasis"/>
        </w:rPr>
        <w:t>Italian Tourism and Employment Statistics Report 2020–2021</w:t>
      </w:r>
      <w:r>
        <w:t xml:space="preserve">. Rome: Italian National Institute of Statistics. </w:t>
      </w:r>
      <w:hyperlink r:id="rId13" w:tgtFrame="_new" w:history="1">
        <w:r>
          <w:rPr>
            <w:rStyle w:val="Hyperlink"/>
          </w:rPr>
          <w:t>https://www.istat.it/</w:t>
        </w:r>
      </w:hyperlink>
    </w:p>
    <w:p w:rsidR="00F74BA4" w:rsidRDefault="00F74BA4" w:rsidP="00F74BA4">
      <w:pPr>
        <w:pStyle w:val="NormalWeb"/>
        <w:numPr>
          <w:ilvl w:val="0"/>
          <w:numId w:val="17"/>
        </w:numPr>
      </w:pPr>
      <w:r>
        <w:t xml:space="preserve">OECD. (2021). </w:t>
      </w:r>
      <w:r>
        <w:rPr>
          <w:rStyle w:val="Emphasis"/>
        </w:rPr>
        <w:t>Tourism Policy Responses to the COVID-19 Pandemic in Italy</w:t>
      </w:r>
      <w:r>
        <w:t>. OECD Tourism Trends and Policies. https://www.oecd.org/coronavirus/policy-responses/</w:t>
      </w:r>
    </w:p>
    <w:p w:rsidR="00F74BA4" w:rsidRDefault="00F74BA4" w:rsidP="00F74BA4">
      <w:pPr>
        <w:pStyle w:val="NormalWeb"/>
        <w:numPr>
          <w:ilvl w:val="0"/>
          <w:numId w:val="17"/>
        </w:numPr>
      </w:pPr>
      <w:r>
        <w:t xml:space="preserve">UNESCO. (2022). </w:t>
      </w:r>
      <w:r>
        <w:rPr>
          <w:rStyle w:val="Emphasis"/>
        </w:rPr>
        <w:t>Cultural heritage and sustainable tourism development in Europe: Post-COVID pathways</w:t>
      </w:r>
      <w:r>
        <w:t xml:space="preserve">. Paris: UNESCO. </w:t>
      </w:r>
      <w:hyperlink r:id="rId14" w:tgtFrame="_new" w:history="1">
        <w:r>
          <w:rPr>
            <w:rStyle w:val="Hyperlink"/>
          </w:rPr>
          <w:t>https://www.unesco.org</w:t>
        </w:r>
      </w:hyperlink>
    </w:p>
    <w:p w:rsidR="00F74BA4" w:rsidRDefault="00F74BA4" w:rsidP="00F74BA4">
      <w:pPr>
        <w:pStyle w:val="NormalWeb"/>
        <w:numPr>
          <w:ilvl w:val="0"/>
          <w:numId w:val="17"/>
        </w:numPr>
      </w:pPr>
      <w:r>
        <w:t xml:space="preserve">UNWTO. (2021). </w:t>
      </w:r>
      <w:r>
        <w:rPr>
          <w:rStyle w:val="Emphasis"/>
        </w:rPr>
        <w:t>Impact Assessment of the COVID-19 Outbreak on International Tourism</w:t>
      </w:r>
      <w:r>
        <w:t xml:space="preserve">. United Nations World Tourism Organization. </w:t>
      </w:r>
      <w:hyperlink r:id="rId15" w:tgtFrame="_new" w:history="1">
        <w:r>
          <w:rPr>
            <w:rStyle w:val="Hyperlink"/>
          </w:rPr>
          <w:t>https://www.unwto.org</w:t>
        </w:r>
      </w:hyperlink>
    </w:p>
    <w:p w:rsidR="00557702" w:rsidRDefault="00557702" w:rsidP="00557702">
      <w:pPr>
        <w:pStyle w:val="NormalWeb"/>
        <w:numPr>
          <w:ilvl w:val="0"/>
          <w:numId w:val="17"/>
        </w:numPr>
      </w:pPr>
      <w:r>
        <w:t xml:space="preserve">ISTAT. (2021). </w:t>
      </w:r>
      <w:r>
        <w:rPr>
          <w:rStyle w:val="Emphasis"/>
        </w:rPr>
        <w:t>Italian Employment Survey – Tourism Edition</w:t>
      </w:r>
      <w:r>
        <w:t>.</w:t>
      </w:r>
    </w:p>
    <w:p w:rsidR="00557702" w:rsidRDefault="00557702" w:rsidP="00557702">
      <w:pPr>
        <w:pStyle w:val="NormalWeb"/>
        <w:numPr>
          <w:ilvl w:val="0"/>
          <w:numId w:val="17"/>
        </w:numPr>
      </w:pPr>
      <w:r>
        <w:t xml:space="preserve">OECD. (2020). </w:t>
      </w:r>
      <w:r>
        <w:rPr>
          <w:rStyle w:val="Emphasis"/>
        </w:rPr>
        <w:t>Tourism Trends and Policies: Italy</w:t>
      </w:r>
      <w:r>
        <w:t>.</w:t>
      </w:r>
    </w:p>
    <w:p w:rsidR="00557702" w:rsidRDefault="00557702" w:rsidP="00557702">
      <w:pPr>
        <w:pStyle w:val="NormalWeb"/>
        <w:numPr>
          <w:ilvl w:val="0"/>
          <w:numId w:val="17"/>
        </w:numPr>
      </w:pPr>
      <w:r>
        <w:t xml:space="preserve">UNWTO. (2021). </w:t>
      </w:r>
      <w:r>
        <w:rPr>
          <w:rStyle w:val="Emphasis"/>
        </w:rPr>
        <w:t>Tourism Recovery Tracker: Europe</w:t>
      </w:r>
      <w:r>
        <w:t>.</w:t>
      </w:r>
    </w:p>
    <w:p w:rsidR="00557702" w:rsidRDefault="00557702" w:rsidP="00557702"/>
    <w:p w:rsidR="0066625D" w:rsidRDefault="0066625D" w:rsidP="00D26592"/>
    <w:sectPr w:rsidR="0066625D"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33EA7"/>
    <w:multiLevelType w:val="multilevel"/>
    <w:tmpl w:val="9F8E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3447AF"/>
    <w:multiLevelType w:val="multilevel"/>
    <w:tmpl w:val="A8E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E6DDC"/>
    <w:multiLevelType w:val="multilevel"/>
    <w:tmpl w:val="C66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2C4332"/>
    <w:multiLevelType w:val="multilevel"/>
    <w:tmpl w:val="1B1A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393A84"/>
    <w:multiLevelType w:val="multilevel"/>
    <w:tmpl w:val="3B5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B30C7"/>
    <w:multiLevelType w:val="multilevel"/>
    <w:tmpl w:val="2228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CF4349"/>
    <w:multiLevelType w:val="multilevel"/>
    <w:tmpl w:val="043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794C4B"/>
    <w:multiLevelType w:val="multilevel"/>
    <w:tmpl w:val="5B26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E3614A"/>
    <w:multiLevelType w:val="multilevel"/>
    <w:tmpl w:val="1DC4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CC47C6"/>
    <w:multiLevelType w:val="multilevel"/>
    <w:tmpl w:val="6E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E609F1"/>
    <w:multiLevelType w:val="multilevel"/>
    <w:tmpl w:val="0F34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6E5578"/>
    <w:multiLevelType w:val="multilevel"/>
    <w:tmpl w:val="4C1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03193C"/>
    <w:multiLevelType w:val="multilevel"/>
    <w:tmpl w:val="74AC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C6082A"/>
    <w:multiLevelType w:val="multilevel"/>
    <w:tmpl w:val="B794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F344B3"/>
    <w:multiLevelType w:val="multilevel"/>
    <w:tmpl w:val="9C74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87D325E"/>
    <w:multiLevelType w:val="multilevel"/>
    <w:tmpl w:val="0DF0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0"/>
  </w:num>
  <w:num w:numId="4">
    <w:abstractNumId w:val="15"/>
  </w:num>
  <w:num w:numId="5">
    <w:abstractNumId w:val="9"/>
  </w:num>
  <w:num w:numId="6">
    <w:abstractNumId w:val="8"/>
  </w:num>
  <w:num w:numId="7">
    <w:abstractNumId w:val="4"/>
  </w:num>
  <w:num w:numId="8">
    <w:abstractNumId w:val="6"/>
  </w:num>
  <w:num w:numId="9">
    <w:abstractNumId w:val="1"/>
  </w:num>
  <w:num w:numId="10">
    <w:abstractNumId w:val="13"/>
  </w:num>
  <w:num w:numId="11">
    <w:abstractNumId w:val="12"/>
  </w:num>
  <w:num w:numId="12">
    <w:abstractNumId w:val="5"/>
  </w:num>
  <w:num w:numId="13">
    <w:abstractNumId w:val="7"/>
  </w:num>
  <w:num w:numId="14">
    <w:abstractNumId w:val="3"/>
  </w:num>
  <w:num w:numId="15">
    <w:abstractNumId w:val="10"/>
  </w:num>
  <w:num w:numId="16">
    <w:abstractNumId w:val="16"/>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1D69FA"/>
    <w:rsid w:val="003A6CC7"/>
    <w:rsid w:val="003F4C97"/>
    <w:rsid w:val="00446ADA"/>
    <w:rsid w:val="00557702"/>
    <w:rsid w:val="006350FB"/>
    <w:rsid w:val="0066625D"/>
    <w:rsid w:val="00672EA7"/>
    <w:rsid w:val="006900DE"/>
    <w:rsid w:val="006E5F0B"/>
    <w:rsid w:val="009B453C"/>
    <w:rsid w:val="009D421F"/>
    <w:rsid w:val="00A17D57"/>
    <w:rsid w:val="00A87F86"/>
    <w:rsid w:val="00B13199"/>
    <w:rsid w:val="00B37405"/>
    <w:rsid w:val="00D24865"/>
    <w:rsid w:val="00D26592"/>
    <w:rsid w:val="00D610E3"/>
    <w:rsid w:val="00D915F8"/>
    <w:rsid w:val="00F74B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6662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662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5577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6662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625D"/>
    <w:rPr>
      <w:rFonts w:ascii="Times New Roman" w:eastAsia="Times New Roman" w:hAnsi="Times New Roman" w:cs="Times New Roman"/>
      <w:b/>
      <w:bCs/>
      <w:sz w:val="27"/>
      <w:szCs w:val="27"/>
    </w:rPr>
  </w:style>
  <w:style w:type="character" w:styleId="Strong">
    <w:name w:val="Strong"/>
    <w:basedOn w:val="DefaultParagraphFont"/>
    <w:uiPriority w:val="22"/>
    <w:qFormat/>
    <w:rsid w:val="0066625D"/>
    <w:rPr>
      <w:b/>
      <w:bCs/>
    </w:rPr>
  </w:style>
  <w:style w:type="paragraph" w:styleId="NormalWeb">
    <w:name w:val="Normal (Web)"/>
    <w:basedOn w:val="Normal"/>
    <w:uiPriority w:val="99"/>
    <w:semiHidden/>
    <w:unhideWhenUsed/>
    <w:rsid w:val="006662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6625D"/>
    <w:rPr>
      <w:i/>
      <w:iCs/>
    </w:rPr>
  </w:style>
  <w:style w:type="character" w:customStyle="1" w:styleId="Heading4Char">
    <w:name w:val="Heading 4 Char"/>
    <w:basedOn w:val="DefaultParagraphFont"/>
    <w:link w:val="Heading4"/>
    <w:uiPriority w:val="9"/>
    <w:semiHidden/>
    <w:rsid w:val="00557702"/>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557702"/>
    <w:rPr>
      <w:color w:val="0000FF"/>
      <w:u w:val="single"/>
    </w:rPr>
  </w:style>
</w:styles>
</file>

<file path=word/webSettings.xml><?xml version="1.0" encoding="utf-8"?>
<w:webSettings xmlns:r="http://schemas.openxmlformats.org/officeDocument/2006/relationships" xmlns:w="http://schemas.openxmlformats.org/wordprocessingml/2006/main">
  <w:divs>
    <w:div w:id="53283647">
      <w:bodyDiv w:val="1"/>
      <w:marLeft w:val="0"/>
      <w:marRight w:val="0"/>
      <w:marTop w:val="0"/>
      <w:marBottom w:val="0"/>
      <w:divBdr>
        <w:top w:val="none" w:sz="0" w:space="0" w:color="auto"/>
        <w:left w:val="none" w:sz="0" w:space="0" w:color="auto"/>
        <w:bottom w:val="none" w:sz="0" w:space="0" w:color="auto"/>
        <w:right w:val="none" w:sz="0" w:space="0" w:color="auto"/>
      </w:divBdr>
    </w:div>
    <w:div w:id="347296455">
      <w:bodyDiv w:val="1"/>
      <w:marLeft w:val="0"/>
      <w:marRight w:val="0"/>
      <w:marTop w:val="0"/>
      <w:marBottom w:val="0"/>
      <w:divBdr>
        <w:top w:val="none" w:sz="0" w:space="0" w:color="auto"/>
        <w:left w:val="none" w:sz="0" w:space="0" w:color="auto"/>
        <w:bottom w:val="none" w:sz="0" w:space="0" w:color="auto"/>
        <w:right w:val="none" w:sz="0" w:space="0" w:color="auto"/>
      </w:divBdr>
    </w:div>
    <w:div w:id="463238491">
      <w:bodyDiv w:val="1"/>
      <w:marLeft w:val="0"/>
      <w:marRight w:val="0"/>
      <w:marTop w:val="0"/>
      <w:marBottom w:val="0"/>
      <w:divBdr>
        <w:top w:val="none" w:sz="0" w:space="0" w:color="auto"/>
        <w:left w:val="none" w:sz="0" w:space="0" w:color="auto"/>
        <w:bottom w:val="none" w:sz="0" w:space="0" w:color="auto"/>
        <w:right w:val="none" w:sz="0" w:space="0" w:color="auto"/>
      </w:divBdr>
      <w:divsChild>
        <w:div w:id="998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261137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07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8918">
          <w:marLeft w:val="0"/>
          <w:marRight w:val="0"/>
          <w:marTop w:val="0"/>
          <w:marBottom w:val="0"/>
          <w:divBdr>
            <w:top w:val="none" w:sz="0" w:space="0" w:color="auto"/>
            <w:left w:val="none" w:sz="0" w:space="0" w:color="auto"/>
            <w:bottom w:val="none" w:sz="0" w:space="0" w:color="auto"/>
            <w:right w:val="none" w:sz="0" w:space="0" w:color="auto"/>
          </w:divBdr>
          <w:divsChild>
            <w:div w:id="57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74478">
      <w:bodyDiv w:val="1"/>
      <w:marLeft w:val="0"/>
      <w:marRight w:val="0"/>
      <w:marTop w:val="0"/>
      <w:marBottom w:val="0"/>
      <w:divBdr>
        <w:top w:val="none" w:sz="0" w:space="0" w:color="auto"/>
        <w:left w:val="none" w:sz="0" w:space="0" w:color="auto"/>
        <w:bottom w:val="none" w:sz="0" w:space="0" w:color="auto"/>
        <w:right w:val="none" w:sz="0" w:space="0" w:color="auto"/>
      </w:divBdr>
    </w:div>
    <w:div w:id="594365871">
      <w:bodyDiv w:val="1"/>
      <w:marLeft w:val="0"/>
      <w:marRight w:val="0"/>
      <w:marTop w:val="0"/>
      <w:marBottom w:val="0"/>
      <w:divBdr>
        <w:top w:val="none" w:sz="0" w:space="0" w:color="auto"/>
        <w:left w:val="none" w:sz="0" w:space="0" w:color="auto"/>
        <w:bottom w:val="none" w:sz="0" w:space="0" w:color="auto"/>
        <w:right w:val="none" w:sz="0" w:space="0" w:color="auto"/>
      </w:divBdr>
    </w:div>
    <w:div w:id="744381111">
      <w:bodyDiv w:val="1"/>
      <w:marLeft w:val="0"/>
      <w:marRight w:val="0"/>
      <w:marTop w:val="0"/>
      <w:marBottom w:val="0"/>
      <w:divBdr>
        <w:top w:val="none" w:sz="0" w:space="0" w:color="auto"/>
        <w:left w:val="none" w:sz="0" w:space="0" w:color="auto"/>
        <w:bottom w:val="none" w:sz="0" w:space="0" w:color="auto"/>
        <w:right w:val="none" w:sz="0" w:space="0" w:color="auto"/>
      </w:divBdr>
      <w:divsChild>
        <w:div w:id="721559677">
          <w:marLeft w:val="0"/>
          <w:marRight w:val="0"/>
          <w:marTop w:val="0"/>
          <w:marBottom w:val="0"/>
          <w:divBdr>
            <w:top w:val="none" w:sz="0" w:space="0" w:color="auto"/>
            <w:left w:val="none" w:sz="0" w:space="0" w:color="auto"/>
            <w:bottom w:val="none" w:sz="0" w:space="0" w:color="auto"/>
            <w:right w:val="none" w:sz="0" w:space="0" w:color="auto"/>
          </w:divBdr>
          <w:divsChild>
            <w:div w:id="11370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835343">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ige.europa.eu" TargetMode="External"/><Relationship Id="rId13" Type="http://schemas.openxmlformats.org/officeDocument/2006/relationships/hyperlink" Target="https://www.istat.it/" TargetMode="External"/><Relationship Id="rId3" Type="http://schemas.openxmlformats.org/officeDocument/2006/relationships/settings" Target="settings.xml"/><Relationship Id="rId7" Type="http://schemas.openxmlformats.org/officeDocument/2006/relationships/hyperlink" Target="https://www.bancaditalia.it" TargetMode="External"/><Relationship Id="rId12" Type="http://schemas.openxmlformats.org/officeDocument/2006/relationships/hyperlink" Target="https://www.ilo.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ancaditalia.it" TargetMode="External"/><Relationship Id="rId11" Type="http://schemas.openxmlformats.org/officeDocument/2006/relationships/hyperlink" Target="https://ec.europa.eu/eures/" TargetMode="External"/><Relationship Id="rId5" Type="http://schemas.openxmlformats.org/officeDocument/2006/relationships/image" Target="media/image1.png"/><Relationship Id="rId15" Type="http://schemas.openxmlformats.org/officeDocument/2006/relationships/hyperlink" Target="https://www.unwto.org" TargetMode="External"/><Relationship Id="rId10" Type="http://schemas.openxmlformats.org/officeDocument/2006/relationships/hyperlink" Target="https://ec.europa.eu/info/business-economy-euro/recovery-coronavirus/recovery-and-resilience-facility/italys-recovery-and-resilience-plan_en" TargetMode="External"/><Relationship Id="rId4" Type="http://schemas.openxmlformats.org/officeDocument/2006/relationships/webSettings" Target="webSettings.xml"/><Relationship Id="rId9" Type="http://schemas.openxmlformats.org/officeDocument/2006/relationships/hyperlink" Target="https://www.eurofound.europa.eu/" TargetMode="External"/><Relationship Id="rId14" Type="http://schemas.openxmlformats.org/officeDocument/2006/relationships/hyperlink" Target="https://www.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1304</TotalTime>
  <Pages>12</Pages>
  <Words>4637</Words>
  <Characters>26433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2025-06-15T05:53:00Z</dcterms:created>
  <dcterms:modified xsi:type="dcterms:W3CDTF">2025-06-21T08:01:00Z</dcterms:modified>
</cp:coreProperties>
</file>