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800"/>
        <w:jc w:val="center"/>
      </w:pPr>
      <w:r>
        <w:rPr>
          <w:rFonts w:ascii="Times New Roman" w:hAnsi="Times New Roman"/>
          <w:b/>
          <w:color w:val="203864"/>
          <w:sz w:val="28"/>
        </w:rPr>
        <w:t>Business Administration Fundamentals</w:t>
      </w:r>
    </w:p>
    <w:p>
      <w:pPr>
        <w:spacing w:before="480" w:after="320"/>
        <w:jc w:val="center"/>
      </w:pPr>
      <w:r>
        <w:rPr>
          <w:rFonts w:ascii="Times New Roman" w:hAnsi="Times New Roman"/>
          <w:b/>
          <w:color w:val="1F1F1F"/>
          <w:sz w:val="40"/>
        </w:rPr>
        <w:t>Adaptive Administration: How Generative and Predictive AI Change the Management Cycle</w:t>
      </w:r>
    </w:p>
    <w:p>
      <w:pPr>
        <w:jc w:val="center"/>
      </w:pPr>
      <w:r>
        <w:rPr>
          <w:rFonts w:ascii="Times New Roman" w:hAnsi="Times New Roman"/>
          <w:i/>
          <w:color w:val="203864"/>
          <w:sz w:val="24"/>
        </w:rPr>
        <w:t>Option 1: Classical Management Functions in an AI-Enabled Organisation</w:t>
      </w:r>
    </w:p>
    <w:p/>
    <w:p/>
    <w:p/>
    <w:p>
      <w:pPr>
        <w:spacing w:after="180"/>
        <w:jc w:val="center"/>
      </w:pPr>
      <w:r>
        <w:rPr>
          <w:rFonts w:ascii="Times New Roman" w:hAnsi="Times New Roman"/>
          <w:b w:val="0"/>
          <w:sz w:val="24"/>
        </w:rPr>
        <w:t>Student Name: ______________________________</w:t>
      </w:r>
    </w:p>
    <w:p>
      <w:pPr>
        <w:spacing w:after="180"/>
        <w:jc w:val="center"/>
      </w:pPr>
      <w:r>
        <w:rPr>
          <w:rFonts w:ascii="Times New Roman" w:hAnsi="Times New Roman"/>
          <w:b w:val="0"/>
          <w:sz w:val="24"/>
        </w:rPr>
        <w:t>Student ID: ________________________________</w:t>
      </w:r>
    </w:p>
    <w:p>
      <w:r>
        <w:br w:type="page"/>
      </w:r>
    </w:p>
    <w:p>
      <w:pPr>
        <w:pStyle w:val="TOCHeading"/>
        <w:spacing w:after="240"/>
        <w:jc w:val="center"/>
      </w:pPr>
      <w:r>
        <w:rPr>
          <w:rFonts w:ascii="Times New Roman" w:hAnsi="Times New Roman" w:eastAsia="Times New Roman"/>
          <w:b/>
          <w:color w:val="203864"/>
          <w:sz w:val="28"/>
        </w:rPr>
        <w:t>Table of Contents</w:t>
      </w:r>
    </w:p>
    <w:p>
      <w:pPr>
        <w:pStyle w:val="TOC1"/>
      </w:pPr>
      <w:r>
        <w:rPr>
          <w:rFonts w:ascii="Times New Roman" w:hAnsi="Times New Roman" w:eastAsia="Times New Roman"/>
          <w:b w:val="0"/>
          <w:sz w:val="24"/>
        </w:rPr>
        <w:fldChar w:fldCharType="begin" w:dirty="true"/>
        <w:instrText xml:space="preserve"> TOC \o "1-1" \h \z \u </w:instrText>
      </w:r>
      <w:r>
        <w:rPr>
          <w:rFonts w:ascii="Times New Roman" w:hAnsi="Times New Roman" w:eastAsia="Times New Roman"/>
          <w:b w:val="0"/>
          <w:sz w:val="24"/>
        </w:rPr>
        <w:fldChar w:fldCharType="separate"/>
      </w:r>
      <w:r>
        <w:rPr>
          <w:rFonts w:ascii="Times New Roman" w:hAnsi="Times New Roman" w:eastAsia="Times New Roman"/>
          <w:b w:val="0"/>
          <w:sz w:val="24"/>
        </w:rPr>
        <w:t>Abstract</w:t>
      </w:r>
      <w:r>
        <w:rPr>
          <w:rFonts w:ascii="Times New Roman" w:hAnsi="Times New Roman" w:eastAsia="Times New Roman"/>
          <w:b w:val="0"/>
          <w:sz w:val="24"/>
        </w:rPr>
        <w:tab/>
      </w:r>
      <w:r>
        <w:rPr>
          <w:rFonts w:ascii="Times New Roman" w:hAnsi="Times New Roman" w:eastAsia="Times New Roman"/>
          <w:b w:val="0"/>
          <w:sz w:val="24"/>
        </w:rPr>
        <w:t>3</w:t>
      </w:r>
    </w:p>
    <w:p>
      <w:pPr>
        <w:pStyle w:val="TOC1"/>
      </w:pPr>
      <w:r>
        <w:rPr>
          <w:rFonts w:ascii="Times New Roman" w:hAnsi="Times New Roman" w:eastAsia="Times New Roman"/>
          <w:b w:val="0"/>
          <w:sz w:val="24"/>
        </w:rPr>
        <w:t>Introduction</w:t>
      </w:r>
      <w:r>
        <w:rPr>
          <w:rFonts w:ascii="Times New Roman" w:hAnsi="Times New Roman" w:eastAsia="Times New Roman"/>
          <w:b w:val="0"/>
          <w:sz w:val="24"/>
        </w:rPr>
        <w:tab/>
      </w:r>
      <w:r>
        <w:rPr>
          <w:rFonts w:ascii="Times New Roman" w:hAnsi="Times New Roman" w:eastAsia="Times New Roman"/>
          <w:b w:val="0"/>
          <w:sz w:val="24"/>
        </w:rPr>
        <w:t>3</w:t>
      </w:r>
    </w:p>
    <w:p>
      <w:pPr>
        <w:pStyle w:val="TOC1"/>
      </w:pPr>
      <w:r>
        <w:rPr>
          <w:rFonts w:ascii="Times New Roman" w:hAnsi="Times New Roman" w:eastAsia="Times New Roman"/>
          <w:b w:val="0"/>
          <w:sz w:val="24"/>
        </w:rPr>
        <w:t>Literature Review</w:t>
      </w:r>
      <w:r>
        <w:rPr>
          <w:rFonts w:ascii="Times New Roman" w:hAnsi="Times New Roman" w:eastAsia="Times New Roman"/>
          <w:b w:val="0"/>
          <w:sz w:val="24"/>
        </w:rPr>
        <w:tab/>
      </w:r>
      <w:r>
        <w:rPr>
          <w:rFonts w:ascii="Times New Roman" w:hAnsi="Times New Roman" w:eastAsia="Times New Roman"/>
          <w:b w:val="0"/>
          <w:sz w:val="24"/>
        </w:rPr>
        <w:t>4</w:t>
      </w:r>
    </w:p>
    <w:p>
      <w:pPr>
        <w:pStyle w:val="TOC1"/>
      </w:pPr>
      <w:r>
        <w:rPr>
          <w:rFonts w:ascii="Times New Roman" w:hAnsi="Times New Roman" w:eastAsia="Times New Roman"/>
          <w:b w:val="0"/>
          <w:sz w:val="24"/>
        </w:rPr>
        <w:t>Methodology / Approach</w:t>
      </w:r>
      <w:r>
        <w:rPr>
          <w:rFonts w:ascii="Times New Roman" w:hAnsi="Times New Roman" w:eastAsia="Times New Roman"/>
          <w:b w:val="0"/>
          <w:sz w:val="24"/>
        </w:rPr>
        <w:tab/>
      </w:r>
      <w:r>
        <w:rPr>
          <w:rFonts w:ascii="Times New Roman" w:hAnsi="Times New Roman" w:eastAsia="Times New Roman"/>
          <w:b w:val="0"/>
          <w:sz w:val="24"/>
        </w:rPr>
        <w:t>6</w:t>
      </w:r>
    </w:p>
    <w:p>
      <w:pPr>
        <w:pStyle w:val="TOC1"/>
      </w:pPr>
      <w:r>
        <w:rPr>
          <w:rFonts w:ascii="Times New Roman" w:hAnsi="Times New Roman" w:eastAsia="Times New Roman"/>
          <w:b w:val="0"/>
          <w:sz w:val="24"/>
        </w:rPr>
        <w:t>Findings / Analysis</w:t>
      </w:r>
      <w:r>
        <w:rPr>
          <w:rFonts w:ascii="Times New Roman" w:hAnsi="Times New Roman" w:eastAsia="Times New Roman"/>
          <w:b w:val="0"/>
          <w:sz w:val="24"/>
        </w:rPr>
        <w:tab/>
      </w:r>
      <w:r>
        <w:rPr>
          <w:rFonts w:ascii="Times New Roman" w:hAnsi="Times New Roman" w:eastAsia="Times New Roman"/>
          <w:b w:val="0"/>
          <w:sz w:val="24"/>
        </w:rPr>
        <w:t>7</w:t>
      </w:r>
    </w:p>
    <w:p>
      <w:pPr>
        <w:pStyle w:val="TOC1"/>
      </w:pPr>
      <w:r>
        <w:rPr>
          <w:rFonts w:ascii="Times New Roman" w:hAnsi="Times New Roman" w:eastAsia="Times New Roman"/>
          <w:b w:val="0"/>
          <w:sz w:val="24"/>
        </w:rPr>
        <w:t>Discussion</w:t>
      </w:r>
      <w:r>
        <w:rPr>
          <w:rFonts w:ascii="Times New Roman" w:hAnsi="Times New Roman" w:eastAsia="Times New Roman"/>
          <w:b w:val="0"/>
          <w:sz w:val="24"/>
        </w:rPr>
        <w:tab/>
      </w:r>
      <w:r>
        <w:rPr>
          <w:rFonts w:ascii="Times New Roman" w:hAnsi="Times New Roman" w:eastAsia="Times New Roman"/>
          <w:b w:val="0"/>
          <w:sz w:val="24"/>
        </w:rPr>
        <w:t>13</w:t>
      </w:r>
    </w:p>
    <w:p>
      <w:pPr>
        <w:pStyle w:val="TOC1"/>
      </w:pPr>
      <w:r>
        <w:rPr>
          <w:rFonts w:ascii="Times New Roman" w:hAnsi="Times New Roman" w:eastAsia="Times New Roman"/>
          <w:b w:val="0"/>
          <w:sz w:val="24"/>
        </w:rPr>
        <w:t>Conclusion and Recommendations</w:t>
      </w:r>
      <w:r>
        <w:rPr>
          <w:rFonts w:ascii="Times New Roman" w:hAnsi="Times New Roman" w:eastAsia="Times New Roman"/>
          <w:b w:val="0"/>
          <w:sz w:val="24"/>
        </w:rPr>
        <w:tab/>
      </w:r>
      <w:r>
        <w:rPr>
          <w:rFonts w:ascii="Times New Roman" w:hAnsi="Times New Roman" w:eastAsia="Times New Roman"/>
          <w:b w:val="0"/>
          <w:sz w:val="24"/>
        </w:rPr>
        <w:t>14</w:t>
      </w:r>
    </w:p>
    <w:p>
      <w:pPr>
        <w:pStyle w:val="TOC1"/>
      </w:pPr>
      <w:r>
        <w:rPr>
          <w:rFonts w:ascii="Times New Roman" w:hAnsi="Times New Roman" w:eastAsia="Times New Roman"/>
          <w:b w:val="0"/>
          <w:sz w:val="24"/>
        </w:rPr>
        <w:t>References</w:t>
      </w:r>
      <w:r>
        <w:rPr>
          <w:rFonts w:ascii="Times New Roman" w:hAnsi="Times New Roman" w:eastAsia="Times New Roman"/>
          <w:b w:val="0"/>
          <w:sz w:val="24"/>
        </w:rPr>
        <w:tab/>
      </w:r>
      <w:r>
        <w:rPr>
          <w:rFonts w:ascii="Times New Roman" w:hAnsi="Times New Roman" w:eastAsia="Times New Roman"/>
          <w:b w:val="0"/>
          <w:sz w:val="24"/>
        </w:rPr>
        <w:t>15</w:t>
      </w:r>
    </w:p>
    <w:p>
      <w:pPr>
        <w:pStyle w:val="TOC1"/>
      </w:pPr>
      <w:r>
        <w:rPr>
          <w:rFonts w:ascii="Times New Roman" w:hAnsi="Times New Roman" w:eastAsia="Times New Roman"/>
          <w:b w:val="0"/>
          <w:sz w:val="24"/>
        </w:rPr>
        <w:t>Appendix A: Managerial Implementation Checklist</w:t>
      </w:r>
      <w:r>
        <w:rPr>
          <w:rFonts w:ascii="Times New Roman" w:hAnsi="Times New Roman" w:eastAsia="Times New Roman"/>
          <w:b w:val="0"/>
          <w:sz w:val="24"/>
        </w:rPr>
        <w:tab/>
      </w:r>
      <w:r>
        <w:rPr>
          <w:rFonts w:ascii="Times New Roman" w:hAnsi="Times New Roman" w:eastAsia="Times New Roman"/>
          <w:b w:val="0"/>
          <w:sz w:val="24"/>
        </w:rPr>
        <w:t>16</w:t>
      </w:r>
      <w:r>
        <w:rPr>
          <w:rFonts w:ascii="Times New Roman" w:hAnsi="Times New Roman" w:eastAsia="Times New Roman"/>
          <w:b w:val="0"/>
          <w:sz w:val="24"/>
        </w:rPr>
        <w:fldChar w:fldCharType="end"/>
      </w:r>
    </w:p>
    <w:p>
      <w:pPr>
        <w:spacing w:after="0"/>
      </w:pPr>
    </w:p>
    <w:p>
      <w:r>
        <w:br w:type="page"/>
      </w:r>
    </w:p>
    <w:p>
      <w:pPr>
        <w:pStyle w:val="Heading1"/>
        <w:keepNext/>
      </w:pPr>
      <w:r>
        <w:rPr>
          <w:rFonts w:ascii="Times New Roman" w:hAnsi="Times New Roman"/>
          <w:b/>
          <w:color w:val="203864"/>
          <w:sz w:val="28"/>
        </w:rPr>
        <w:t>Abstract</w:t>
      </w:r>
    </w:p>
    <w:p>
      <w:pPr>
        <w:keepLines w:val="0"/>
        <w:spacing w:line="480" w:lineRule="auto" w:after="0"/>
        <w:ind w:firstLine="432"/>
      </w:pPr>
      <w:r>
        <w:rPr>
          <w:rFonts w:ascii="Times New Roman" w:hAnsi="Times New Roman"/>
          <w:sz w:val="24"/>
        </w:rPr>
        <w:t>This report analyses artificial intelligence as a change in the tempo and architecture of the management cycle. Instead of treating planning, organising, leading and controlling as isolated functions, it examines how AI links them through rapid flows of prediction, generation and feedback. The analysis uses bounded rationality and organisational decision-making theory to show why AI is attractive: it can enlarge the set of alternatives considered and reduce the time needed to process information. Evidence from generative-AI field and experimental studies also indicates meaningful productivity gains in selected knowledge-work tasks. However, the same systems can create a jagged frontier in which performance improves on some tasks while deteriorating on others, making blanket automation unsafe. The report therefore proposes an adaptive administration model. AI is used to expand search, codify routine decisions and accelerate feedback, while managers retain responsibility for problem framing, boundary conditions, exceptions and ethical consequences. The recommended model emphasises test-and-learn deployment, explicit escalation rules, capability building and decision logs. The conclusion is that managerial effectiveness in the AI era depends less on choosing between humans and machines than on designing a disciplined division of cognitive labour.</w:t>
      </w:r>
    </w:p>
    <w:p>
      <w:pPr>
        <w:pStyle w:val="Heading1"/>
        <w:keepNext/>
      </w:pPr>
      <w:r>
        <w:rPr>
          <w:rFonts w:ascii="Times New Roman" w:hAnsi="Times New Roman"/>
          <w:b/>
          <w:color w:val="203864"/>
          <w:sz w:val="28"/>
        </w:rPr>
        <w:t>Introduction</w:t>
      </w:r>
    </w:p>
    <w:p>
      <w:pPr>
        <w:keepLines w:val="0"/>
        <w:spacing w:line="480" w:lineRule="auto" w:after="0"/>
        <w:ind w:firstLine="432"/>
      </w:pPr>
      <w:r>
        <w:rPr>
          <w:rFonts w:ascii="Times New Roman" w:hAnsi="Times New Roman"/>
          <w:sz w:val="24"/>
        </w:rPr>
        <w:t>Management is a process of making decisions under constraint. Managers rarely possess complete information, unlimited attention or enough time to evaluate every possible alternative. Simon's concept of bounded rationality explains why administrative systems use routines, rules and organisational structures to make complex decision environments manageable (Simon, 1997). Artificial intelligence appears powerful in this context because it expands computational search, summarises information rapidly and can generate candidate actions at low marginal cost. Yet an increase in computational capacity does not remove the need for administrative judgement. It changes where constraints occur.</w:t>
      </w:r>
    </w:p>
    <w:p>
      <w:pPr>
        <w:keepLines w:val="0"/>
        <w:spacing w:line="480" w:lineRule="auto" w:after="0"/>
        <w:ind w:firstLine="432"/>
      </w:pPr>
      <w:r>
        <w:rPr>
          <w:rFonts w:ascii="Times New Roman" w:hAnsi="Times New Roman"/>
          <w:sz w:val="24"/>
        </w:rPr>
        <w:t>The classical functions of planning, organising, leading and controlling provide a useful map for these changing constraints. Planning is constrained by uncertainty; organising by coordination complexity; leading by attention, meaning and social acceptance; and controlling by the cost and delay of information. Predictive and generative AI can relax each constraint to some degree. Generative systems can draft plans and communications, recommendation systems can support allocation, and predictive models can flag performance deviations earlier. But new constraints emerge: model opacity, uncertain reliability outside familiar data, the risk of homogenised decisions and the need for people who can recognise when machine output is inappropriate.</w:t>
      </w:r>
    </w:p>
    <w:p>
      <w:pPr>
        <w:keepLines w:val="0"/>
        <w:spacing w:line="480" w:lineRule="auto" w:after="0"/>
        <w:ind w:firstLine="432"/>
      </w:pPr>
      <w:r>
        <w:rPr>
          <w:rFonts w:ascii="Times New Roman" w:hAnsi="Times New Roman"/>
          <w:sz w:val="24"/>
        </w:rPr>
        <w:t>This report takes an adaptive administration perspective. It argues that AI is most valuable when it creates a faster cycle between analysis, action and learning without eliminating managerial checkpoints. The analysis is informed by recent experimental evidence on generative AI, organisational research on human-machine agency and work on AI-enabled decision structures. The goal is to identify how managers can gain speed and scale while preserving the ability to stop, question and redirect the system when conditions change.</w:t>
      </w:r>
    </w:p>
    <w:p>
      <w:pPr>
        <w:pStyle w:val="Heading1"/>
        <w:keepNext/>
      </w:pPr>
      <w:r>
        <w:rPr>
          <w:rFonts w:ascii="Times New Roman" w:hAnsi="Times New Roman"/>
          <w:b/>
          <w:color w:val="203864"/>
          <w:sz w:val="28"/>
        </w:rPr>
        <w:t>Literature Review</w:t>
      </w:r>
    </w:p>
    <w:p>
      <w:pPr>
        <w:pStyle w:val="Heading2"/>
        <w:keepNext/>
      </w:pPr>
      <w:r>
        <w:rPr>
          <w:rFonts w:ascii="Times New Roman" w:hAnsi="Times New Roman"/>
          <w:b/>
          <w:color w:val="203864"/>
          <w:sz w:val="25"/>
        </w:rPr>
        <w:t>Bounded rationality and the promise of computational support</w:t>
      </w:r>
    </w:p>
    <w:p>
      <w:pPr>
        <w:keepLines w:val="0"/>
        <w:spacing w:line="480" w:lineRule="auto" w:after="0"/>
        <w:ind w:firstLine="432"/>
      </w:pPr>
      <w:r>
        <w:rPr>
          <w:rFonts w:ascii="Times New Roman" w:hAnsi="Times New Roman"/>
          <w:sz w:val="24"/>
        </w:rPr>
        <w:t>Administrative theory starts from the observation that human decision makers satisfice rather than optimise because search and cognition are costly (Simon, 1997). March and Simon (1958) extend this insight to organisations, where routines channel attention and reduce the number of decisions that must be reconsidered from first principles. AI changes the economics of search. A model can process thousands of signals, generate alternatives and apply learned patterns repeatedly. This makes it possible to reconsider decisions more frequently and at greater granularity.</w:t>
      </w:r>
    </w:p>
    <w:p>
      <w:pPr>
        <w:keepLines w:val="0"/>
        <w:spacing w:line="480" w:lineRule="auto" w:after="0"/>
        <w:ind w:firstLine="432"/>
      </w:pPr>
      <w:r>
        <w:rPr>
          <w:rFonts w:ascii="Times New Roman" w:hAnsi="Times New Roman"/>
          <w:sz w:val="24"/>
        </w:rPr>
        <w:t>Evidence from generative-AI studies illustrates the magnitude of this change. Noy and Zhang (2023) found that access to a generative system reduced completion time and improved quality for professional writing tasks, with larger gains among weaker performers. Brynjolfsson et al. (2025) similarly found productivity gains among customer-support workers using a generative AI assistant, with particularly strong benefits for less experienced employees. These results are relevant to management because many managerial tasks - summarising, drafting, diagnosing routine issues and searching organisational knowledge - have similar information-processing components.</w:t>
      </w:r>
    </w:p>
    <w:p>
      <w:pPr>
        <w:keepLines w:val="0"/>
        <w:spacing w:line="480" w:lineRule="auto" w:after="0"/>
        <w:ind w:firstLine="432"/>
      </w:pPr>
      <w:r>
        <w:rPr>
          <w:rFonts w:ascii="Times New Roman" w:hAnsi="Times New Roman"/>
          <w:sz w:val="24"/>
        </w:rPr>
        <w:t>However, gains are not uniform. Dell'Acqua et al. (2023) describe a 'jagged technological frontier': knowledge workers using AI performed substantially better on tasks within the model's capability boundary but could perform worse when they relied on it for tasks outside that boundary. This is a direct challenge to simplistic automation logic. The issue is not only whether AI is good or bad at a job category. Performance can vary within the same role depending on the specific task and context.</w:t>
      </w:r>
    </w:p>
    <w:p>
      <w:pPr>
        <w:pStyle w:val="Heading2"/>
        <w:keepNext/>
      </w:pPr>
      <w:r>
        <w:rPr>
          <w:rFonts w:ascii="Times New Roman" w:hAnsi="Times New Roman"/>
          <w:b/>
          <w:color w:val="203864"/>
          <w:sz w:val="25"/>
        </w:rPr>
        <w:t>AI as organisational rather than individual technology</w:t>
      </w:r>
    </w:p>
    <w:p>
      <w:pPr>
        <w:keepLines w:val="0"/>
        <w:spacing w:line="480" w:lineRule="auto" w:after="0"/>
        <w:ind w:firstLine="432"/>
      </w:pPr>
      <w:r>
        <w:rPr>
          <w:rFonts w:ascii="Times New Roman" w:hAnsi="Times New Roman"/>
          <w:sz w:val="24"/>
        </w:rPr>
        <w:t>The organisational consequences of AI exceed individual productivity. Benbya et al. (2021) identify automation, engagement, insight and innovation as distinct capability areas through which AI affects organisations. These effects interact. A system that automates part of a process can create new data, which generates new insights, which then changes the process itself. This recursive character means that implementation should be treated as organisational redesign rather than software installation.</w:t>
      </w:r>
    </w:p>
    <w:p>
      <w:pPr>
        <w:keepLines w:val="0"/>
        <w:spacing w:line="480" w:lineRule="auto" w:after="0"/>
        <w:ind w:firstLine="432"/>
      </w:pPr>
      <w:r>
        <w:rPr>
          <w:rFonts w:ascii="Times New Roman" w:hAnsi="Times New Roman"/>
          <w:sz w:val="24"/>
        </w:rPr>
        <w:t>Makarius et al. (2020) develop a sociotechnical framework that emphasises cognitive, relational and structural complexity when AI enters an organisation. Employees must learn what the system can do, how they are expected to interact with it and what its presence means for roles and status. Murray et al. (2021) similarly describe forms of conjoined agency between humans and technology. Their framework is useful for management because it shows that technology can assist, arrest, augment or automate human agency; the managerial task is to design which relationship is appropriate.</w:t>
      </w:r>
    </w:p>
    <w:p>
      <w:pPr>
        <w:keepLines w:val="0"/>
        <w:spacing w:line="480" w:lineRule="auto" w:after="0"/>
        <w:ind w:firstLine="432"/>
      </w:pPr>
      <w:r>
        <w:rPr>
          <w:rFonts w:ascii="Times New Roman" w:hAnsi="Times New Roman"/>
          <w:sz w:val="24"/>
        </w:rPr>
        <w:t>Research on AI-enabled decision structures further demonstrates that combinations can vary by task. Shrestha et al. (2019) distinguish full delegation to AI, sequential human-AI arrangements and aggregated human-AI decision making. The choice should depend on factors such as interpretability, speed, search space and replicability. This contingency logic underpins the analysis that follows.</w:t>
      </w:r>
    </w:p>
    <w:p>
      <w:pPr>
        <w:pStyle w:val="Heading1"/>
        <w:keepNext/>
      </w:pPr>
      <w:r>
        <w:rPr>
          <w:rFonts w:ascii="Times New Roman" w:hAnsi="Times New Roman"/>
          <w:b/>
          <w:color w:val="203864"/>
          <w:sz w:val="28"/>
        </w:rPr>
        <w:t>Methodology / Approach</w:t>
      </w:r>
    </w:p>
    <w:p>
      <w:pPr>
        <w:keepLines w:val="0"/>
        <w:spacing w:line="480" w:lineRule="auto" w:after="0"/>
        <w:ind w:firstLine="432"/>
      </w:pPr>
      <w:r>
        <w:rPr>
          <w:rFonts w:ascii="Times New Roman" w:hAnsi="Times New Roman"/>
          <w:sz w:val="24"/>
        </w:rPr>
        <w:t>The report uses a conceptual synthesis supported by empirical studies. Classical decision theory provides the baseline for understanding why administrative functions exist. Peer-reviewed experimental, field and organisational research is then used to identify capabilities and failure modes associated with contemporary AI. Rather than treating all AI as equivalent, the analysis distinguishes predictive systems, optimisation systems and generative systems according to the managerial task they support.</w:t>
      </w:r>
    </w:p>
    <w:p>
      <w:pPr>
        <w:keepLines w:val="0"/>
        <w:spacing w:line="480" w:lineRule="auto" w:after="0"/>
        <w:ind w:firstLine="432"/>
      </w:pPr>
      <w:r>
        <w:rPr>
          <w:rFonts w:ascii="Times New Roman" w:hAnsi="Times New Roman"/>
          <w:sz w:val="24"/>
        </w:rPr>
        <w:t>Each management function is assessed through four criteria: cognitive leverage, cycle-time reduction, coordination effect and governance exposure. Cognitive leverage asks whether AI expands the quality or quantity of information considered. Cycle-time reduction examines speed. Coordination effect considers how roles and interdependencies change. Governance exposure evaluates the consequences of wrong or unchallengeable outputs. The resulting framework is intended to support managerial design decisions rather than to produce a technology ranking.</w:t>
      </w:r>
    </w:p>
    <w:p>
      <w:pPr>
        <w:pStyle w:val="Heading1"/>
        <w:keepNext/>
      </w:pPr>
      <w:r>
        <w:rPr>
          <w:rFonts w:ascii="Times New Roman" w:hAnsi="Times New Roman"/>
          <w:b/>
          <w:color w:val="203864"/>
          <w:sz w:val="28"/>
        </w:rPr>
        <w:t>Findings / Analysis</w:t>
      </w:r>
    </w:p>
    <w:p>
      <w:pPr>
        <w:pStyle w:val="Heading2"/>
        <w:keepNext/>
      </w:pPr>
      <w:r>
        <w:rPr>
          <w:rFonts w:ascii="Times New Roman" w:hAnsi="Times New Roman"/>
          <w:b/>
          <w:color w:val="203864"/>
          <w:sz w:val="25"/>
        </w:rPr>
        <w:t>Planning as structured exploration</w:t>
      </w:r>
    </w:p>
    <w:p>
      <w:pPr>
        <w:keepLines w:val="0"/>
        <w:spacing w:line="480" w:lineRule="auto" w:after="0"/>
        <w:ind w:firstLine="432"/>
      </w:pPr>
      <w:r>
        <w:rPr>
          <w:rFonts w:ascii="Times New Roman" w:hAnsi="Times New Roman"/>
          <w:sz w:val="24"/>
        </w:rPr>
        <w:t>AI changes planning by making exploration cheaper. Predictive models can estimate demand or risk, while generative models can propose alternative scenarios, assumptions and responses. This can move planning away from a single annual forecast toward rolling scenario analysis. The key benefit is not perfect prediction. It is the ability to ask more questions at lower cost. A planning team can test alternative pricing assumptions, supply disruptions or staffing scenarios before committing resources.</w:t>
      </w:r>
    </w:p>
    <w:p>
      <w:pPr>
        <w:keepLines w:val="0"/>
        <w:spacing w:line="480" w:lineRule="auto" w:after="0"/>
        <w:ind w:firstLine="432"/>
      </w:pPr>
      <w:r>
        <w:rPr>
          <w:rFonts w:ascii="Times New Roman" w:hAnsi="Times New Roman"/>
          <w:sz w:val="24"/>
        </w:rPr>
        <w:t>The value of this expanded search is consistent with bounded-rationality theory: when search costs fall, organisations can consider more alternatives before satisficing (Simon, 1997). But more options can also create pseudo-analysis if managers cannot discriminate between plausible and implausible outputs. Dell'Acqua et al. (2023) show why task boundaries matter. Managers should therefore create a 'planning sandbox' in which AI-generated scenarios are labelled by evidence type, uncertainty and decision consequence. High-impact assumptions should be validated independently.</w:t>
      </w:r>
    </w:p>
    <w:p>
      <w:pPr>
        <w:keepLines w:val="0"/>
        <w:spacing w:line="480" w:lineRule="auto" w:after="0"/>
        <w:ind w:firstLine="432"/>
      </w:pPr>
      <w:r>
        <w:rPr>
          <w:rFonts w:ascii="Times New Roman" w:hAnsi="Times New Roman"/>
          <w:sz w:val="24"/>
        </w:rPr>
        <w:t>Planning should also preserve strategic originality. Krakowski et al. (2023) show that AI can change the sources of competitive advantage by creating new human-machine capabilities rather than simply raising everyone's performance equally. If every firm uses similar models on similar data, advantage may shift toward how effectively organisations frame problems, combine proprietary context and learn from deployment. Planning capability therefore moves from producing forecasts to designing better questions and decision experiments.</w:t>
      </w:r>
    </w:p>
    <w:p>
      <w:pPr>
        <w:pStyle w:val="Heading2"/>
        <w:keepNext/>
      </w:pPr>
      <w:r>
        <w:rPr>
          <w:rFonts w:ascii="Times New Roman" w:hAnsi="Times New Roman"/>
          <w:b/>
          <w:color w:val="203864"/>
          <w:sz w:val="25"/>
        </w:rPr>
        <w:t>Organising as orchestration of human-machine work</w:t>
      </w:r>
    </w:p>
    <w:p>
      <w:pPr>
        <w:keepLines w:val="0"/>
        <w:spacing w:line="480" w:lineRule="auto" w:after="0"/>
        <w:ind w:firstLine="432"/>
      </w:pPr>
      <w:r>
        <w:rPr>
          <w:rFonts w:ascii="Times New Roman" w:hAnsi="Times New Roman"/>
          <w:sz w:val="24"/>
        </w:rPr>
        <w:t>Organising becomes a problem of task decomposition. Instead of assigning an entire role to a person or system, managers can decompose workflows into components: information retrieval, drafting, validation, relationship management, exception handling and final authority. Murray et al. (2021) provide a vocabulary for this by distinguishing different forms of conjoined agency. The practical implication is that job design should specify where AI assists and where it may stop or constrain action.</w:t>
      </w:r>
    </w:p>
    <w:p>
      <w:pPr>
        <w:keepLines w:val="0"/>
        <w:spacing w:line="480" w:lineRule="auto" w:after="0"/>
        <w:ind w:firstLine="432"/>
      </w:pPr>
      <w:r>
        <w:rPr>
          <w:rFonts w:ascii="Times New Roman" w:hAnsi="Times New Roman"/>
          <w:sz w:val="24"/>
        </w:rPr>
        <w:t>The productivity evidence also suggests that AI can redistribute expertise. Brynjolfsson et al. (2025) found larger gains for less experienced workers, consistent with the idea that AI can transmit elements of high-performer practice. This can flatten some skill differences and alter span-of-control decisions because supervisors may spend less time answering routine questions. Yet organisations should not infer that expertise is no longer needed. Experienced staff become important as curators of standards, reviewers of exceptions and designers of knowledge bases.</w:t>
      </w:r>
    </w:p>
    <w:p>
      <w:pPr>
        <w:keepLines w:val="0"/>
        <w:spacing w:line="480" w:lineRule="auto" w:after="0"/>
        <w:ind w:firstLine="432"/>
      </w:pPr>
      <w:r>
        <w:rPr>
          <w:rFonts w:ascii="Times New Roman" w:hAnsi="Times New Roman"/>
          <w:sz w:val="24"/>
        </w:rPr>
        <w:t>A disciplined organising model uses explicit task matrices. For each workflow, managers identify what the machine does, what the employee does, what evidence is required, who resolves disagreements and how errors are captured for learning. This converts vague 'AI adoption' into operational design.</w:t>
      </w:r>
    </w:p>
    <w:p>
      <w:pPr>
        <w:pStyle w:val="Heading2"/>
        <w:keepNext/>
      </w:pPr>
      <w:r>
        <w:rPr>
          <w:rFonts w:ascii="Times New Roman" w:hAnsi="Times New Roman"/>
          <w:b/>
          <w:color w:val="203864"/>
          <w:sz w:val="25"/>
        </w:rPr>
        <w:t>Leading under conditions of accelerated change</w:t>
      </w:r>
    </w:p>
    <w:p>
      <w:pPr>
        <w:keepLines w:val="0"/>
        <w:spacing w:line="480" w:lineRule="auto" w:after="0"/>
        <w:ind w:firstLine="432"/>
      </w:pPr>
      <w:r>
        <w:rPr>
          <w:rFonts w:ascii="Times New Roman" w:hAnsi="Times New Roman"/>
          <w:sz w:val="24"/>
        </w:rPr>
        <w:t>Leading is affected less by AI's ability to generate text than by the organisational uncertainty surrounding its use. Employees need credible answers about how tools will affect expectations, skills, autonomy and evaluation. Makarius et al. (2020) argue that AI adoption requires socialisation processes that help employees understand the technology and develop effective ways of working with it. Managers therefore need to lead the transition, not merely announce a tool.</w:t>
      </w:r>
    </w:p>
    <w:p>
      <w:pPr>
        <w:keepLines w:val="0"/>
        <w:spacing w:line="480" w:lineRule="auto" w:after="0"/>
        <w:ind w:firstLine="432"/>
      </w:pPr>
      <w:r>
        <w:rPr>
          <w:rFonts w:ascii="Times New Roman" w:hAnsi="Times New Roman"/>
          <w:sz w:val="24"/>
        </w:rPr>
        <w:t>Generative AI can assist communication by producing first drafts, summaries and personalised guidance. Used carefully, this can free time for coaching and decision making. Used carelessly, it can produce generic leadership at scale. Employees can usually distinguish between a message that reflects genuine managerial attention and one that appears automated. The leadership principle should therefore be 'automate preparation, not presence.' AI may help analyse themes from feedback or draft a briefing, but sensitive communication should retain human ownership.</w:t>
      </w:r>
    </w:p>
    <w:p>
      <w:pPr>
        <w:keepLines w:val="0"/>
        <w:spacing w:line="480" w:lineRule="auto" w:after="0"/>
        <w:ind w:firstLine="432"/>
      </w:pPr>
      <w:r>
        <w:rPr>
          <w:rFonts w:ascii="Times New Roman" w:hAnsi="Times New Roman"/>
          <w:sz w:val="24"/>
        </w:rPr>
        <w:t>Leadership also requires psychological permission to challenge the machine. If employees believe that an AI score is effectively final, they will stop raising contextual exceptions. Shrestha et al. (2019) show that different decision structures are possible; leaders must make the chosen structure visible. A sequential arrangement, for example, should specify whether AI advises the manager or the manager verifies the AI. The direction of review changes behaviour and accountability.</w:t>
      </w:r>
    </w:p>
    <w:p>
      <w:pPr>
        <w:pStyle w:val="Heading2"/>
        <w:keepNext/>
      </w:pPr>
      <w:r>
        <w:rPr>
          <w:rFonts w:ascii="Times New Roman" w:hAnsi="Times New Roman"/>
          <w:b/>
          <w:color w:val="203864"/>
          <w:sz w:val="25"/>
        </w:rPr>
        <w:t>Controlling as rapid feedback and model supervision</w:t>
      </w:r>
    </w:p>
    <w:p>
      <w:pPr>
        <w:keepLines w:val="0"/>
        <w:spacing w:line="480" w:lineRule="auto" w:after="0"/>
        <w:ind w:firstLine="432"/>
      </w:pPr>
      <w:r>
        <w:rPr>
          <w:rFonts w:ascii="Times New Roman" w:hAnsi="Times New Roman"/>
          <w:sz w:val="24"/>
        </w:rPr>
        <w:t>AI can dramatically shorten feedback loops. Instead of waiting for month-end reports, managers can receive alerts when performance patterns deviate from expectations. Generative systems can also explain patterns in accessible language and propose diagnostic questions. This enables earlier intervention and can support experimentation: small process changes can be monitored quickly and adjusted.</w:t>
      </w:r>
    </w:p>
    <w:p>
      <w:pPr>
        <w:keepLines w:val="0"/>
        <w:spacing w:line="480" w:lineRule="auto" w:after="0"/>
        <w:ind w:firstLine="432"/>
      </w:pPr>
      <w:r>
        <w:rPr>
          <w:rFonts w:ascii="Times New Roman" w:hAnsi="Times New Roman"/>
          <w:sz w:val="24"/>
        </w:rPr>
        <w:t>However, faster feedback creates a temptation to over-control. Continuous metrics can encourage local optimisation, especially when workers believe every observable behaviour is scored. Administrative control should therefore distinguish operational telemetry from performance judgement. Not every signal should become a target. March and Simon's (1958) attention perspective remains relevant: organisational systems direct attention, and excessive indicators can distract from mission-critical outcomes.</w:t>
      </w:r>
    </w:p>
    <w:p>
      <w:pPr>
        <w:keepLines w:val="0"/>
        <w:spacing w:line="480" w:lineRule="auto" w:after="0"/>
        <w:ind w:firstLine="432"/>
      </w:pPr>
      <w:r>
        <w:rPr>
          <w:rFonts w:ascii="Times New Roman" w:hAnsi="Times New Roman"/>
          <w:sz w:val="24"/>
        </w:rPr>
        <w:t>AI-enabled control also requires model controls. Organisations should record model versions, test changes before deployment, monitor error distributions and investigate unexpected shifts. Benbya et al. (2021) emphasise that AI introduces distinctive organisational tensions; one is that systems evolve and can affect work in ways not anticipated at launch. Control must therefore apply recursively to both organisational performance and the AI infrastructure that helps measure it.</w:t>
      </w:r>
    </w:p>
    <w:p>
      <w:pPr>
        <w:pStyle w:val="Heading2"/>
        <w:keepNext/>
      </w:pPr>
      <w:r>
        <w:rPr>
          <w:rFonts w:ascii="Times New Roman" w:hAnsi="Times New Roman"/>
          <w:b/>
          <w:color w:val="203864"/>
          <w:sz w:val="25"/>
        </w:rPr>
        <w:t>Integrated management cycle</w:t>
      </w:r>
    </w:p>
    <w:p>
      <w:pPr>
        <w:keepLines w:val="0"/>
        <w:spacing w:line="480" w:lineRule="auto" w:after="0"/>
        <w:ind w:firstLine="432"/>
      </w:pPr>
      <w:r>
        <w:rPr>
          <w:rFonts w:ascii="Times New Roman" w:hAnsi="Times New Roman"/>
          <w:sz w:val="24"/>
        </w:rPr>
        <w:t>The greatest change occurs when the four functions are connected. An AI system may detect a demand change (control), propose an updated forecast (planning), trigger staff reallocation (organising) and generate communication to affected teams (leading) within a short period. This integrated loop can increase responsiveness, but it also concentrates risk. A flawed signal can propagate through multiple functions before a human notices.</w:t>
      </w:r>
    </w:p>
    <w:p>
      <w:pPr>
        <w:keepLines w:val="0"/>
        <w:spacing w:line="480" w:lineRule="auto" w:after="0"/>
        <w:ind w:firstLine="432"/>
      </w:pPr>
      <w:r>
        <w:rPr>
          <w:rFonts w:ascii="Times New Roman" w:hAnsi="Times New Roman"/>
          <w:sz w:val="24"/>
        </w:rPr>
        <w:t>Adaptive administration therefore needs deliberate friction at consequential points. Low-risk operational changes can flow automatically within predefined boundaries, while changes that affect strategy, employment conditions, safety, customer rights or large financial commitments should trigger human review. The objective is not to slow the entire system but to place checkpoints where the cost of error is asymmetric.</w:t>
      </w:r>
    </w:p>
    <w:p>
      <w:pPr>
        <w:keepLines w:val="0"/>
        <w:spacing w:line="480" w:lineRule="auto" w:after="0"/>
        <w:ind w:firstLine="432"/>
      </w:pPr>
      <w:r>
        <w:rPr>
          <w:rFonts w:ascii="Times New Roman" w:hAnsi="Times New Roman"/>
          <w:sz w:val="24"/>
        </w:rPr>
        <w:t>The most robust design also includes post-decision learning. Decision logs should record the AI recommendation, the human action, the reasons for overrides and the eventual outcome. Over time, these records reveal where the model is valuable, where humans add context and where both fail. Such learning converts AI from a static tool into a managed organisational capability.</w:t>
      </w:r>
    </w:p>
    <w:p>
      <w:pPr>
        <w:pStyle w:val="Heading2"/>
        <w:keepNext/>
      </w:pPr>
      <w:r>
        <w:rPr>
          <w:rFonts w:ascii="Times New Roman" w:hAnsi="Times New Roman"/>
          <w:b/>
          <w:color w:val="203864"/>
          <w:sz w:val="25"/>
        </w:rPr>
        <w:t>From productivity gains to organisational learning</w:t>
      </w:r>
    </w:p>
    <w:p>
      <w:pPr>
        <w:keepLines w:val="0"/>
        <w:spacing w:line="480" w:lineRule="auto" w:after="0"/>
        <w:ind w:firstLine="432"/>
      </w:pPr>
      <w:r>
        <w:rPr>
          <w:rFonts w:ascii="Times New Roman" w:hAnsi="Times New Roman"/>
          <w:sz w:val="24"/>
        </w:rPr>
        <w:t>The evidence on generative AI has an important managerial implication: productivity improvement should be treated as a starting point rather than the final business case. Noy and Zhang (2023) and Brynjolfsson et al. (2025) show gains in selected knowledge-work settings, but those gains emerge from specific tasks, user populations and workflow designs. Managers should resist converting an average task-level effect into a universal staffing assumption. A more useful approach is to identify which components of a role are accelerated, what new review work is created and whether saved time is converted into higher-value activity or merely absorbed by greater output expectations.</w:t>
      </w:r>
    </w:p>
    <w:p>
      <w:pPr>
        <w:keepLines w:val="0"/>
        <w:spacing w:line="480" w:lineRule="auto" w:after="0"/>
        <w:ind w:firstLine="432"/>
      </w:pPr>
      <w:r>
        <w:rPr>
          <w:rFonts w:ascii="Times New Roman" w:hAnsi="Times New Roman"/>
          <w:sz w:val="24"/>
        </w:rPr>
        <w:t>This issue is especially important because capability boundaries can move. Dell'Acqua et al. (2023) show that users can perform worse when they apply AI beyond its effective frontier. A static training session is therefore insufficient. Organisations need a learning system that continually updates guidance as models, tasks and business conditions change. Teams can maintain a library of validated use cases, known failure patterns and examples of strong human overrides. Monthly or quarterly reviews of this library can convert individual experience into organisational knowledge and reduce repeated errors.</w:t>
      </w:r>
    </w:p>
    <w:p>
      <w:pPr>
        <w:keepLines w:val="0"/>
        <w:spacing w:line="480" w:lineRule="auto" w:after="0"/>
        <w:ind w:firstLine="432"/>
      </w:pPr>
      <w:r>
        <w:rPr>
          <w:rFonts w:ascii="Times New Roman" w:hAnsi="Times New Roman"/>
          <w:sz w:val="24"/>
        </w:rPr>
        <w:t>Decision logs are a practical mechanism for this learning. For consequential decisions, the log can capture the system's recommendation, confidence or evidence, the human action, reasons for any override and the eventual outcome. This information supports three forms of improvement. First, it reveals where AI consistently adds value. Second, it identifies situations in which human context improves the recommendation. Third, it exposes cases where both parties make systematic mistakes. Shrestha et al. (2019) show that different human-AI decision structures are appropriate under different conditions; decision logs provide evidence for redesigning those structures over time.</w:t>
      </w:r>
    </w:p>
    <w:p>
      <w:pPr>
        <w:keepLines w:val="0"/>
        <w:spacing w:line="480" w:lineRule="auto" w:after="0"/>
        <w:ind w:firstLine="432"/>
      </w:pPr>
      <w:r>
        <w:rPr>
          <w:rFonts w:ascii="Times New Roman" w:hAnsi="Times New Roman"/>
          <w:sz w:val="24"/>
        </w:rPr>
        <w:t>Managers should also consider how AI changes the distribution of expertise. Brynjolfsson et al. (2025) report stronger productivity effects for less experienced workers in their field setting, suggesting that systems can diffuse elements of expert practice. This can support onboarding and reduce routine supervisory demand. However, it also raises a development question: if novices receive polished answers before they understand underlying principles, they may become efficient without becoming expert. Organisations should pair AI assistance with explanation, reflection and progressively more difficult independent tasks.</w:t>
      </w:r>
    </w:p>
    <w:p>
      <w:pPr>
        <w:keepLines w:val="0"/>
        <w:spacing w:line="480" w:lineRule="auto" w:after="0"/>
        <w:ind w:firstLine="432"/>
      </w:pPr>
      <w:r>
        <w:rPr>
          <w:rFonts w:ascii="Times New Roman" w:hAnsi="Times New Roman"/>
          <w:sz w:val="24"/>
        </w:rPr>
        <w:t>The adaptive administration model therefore treats implementation as a sequence of bounded experiments. A team selects a task, defines performance and risk measures, tests the system with a limited group, records exceptions, and expands only after evidence supports the next stage. This approach is slower than unrestricted roll-out but faster than attempting to specify every rule in advance. It aligns with bounded rationality because managers acknowledge uncertainty and create processes that improve decisions through feedback rather than pretending that initial design is complete.</w:t>
      </w:r>
    </w:p>
    <w:p>
      <w:pPr>
        <w:keepNext/>
        <w:spacing w:before="120" w:after="100"/>
      </w:pPr>
      <w:r>
        <w:rPr>
          <w:rFonts w:ascii="Times New Roman" w:hAnsi="Times New Roman"/>
          <w:b/>
          <w:i/>
          <w:color w:val="203864"/>
          <w:sz w:val="21"/>
        </w:rPr>
        <w:t>Table 1. Adaptive administration: task allocation by management function</w:t>
      </w:r>
    </w:p>
    <w:tbl>
      <w:tblPr>
        <w:tblW w:type="auto" w:w="0"/>
        <w:jc w:val="center"/>
        <w:tblLayout w:type="fixed"/>
        <w:tblLook w:firstColumn="1" w:firstRow="1" w:lastColumn="0" w:lastRow="0" w:noHBand="0" w:noVBand="1" w:val="04A0"/>
      </w:tblPr>
      <w:tblGrid>
        <w:gridCol w:w="1800"/>
        <w:gridCol w:w="3528"/>
        <w:gridCol w:w="4032"/>
      </w:tblGrid>
      <w:tr>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Management function</w:t>
            </w:r>
          </w:p>
        </w:tc>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High-value AI role</w:t>
            </w:r>
          </w:p>
        </w:tc>
        <w:tc>
          <w:tcPr>
            <w:tcW w:type="dxa" w:w="3120"/>
            <w:shd w:fill="203864"/>
            <w:tcMar>
              <w:top w:w="100" w:type="dxa"/>
              <w:start w:w="100" w:type="dxa"/>
              <w:bottom w:w="100" w:type="dxa"/>
              <w:end w:w="100" w:type="dxa"/>
            </w:tcMar>
            <w:vAlign w:val="center"/>
          </w:tcPr>
          <w:p>
            <w:pPr>
              <w:spacing w:line="240" w:lineRule="auto" w:after="0"/>
              <w:jc w:val="center"/>
            </w:pPr>
            <w:r>
              <w:rPr>
                <w:rFonts w:ascii="Times New Roman" w:hAnsi="Times New Roman"/>
                <w:b/>
                <w:color w:val="FFFFFF"/>
                <w:sz w:val="19"/>
              </w:rPr>
              <w:t>Managerial checkpoint</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Planning</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Generate scenarios, forecasts and alternatives</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Validate assumptions and define strategic choice criteria</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Organising</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Decompose tasks, match resources, route work</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Set task boundaries, ownership and exception paths</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Leading</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Prepare summaries and communication drafts</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Own sensitive communication and invite challenge</w:t>
            </w:r>
          </w:p>
        </w:tc>
      </w:tr>
      <w:tr>
        <w:tc>
          <w:tcPr>
            <w:tcW w:type="dxa" w:w="1800"/>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Controlling</w:t>
            </w:r>
          </w:p>
        </w:tc>
        <w:tc>
          <w:tcPr>
            <w:tcW w:type="dxa" w:w="3528"/>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Detect anomalies and shorten feedback loops</w:t>
            </w:r>
          </w:p>
        </w:tc>
        <w:tc>
          <w:tcPr>
            <w:tcW w:type="dxa" w:w="4032"/>
            <w:tcMar>
              <w:top w:w="95" w:type="dxa"/>
              <w:start w:w="95" w:type="dxa"/>
              <w:bottom w:w="95" w:type="dxa"/>
              <w:end w:w="95" w:type="dxa"/>
            </w:tcMar>
            <w:vAlign w:val="center"/>
          </w:tcPr>
          <w:p>
            <w:pPr>
              <w:spacing w:line="252" w:lineRule="auto" w:after="0"/>
              <w:ind w:firstLine="0"/>
              <w:jc w:val="left"/>
            </w:pPr>
            <w:r>
              <w:rPr>
                <w:rFonts w:ascii="Times New Roman" w:hAnsi="Times New Roman"/>
                <w:sz w:val="18"/>
              </w:rPr>
              <w:t>Separate signals from judgement and supervise model drift</w:t>
            </w:r>
          </w:p>
        </w:tc>
      </w:tr>
    </w:tbl>
    <w:p>
      <w:pPr>
        <w:spacing w:after="0"/>
      </w:pPr>
    </w:p>
    <w:p>
      <w:pPr>
        <w:pStyle w:val="Heading1"/>
        <w:keepNext/>
      </w:pPr>
      <w:r>
        <w:rPr>
          <w:rFonts w:ascii="Times New Roman" w:hAnsi="Times New Roman"/>
          <w:b/>
          <w:color w:val="203864"/>
          <w:sz w:val="28"/>
        </w:rPr>
        <w:t>Discussion</w:t>
      </w:r>
    </w:p>
    <w:p>
      <w:pPr>
        <w:keepLines w:val="0"/>
        <w:spacing w:line="480" w:lineRule="auto" w:after="0"/>
        <w:ind w:firstLine="432"/>
      </w:pPr>
      <w:r>
        <w:rPr>
          <w:rFonts w:ascii="Times New Roman" w:hAnsi="Times New Roman"/>
          <w:sz w:val="24"/>
        </w:rPr>
        <w:t>The findings reinforce a distinction between computational efficiency and managerial effectiveness. AI can make individual tasks faster, but effectiveness depends on how those tasks are assembled into a coherent decision system. Noy and Zhang (2023) and Brynjolfsson et al. (2025) demonstrate that productivity gains are real in selected contexts, yet Dell'Acqua et al. (2023) shows that capability boundaries can be uneven. Managers need to know not only average performance but also the conditions under which the system fails.</w:t>
      </w:r>
    </w:p>
    <w:p>
      <w:pPr>
        <w:keepLines w:val="0"/>
        <w:spacing w:line="480" w:lineRule="auto" w:after="0"/>
        <w:ind w:firstLine="432"/>
      </w:pPr>
      <w:r>
        <w:rPr>
          <w:rFonts w:ascii="Times New Roman" w:hAnsi="Times New Roman"/>
          <w:sz w:val="24"/>
        </w:rPr>
        <w:t>A second implication is that management roles will be redesigned around problem framing, verification and learning. When drafting and information search become cheaper, scarce managerial attention should shift toward defining good questions, setting boundary conditions and handling exceptions. This is consistent with the organisational perspective of Benbya et al. (2021): AI affects capabilities and structures, not merely task speed.</w:t>
      </w:r>
    </w:p>
    <w:p>
      <w:pPr>
        <w:keepLines w:val="0"/>
        <w:spacing w:line="480" w:lineRule="auto" w:after="0"/>
        <w:ind w:firstLine="432"/>
      </w:pPr>
      <w:r>
        <w:rPr>
          <w:rFonts w:ascii="Times New Roman" w:hAnsi="Times New Roman"/>
          <w:sz w:val="24"/>
        </w:rPr>
        <w:t>A third implication is that human oversight should be treated as an operational resource with capacity limits. Requiring approval for every output can create rubber-stamping if reviewers are overloaded. Oversight should be risk-tiered, supported by meaningful evidence and staffed by people with enough expertise to disagree. This is how organisations avoid replacing bounded human rationality with bounded machine rationality plus ceremonial human approval.</w:t>
      </w:r>
    </w:p>
    <w:p>
      <w:pPr>
        <w:pStyle w:val="Heading2"/>
        <w:keepNext/>
      </w:pPr>
      <w:r>
        <w:rPr>
          <w:rFonts w:ascii="Times New Roman" w:hAnsi="Times New Roman"/>
          <w:b/>
          <w:color w:val="203864"/>
          <w:sz w:val="25"/>
        </w:rPr>
        <w:t>Managerial metrics for adaptive administration</w:t>
      </w:r>
    </w:p>
    <w:p>
      <w:pPr>
        <w:keepLines w:val="0"/>
        <w:spacing w:line="480" w:lineRule="auto" w:after="0"/>
        <w:ind w:firstLine="432"/>
      </w:pPr>
      <w:r>
        <w:rPr>
          <w:rFonts w:ascii="Times New Roman" w:hAnsi="Times New Roman"/>
          <w:sz w:val="24"/>
        </w:rPr>
        <w:t>An adaptive approach also changes what managers should measure. Traditional implementation metrics such as licence adoption or number of automated tasks say little about decision quality. A stronger scorecard compares baseline and AI-supported cycle time, error or rework rates, the frequency and quality of human overrides, user confidence, and downstream business outcomes. These measures should be interpreted together. A fall in cycle time accompanied by rising corrections, for example, indicates that speed has been purchased at the expense of reliability. Conversely, a temporary increase in overrides may be healthy during early deployment because employees are actively testing boundaries rather than accepting outputs passively.</w:t>
      </w:r>
    </w:p>
    <w:p>
      <w:pPr>
        <w:keepLines w:val="0"/>
        <w:spacing w:line="480" w:lineRule="auto" w:after="0"/>
        <w:ind w:firstLine="432"/>
      </w:pPr>
      <w:r>
        <w:rPr>
          <w:rFonts w:ascii="Times New Roman" w:hAnsi="Times New Roman"/>
          <w:sz w:val="24"/>
        </w:rPr>
        <w:t>The scorecard should include learning indicators. Managers can track how quickly recurring failure patterns are identified, whether updated guidance reduces repeated mistakes, and whether novice users improve their ability to detect unsuitable outputs. This approach converts governance from a static approval gate into an improvement system. It is consistent with Makarius et al. (2020), who emphasise that successful AI integration involves cognitive, relational and structural adaptation. The ultimate test is whether the organisation becomes better at making and revising decisions, not whether employees simply use the tool more often.</w:t>
      </w:r>
    </w:p>
    <w:p>
      <w:pPr>
        <w:pStyle w:val="Heading1"/>
        <w:keepNext/>
      </w:pPr>
      <w:r>
        <w:rPr>
          <w:rFonts w:ascii="Times New Roman" w:hAnsi="Times New Roman"/>
          <w:b/>
          <w:color w:val="203864"/>
          <w:sz w:val="28"/>
        </w:rPr>
        <w:t>Conclusion and Recommendations</w:t>
      </w:r>
    </w:p>
    <w:p>
      <w:pPr>
        <w:keepLines w:val="0"/>
        <w:spacing w:line="480" w:lineRule="auto" w:after="0"/>
        <w:ind w:firstLine="432"/>
      </w:pPr>
      <w:r>
        <w:rPr>
          <w:rFonts w:ascii="Times New Roman" w:hAnsi="Times New Roman"/>
          <w:sz w:val="24"/>
        </w:rPr>
        <w:t>AI is changing the management cycle by expanding search, accelerating coordination and making feedback more continuous. The classical functions remain relevant because organisations still need direction, structure, commitment and correction. What changes is the distribution of cognitive labour within those functions. Machines can perform more analytical and generative work, while managers increasingly define objectives, specify boundaries, interpret exceptions and remain accountable for consequences.</w:t>
      </w:r>
    </w:p>
    <w:p>
      <w:pPr>
        <w:keepLines w:val="0"/>
        <w:spacing w:line="480" w:lineRule="auto" w:after="0"/>
        <w:ind w:firstLine="432"/>
      </w:pPr>
      <w:r>
        <w:rPr>
          <w:rFonts w:ascii="Times New Roman" w:hAnsi="Times New Roman"/>
          <w:sz w:val="24"/>
        </w:rPr>
        <w:t>Five recommendations follow. First, decompose workflows before automating them so the organisation knows exactly which tasks are delegated and which remain human. Second, establish capability boundaries using controlled testing; do not generalise from success on one task to an entire role. Third, use risk-tiered decision rights so reversible, low-impact actions can be faster while high-impact decisions receive stronger review. Fourth, maintain decision logs that capture recommendations, overrides and outcomes to support organisational learning. Fifth, redesign managerial development around AI literacy, verification, coaching and systems thinking rather than assuming that technical tools will compensate for weak judgement.</w:t>
      </w:r>
    </w:p>
    <w:p>
      <w:pPr>
        <w:keepLines w:val="0"/>
        <w:spacing w:line="480" w:lineRule="auto" w:after="0"/>
        <w:ind w:firstLine="432"/>
      </w:pPr>
      <w:r>
        <w:rPr>
          <w:rFonts w:ascii="Times New Roman" w:hAnsi="Times New Roman"/>
          <w:sz w:val="24"/>
        </w:rPr>
        <w:t>The practical aim is adaptive administration: a management system that gains speed without becoming brittle. AI should expand the organisation's capacity to sense and respond while human managers retain the authority and competence to challenge the system when evidence, ethics or context demand it.</w:t>
      </w:r>
    </w:p>
    <w:p>
      <w:pPr>
        <w:pStyle w:val="Heading1"/>
        <w:keepNext/>
      </w:pPr>
      <w:r>
        <w:rPr>
          <w:rFonts w:ascii="Times New Roman" w:hAnsi="Times New Roman"/>
          <w:b/>
          <w:color w:val="203864"/>
          <w:sz w:val="28"/>
        </w:rPr>
        <w:t>References</w:t>
      </w:r>
    </w:p>
    <w:p>
      <w:pPr>
        <w:spacing w:line="480" w:lineRule="auto" w:after="0"/>
        <w:ind w:left="432" w:hanging="432"/>
      </w:pPr>
      <w:r>
        <w:rPr>
          <w:rFonts w:ascii="Times New Roman" w:hAnsi="Times New Roman"/>
          <w:sz w:val="23"/>
        </w:rPr>
        <w:t>Benbya, H., Pachidi, S., &amp; Jarvenpaa, S. (2021). Special issue editorial: Artificial intelligence in organizations: Implications for information systems research. Journal of the Association for Information Systems, 22(2), 281-303. https://doi.org/10.17705/1jais.00662</w:t>
      </w:r>
    </w:p>
    <w:p>
      <w:pPr>
        <w:spacing w:line="480" w:lineRule="auto" w:after="0"/>
        <w:ind w:left="432" w:hanging="432"/>
      </w:pPr>
      <w:r>
        <w:rPr>
          <w:rFonts w:ascii="Times New Roman" w:hAnsi="Times New Roman"/>
          <w:sz w:val="23"/>
        </w:rPr>
        <w:t>Brynjolfsson, E., Li, D., &amp; Raymond, L. (2025). Generative AI at work. The Quarterly Journal of Economics, 140(2), 889-942. https://doi.org/10.1093/qje/qjae044</w:t>
      </w:r>
    </w:p>
    <w:p>
      <w:pPr>
        <w:spacing w:line="480" w:lineRule="auto" w:after="0"/>
        <w:ind w:left="432" w:hanging="432"/>
      </w:pPr>
      <w:r>
        <w:rPr>
          <w:rFonts w:ascii="Times New Roman" w:hAnsi="Times New Roman"/>
          <w:sz w:val="23"/>
        </w:rPr>
        <w:t>Dell'Acqua, F., McFowland, E., III, Mollick, E. R., Lifshitz-Assaf, H., Kellogg, K. C., Rajendran, S., Krayer, L., Candelon, F., &amp; Lakhani, K. R. (2023). Navigating the jagged technological frontier: Field experimental evidence of the effects of AI on knowledge worker productivity and quality (Harvard Business School Working Paper No. 24-013). https://doi.org/10.2139/ssrn.4573321</w:t>
      </w:r>
    </w:p>
    <w:p>
      <w:pPr>
        <w:spacing w:line="480" w:lineRule="auto" w:after="0"/>
        <w:ind w:left="432" w:hanging="432"/>
      </w:pPr>
      <w:r>
        <w:rPr>
          <w:rFonts w:ascii="Times New Roman" w:hAnsi="Times New Roman"/>
          <w:sz w:val="23"/>
        </w:rPr>
        <w:t>Krakowski, S., Luger, J., &amp; Raisch, S. (2023). Artificial intelligence and the changing sources of competitive advantage. Strategic Management Journal, 44(6), 1425-1452. https://doi.org/10.1002/smj.3387</w:t>
      </w:r>
    </w:p>
    <w:p>
      <w:pPr>
        <w:spacing w:line="480" w:lineRule="auto" w:after="0"/>
        <w:ind w:left="432" w:hanging="432"/>
      </w:pPr>
      <w:r>
        <w:rPr>
          <w:rFonts w:ascii="Times New Roman" w:hAnsi="Times New Roman"/>
          <w:sz w:val="23"/>
        </w:rPr>
        <w:t>Makarius, E. E., Mukherjee, D., Fox, J. D., &amp; Fox, A. K. (2020). Rising with the machines: A sociotechnical framework for bringing artificial intelligence into the organization. Journal of Business Research, 120, 262-273. https://doi.org/10.1016/j.jbusres.2020.07.045</w:t>
      </w:r>
    </w:p>
    <w:p>
      <w:pPr>
        <w:spacing w:line="480" w:lineRule="auto" w:after="0"/>
        <w:ind w:left="432" w:hanging="432"/>
      </w:pPr>
      <w:r>
        <w:rPr>
          <w:rFonts w:ascii="Times New Roman" w:hAnsi="Times New Roman"/>
          <w:sz w:val="23"/>
        </w:rPr>
        <w:t>March, J. G., &amp; Simon, H. A. (1958). Organizations. Wiley.</w:t>
      </w:r>
    </w:p>
    <w:p>
      <w:pPr>
        <w:spacing w:line="480" w:lineRule="auto" w:after="0"/>
        <w:ind w:left="432" w:hanging="432"/>
      </w:pPr>
      <w:r>
        <w:rPr>
          <w:rFonts w:ascii="Times New Roman" w:hAnsi="Times New Roman"/>
          <w:sz w:val="23"/>
        </w:rPr>
        <w:t>Murray, A., Rhymer, J., &amp; Sirmon, D. G. (2021). Humans and technology: Forms of conjoined agency in organizations. Academy of Management Review, 46(3), 552-571. https://doi.org/10.5465/amr.2019.0186</w:t>
      </w:r>
    </w:p>
    <w:p>
      <w:pPr>
        <w:spacing w:line="480" w:lineRule="auto" w:after="0"/>
        <w:ind w:left="432" w:hanging="432"/>
      </w:pPr>
      <w:r>
        <w:rPr>
          <w:rFonts w:ascii="Times New Roman" w:hAnsi="Times New Roman"/>
          <w:sz w:val="23"/>
        </w:rPr>
        <w:t>Noy, S., &amp; Zhang, W. (2023). Experimental evidence on the productivity effects of generative artificial intelligence. Science, 381(6654), 187-192. https://doi.org/10.1126/science.adh2586</w:t>
      </w:r>
    </w:p>
    <w:p>
      <w:pPr>
        <w:spacing w:line="480" w:lineRule="auto" w:after="0"/>
        <w:ind w:left="432" w:hanging="432"/>
      </w:pPr>
      <w:r>
        <w:rPr>
          <w:rFonts w:ascii="Times New Roman" w:hAnsi="Times New Roman"/>
          <w:sz w:val="23"/>
        </w:rPr>
        <w:t>Shrestha, Y. R., Ben-Menahem, S. M., &amp; von Krogh, G. (2019). Organizational decision-making structures in the age of artificial intelligence. California Management Review, 61(4), 66-83. https://doi.org/10.1177/0008125619862257</w:t>
      </w:r>
    </w:p>
    <w:p>
      <w:pPr>
        <w:spacing w:line="480" w:lineRule="auto" w:after="0"/>
        <w:ind w:left="432" w:hanging="432"/>
      </w:pPr>
      <w:r>
        <w:rPr>
          <w:rFonts w:ascii="Times New Roman" w:hAnsi="Times New Roman"/>
          <w:sz w:val="23"/>
        </w:rPr>
        <w:t>Simon, H. A. (1997). Administrative behavior: A study of decision-making processes in administrative organizations (4th ed.). Free Press.</w:t>
      </w:r>
    </w:p>
    <w:p>
      <w:pPr>
        <w:pStyle w:val="Heading1"/>
        <w:keepNext/>
      </w:pPr>
      <w:r>
        <w:rPr>
          <w:rFonts w:ascii="Times New Roman" w:hAnsi="Times New Roman"/>
          <w:b/>
          <w:color w:val="203864"/>
          <w:sz w:val="28"/>
        </w:rPr>
        <w:t>Appendix A: Managerial Implementation Checklist</w:t>
      </w:r>
    </w:p>
    <w:p>
      <w:pPr>
        <w:pStyle w:val="ListBullet"/>
        <w:spacing w:line="360" w:lineRule="auto" w:after="60"/>
        <w:ind w:firstLine="0"/>
      </w:pPr>
      <w:r>
        <w:rPr>
          <w:rFonts w:ascii="Times New Roman" w:hAnsi="Times New Roman"/>
          <w:sz w:val="22"/>
        </w:rPr>
        <w:t>Define the decision or people/process outcome before choosing the AI tool.</w:t>
      </w:r>
    </w:p>
    <w:p>
      <w:pPr>
        <w:pStyle w:val="ListBullet"/>
        <w:spacing w:line="360" w:lineRule="auto" w:after="60"/>
        <w:ind w:firstLine="0"/>
      </w:pPr>
      <w:r>
        <w:rPr>
          <w:rFonts w:ascii="Times New Roman" w:hAnsi="Times New Roman"/>
          <w:sz w:val="22"/>
        </w:rPr>
        <w:t>Name the accountable business owner and the technical/model owner.</w:t>
      </w:r>
    </w:p>
    <w:p>
      <w:pPr>
        <w:pStyle w:val="ListBullet"/>
        <w:spacing w:line="360" w:lineRule="auto" w:after="60"/>
        <w:ind w:firstLine="0"/>
      </w:pPr>
      <w:r>
        <w:rPr>
          <w:rFonts w:ascii="Times New Roman" w:hAnsi="Times New Roman"/>
          <w:sz w:val="22"/>
        </w:rPr>
        <w:t>Document data sources, limitations, affected stakeholders and expected error modes.</w:t>
      </w:r>
    </w:p>
    <w:p>
      <w:pPr>
        <w:pStyle w:val="ListBullet"/>
        <w:spacing w:line="360" w:lineRule="auto" w:after="60"/>
        <w:ind w:firstLine="0"/>
      </w:pPr>
      <w:r>
        <w:rPr>
          <w:rFonts w:ascii="Times New Roman" w:hAnsi="Times New Roman"/>
          <w:sz w:val="22"/>
        </w:rPr>
        <w:t>Specify which outputs are advisory, which are automated and which require human approval.</w:t>
      </w:r>
    </w:p>
    <w:p>
      <w:pPr>
        <w:pStyle w:val="ListBullet"/>
        <w:spacing w:line="360" w:lineRule="auto" w:after="60"/>
        <w:ind w:firstLine="0"/>
      </w:pPr>
      <w:r>
        <w:rPr>
          <w:rFonts w:ascii="Times New Roman" w:hAnsi="Times New Roman"/>
          <w:sz w:val="22"/>
        </w:rPr>
        <w:t>Create an escalation and appeal route for unusual or consequential cases.</w:t>
      </w:r>
    </w:p>
    <w:p>
      <w:pPr>
        <w:pStyle w:val="ListBullet"/>
        <w:spacing w:line="360" w:lineRule="auto" w:after="60"/>
        <w:ind w:firstLine="0"/>
      </w:pPr>
      <w:r>
        <w:rPr>
          <w:rFonts w:ascii="Times New Roman" w:hAnsi="Times New Roman"/>
          <w:sz w:val="22"/>
        </w:rPr>
        <w:t>Monitor technical performance together with behavioural, fairness and trust indicators.</w:t>
      </w:r>
    </w:p>
    <w:p>
      <w:pPr>
        <w:pStyle w:val="ListBullet"/>
        <w:spacing w:line="360" w:lineRule="auto" w:after="60"/>
        <w:ind w:firstLine="0"/>
      </w:pPr>
      <w:r>
        <w:rPr>
          <w:rFonts w:ascii="Times New Roman" w:hAnsi="Times New Roman"/>
          <w:sz w:val="22"/>
        </w:rPr>
        <w:t>Review the system periodically and retire or redesign it when assumptions no longer hold.</w:t>
      </w:r>
    </w:p>
    <w:sectPr w:rsidR="00FC693F" w:rsidRPr="0006063C" w:rsidSect="00034616">
      <w:footerReference w:type="default" r:id="rId9"/>
      <w:pgSz w:w="12240" w:h="15840"/>
      <w:pgMar w:top="1224"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updateFields w:val="true"/>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480" w:lineRule="auto" w:after="0"/>
      <w:ind w:firstLine="432"/>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80"/>
      <w:outlineLvl w:val="0"/>
    </w:pPr>
    <w:rPr>
      <w:rFonts w:asciiTheme="majorHAnsi" w:eastAsiaTheme="majorEastAsia" w:hAnsiTheme="majorHAnsi" w:cstheme="majorBidi" w:ascii="Times New Roman" w:hAnsi="Times New Roman"/>
      <w:b/>
      <w:bCs/>
      <w:color w:val="203864"/>
      <w:sz w:val="28"/>
      <w:szCs w:val="28"/>
    </w:rPr>
  </w:style>
  <w:style w:type="paragraph" w:styleId="Heading2">
    <w:name w:val="heading 2"/>
    <w:basedOn w:val="Normal"/>
    <w:next w:val="Normal"/>
    <w:link w:val="Heading2Char"/>
    <w:uiPriority w:val="9"/>
    <w:unhideWhenUsed/>
    <w:qFormat/>
    <w:rsid w:val="00FC693F"/>
    <w:pPr>
      <w:keepNext/>
      <w:keepLines/>
      <w:spacing w:before="120" w:after="80"/>
      <w:outlineLvl w:val="1"/>
    </w:pPr>
    <w:rPr>
      <w:rFonts w:asciiTheme="majorHAnsi" w:eastAsiaTheme="majorEastAsia" w:hAnsiTheme="majorHAnsi" w:cstheme="majorBidi" w:ascii="Times New Roman" w:hAnsi="Times New Roman"/>
      <w:b/>
      <w:bCs/>
      <w:color w:val="203864"/>
      <w:sz w:val="25"/>
      <w:szCs w:val="26"/>
    </w:rPr>
  </w:style>
  <w:style w:type="paragraph" w:styleId="Heading3">
    <w:name w:val="heading 3"/>
    <w:basedOn w:val="Normal"/>
    <w:next w:val="Normal"/>
    <w:link w:val="Heading3Char"/>
    <w:uiPriority w:val="9"/>
    <w:unhideWhenUsed/>
    <w:qFormat/>
    <w:rsid w:val="00FC693F"/>
    <w:pPr>
      <w:keepNext/>
      <w:keepLines/>
      <w:spacing w:before="120" w:after="80"/>
      <w:outlineLvl w:val="2"/>
    </w:pPr>
    <w:rPr>
      <w:rFonts w:asciiTheme="majorHAnsi" w:eastAsiaTheme="majorEastAsia" w:hAnsiTheme="majorHAnsi" w:cstheme="majorBidi" w:ascii="Times New Roman" w:hAnsi="Times New Roman"/>
      <w:b/>
      <w:bCs/>
      <w:color w:val="203864"/>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Times New Roman" w:hAnsi="Times New Roman"/>
      <w:b/>
      <w:color w:val="203864"/>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0" w:line="480" w:lineRule="auto"/>
      <w:ind w:firstLine="432"/>
    </w:pPr>
    <w:rPr>
      <w:rFonts w:ascii="Times New Roman" w:hAnsi="Times New Roman"/>
      <w:sz w:val="24"/>
    </w:r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basedOn w:val="Normal"/>
    <w:pPr>
      <w:tabs>
        <w:tab w:pos="9000" w:val="right" w:leader="dot"/>
      </w:tabs>
      <w:spacing w:before="0" w:after="40" w:line="240" w:lineRule="auto"/>
      <w:ind w:left="0" w:right="0"/>
    </w:pPr>
    <w:rPr>
      <w:rFonts w:ascii="Times New Roman" w:hAnsi="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Adaptive Administration: How Generative and Predictive AI Change the Management Cycle</dc:title>
  <dc:subject>Business Administration Fundamentals</dc:subject>
  <dc:creator/>
  <cp:keywords/>
  <dc:description>generated by python-docx</dc:description>
  <cp:lastModifiedBy/>
  <cp:revision>1</cp:revision>
  <dcterms:created xsi:type="dcterms:W3CDTF">2013-12-23T23:15:00Z</dcterms:created>
  <dcterms:modified xsi:type="dcterms:W3CDTF">2013-12-23T23:15:00Z</dcterms:modified>
  <cp:category/>
</cp:coreProperties>
</file>