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51771667" w14:textId="77777777" w:rsidR="00DF7E49" w:rsidRDefault="00DF7E49" w:rsidP="00F61E85">
      <w:pPr>
        <w:pStyle w:val="ListParagraph"/>
        <w:spacing w:line="276" w:lineRule="auto"/>
        <w:ind w:left="0"/>
        <w:rPr>
          <w:lang w:val="en-US"/>
        </w:rPr>
      </w:pPr>
    </w:p>
    <w:p w14:paraId="080BF516" w14:textId="77777777" w:rsidR="00871E54" w:rsidRPr="00871E54" w:rsidRDefault="00871E54" w:rsidP="00871E54">
      <w:pPr>
        <w:pStyle w:val="ListParagraph"/>
        <w:spacing w:line="276" w:lineRule="auto"/>
        <w:rPr>
          <w:b/>
          <w:bCs/>
          <w:lang w:val="en-GB"/>
        </w:rPr>
      </w:pPr>
      <w:r w:rsidRPr="00871E54">
        <w:rPr>
          <w:b/>
          <w:bCs/>
          <w:lang w:val="en-GB"/>
        </w:rPr>
        <w:lastRenderedPageBreak/>
        <w:t>1. Definitions of Key Terms</w:t>
      </w:r>
    </w:p>
    <w:p w14:paraId="4DC60D35" w14:textId="77777777" w:rsidR="00871E54" w:rsidRPr="00871E54" w:rsidRDefault="00871E54" w:rsidP="00871E54">
      <w:pPr>
        <w:pStyle w:val="ListParagraph"/>
        <w:spacing w:line="276" w:lineRule="auto"/>
        <w:rPr>
          <w:b/>
          <w:bCs/>
          <w:lang w:val="en-GB"/>
        </w:rPr>
      </w:pPr>
      <w:r w:rsidRPr="00871E54">
        <w:rPr>
          <w:b/>
          <w:bCs/>
          <w:lang w:val="en-GB"/>
        </w:rPr>
        <w:t>Stakeholder</w:t>
      </w:r>
    </w:p>
    <w:p w14:paraId="41F57748" w14:textId="77777777" w:rsidR="00871E54" w:rsidRPr="00871E54" w:rsidRDefault="00871E54" w:rsidP="00871E54">
      <w:pPr>
        <w:pStyle w:val="ListParagraph"/>
        <w:spacing w:line="276" w:lineRule="auto"/>
        <w:rPr>
          <w:lang w:val="en-GB"/>
        </w:rPr>
      </w:pPr>
      <w:r w:rsidRPr="00871E54">
        <w:rPr>
          <w:lang w:val="en-GB"/>
        </w:rPr>
        <w:t xml:space="preserve">A stakeholder is any individual, group, or organization that has an interest in or is affected by decisions concerning a heritage site. Stakeholders may include </w:t>
      </w:r>
      <w:proofErr w:type="gramStart"/>
      <w:r w:rsidRPr="00871E54">
        <w:rPr>
          <w:lang w:val="en-GB"/>
        </w:rPr>
        <w:t>local residents</w:t>
      </w:r>
      <w:proofErr w:type="gramEnd"/>
      <w:r w:rsidRPr="00871E54">
        <w:rPr>
          <w:lang w:val="en-GB"/>
        </w:rPr>
        <w:t>, government agencies, heritage professionals, tourists, businesses, educational institutions, and non-governmental organizations. In heritage management, stakeholders often hold different perspectives regarding the significance and use of heritage resources. For example, conservation experts may prioritize preservation, while local communities may focus on cultural continuity or economic opportunities. Effective stakeholder engagement is essential because it encourages collaboration, reduces conflicts, and promotes sustainable management practices that reflect diverse interests and values.</w:t>
      </w:r>
    </w:p>
    <w:p w14:paraId="00EDD482" w14:textId="77777777" w:rsidR="00871E54" w:rsidRPr="00871E54" w:rsidRDefault="00871E54" w:rsidP="00871E54">
      <w:pPr>
        <w:pStyle w:val="ListParagraph"/>
        <w:spacing w:line="276" w:lineRule="auto"/>
        <w:rPr>
          <w:b/>
          <w:bCs/>
          <w:lang w:val="en-GB"/>
        </w:rPr>
      </w:pPr>
      <w:r w:rsidRPr="00871E54">
        <w:rPr>
          <w:b/>
          <w:bCs/>
          <w:lang w:val="en-GB"/>
        </w:rPr>
        <w:t>Rights Holder</w:t>
      </w:r>
    </w:p>
    <w:p w14:paraId="3EFE406A" w14:textId="77777777" w:rsidR="00871E54" w:rsidRPr="00871E54" w:rsidRDefault="00871E54" w:rsidP="00871E54">
      <w:pPr>
        <w:pStyle w:val="ListParagraph"/>
        <w:spacing w:line="276" w:lineRule="auto"/>
        <w:rPr>
          <w:lang w:val="en-GB"/>
        </w:rPr>
      </w:pPr>
      <w:r w:rsidRPr="00871E54">
        <w:rPr>
          <w:lang w:val="en-GB"/>
        </w:rPr>
        <w:t>A rights holder is a person, community, or group that possesses specific legal, cultural, religious, or customary rights related to a heritage place or cultural practice. Unlike stakeholders, who may simply have an interest in a site, rights holders have recognized claims that should be respected in management decisions. Examples include Indigenous communities, religious groups, and traditional custodians whose identities and cultural practices are closely connected to heritage resources. Contemporary heritage management increasingly recognizes the importance of involving rights holders in governance processes to ensure equity, cultural respect, and the protection of intangible heritage values associated with heritage sites.</w:t>
      </w:r>
    </w:p>
    <w:p w14:paraId="3AF9FD66" w14:textId="77777777" w:rsidR="00871E54" w:rsidRPr="00871E54" w:rsidRDefault="00871E54" w:rsidP="00871E54">
      <w:pPr>
        <w:pStyle w:val="ListParagraph"/>
        <w:spacing w:line="276" w:lineRule="auto"/>
        <w:rPr>
          <w:b/>
          <w:bCs/>
          <w:lang w:val="en-GB"/>
        </w:rPr>
      </w:pPr>
      <w:r w:rsidRPr="00871E54">
        <w:rPr>
          <w:b/>
          <w:bCs/>
          <w:lang w:val="en-GB"/>
        </w:rPr>
        <w:t>People-</w:t>
      </w:r>
      <w:proofErr w:type="spellStart"/>
      <w:r w:rsidRPr="00871E54">
        <w:rPr>
          <w:b/>
          <w:bCs/>
          <w:lang w:val="en-GB"/>
        </w:rPr>
        <w:t>Centered</w:t>
      </w:r>
      <w:proofErr w:type="spellEnd"/>
      <w:r w:rsidRPr="00871E54">
        <w:rPr>
          <w:b/>
          <w:bCs/>
          <w:lang w:val="en-GB"/>
        </w:rPr>
        <w:t xml:space="preserve"> Heritage Management</w:t>
      </w:r>
    </w:p>
    <w:p w14:paraId="237AFDA9" w14:textId="77777777" w:rsidR="00871E54" w:rsidRPr="00871E54" w:rsidRDefault="00871E54" w:rsidP="00871E54">
      <w:pPr>
        <w:pStyle w:val="ListParagraph"/>
        <w:spacing w:line="276" w:lineRule="auto"/>
        <w:rPr>
          <w:lang w:val="en-GB"/>
        </w:rPr>
      </w:pPr>
      <w:r w:rsidRPr="00871E54">
        <w:rPr>
          <w:lang w:val="en-GB"/>
        </w:rPr>
        <w:t>People-</w:t>
      </w:r>
      <w:proofErr w:type="spellStart"/>
      <w:r w:rsidRPr="00871E54">
        <w:rPr>
          <w:lang w:val="en-GB"/>
        </w:rPr>
        <w:t>centered</w:t>
      </w:r>
      <w:proofErr w:type="spellEnd"/>
      <w:r w:rsidRPr="00871E54">
        <w:rPr>
          <w:lang w:val="en-GB"/>
        </w:rPr>
        <w:t xml:space="preserve"> heritage management is an approach that places communities and people at the heart of heritage conservation. It views heritage not only as physical monuments or objects but also as a source of identity, memory, social cohesion, and cultural continuity. This approach encourages active participation by local communities in decision-making, planning, and conservation activities. It values traditional knowledge, promotes inclusivity, and seeks to ensure that heritage conservation contributes to community well-being and sustainable development. By recognizing people as both custodians and beneficiaries of heritage, this approach aims to create stronger and more sustainable conservation outcomes.</w:t>
      </w:r>
    </w:p>
    <w:p w14:paraId="4061FA6F" w14:textId="77777777" w:rsidR="00871E54" w:rsidRPr="00871E54" w:rsidRDefault="00871E54" w:rsidP="00871E54">
      <w:pPr>
        <w:pStyle w:val="ListParagraph"/>
        <w:spacing w:line="276" w:lineRule="auto"/>
        <w:rPr>
          <w:b/>
          <w:bCs/>
          <w:lang w:val="en-GB"/>
        </w:rPr>
      </w:pPr>
      <w:r w:rsidRPr="00871E54">
        <w:rPr>
          <w:b/>
          <w:bCs/>
          <w:lang w:val="en-GB"/>
        </w:rPr>
        <w:t>Capacity Building</w:t>
      </w:r>
    </w:p>
    <w:p w14:paraId="09D15D74" w14:textId="77777777" w:rsidR="00871E54" w:rsidRPr="00871E54" w:rsidRDefault="00871E54" w:rsidP="00871E54">
      <w:pPr>
        <w:pStyle w:val="ListParagraph"/>
        <w:spacing w:line="276" w:lineRule="auto"/>
        <w:rPr>
          <w:lang w:val="en-GB"/>
        </w:rPr>
      </w:pPr>
      <w:r w:rsidRPr="00871E54">
        <w:rPr>
          <w:lang w:val="en-GB"/>
        </w:rPr>
        <w:t xml:space="preserve">Capacity building refers to the process of enhancing the abilities, skills, knowledge, and resources of individuals, communities, and institutions involved in heritage management. It may include technical training, professional development, educational programs, leadership development, and institutional strengthening. Capacity building enables stakeholders and rights holders to engage effectively in conservation activities and decision-making processes. In the heritage sector, it is considered a key strategy for ensuring long-term sustainability because successful conservation depends on knowledgeable people, strong organizations, and effective </w:t>
      </w:r>
      <w:r w:rsidRPr="00871E54">
        <w:rPr>
          <w:lang w:val="en-GB"/>
        </w:rPr>
        <w:lastRenderedPageBreak/>
        <w:t>governance systems capable of responding to changing social and environmental conditions.</w:t>
      </w:r>
    </w:p>
    <w:p w14:paraId="3FFAD88C" w14:textId="66671F0B" w:rsidR="00871E54" w:rsidRPr="00871E54" w:rsidRDefault="00871E54" w:rsidP="00871E54">
      <w:pPr>
        <w:pStyle w:val="ListParagraph"/>
        <w:spacing w:line="276" w:lineRule="auto"/>
        <w:rPr>
          <w:lang w:val="en-GB"/>
        </w:rPr>
      </w:pPr>
    </w:p>
    <w:p w14:paraId="15524F8C" w14:textId="77777777" w:rsidR="00871E54" w:rsidRPr="00871E54" w:rsidRDefault="00871E54" w:rsidP="00871E54">
      <w:pPr>
        <w:pStyle w:val="ListParagraph"/>
        <w:spacing w:line="276" w:lineRule="auto"/>
        <w:rPr>
          <w:b/>
          <w:bCs/>
          <w:lang w:val="en-GB"/>
        </w:rPr>
      </w:pPr>
      <w:r w:rsidRPr="00871E54">
        <w:rPr>
          <w:b/>
          <w:bCs/>
          <w:lang w:val="en-GB"/>
        </w:rPr>
        <w:t>2. Heritage Site Analysis: Humayun’s Tomb, Delhi, India</w:t>
      </w:r>
    </w:p>
    <w:p w14:paraId="11C27BCA" w14:textId="77777777" w:rsidR="00871E54" w:rsidRPr="00871E54" w:rsidRDefault="00871E54" w:rsidP="00871E54">
      <w:pPr>
        <w:pStyle w:val="ListParagraph"/>
        <w:spacing w:line="276" w:lineRule="auto"/>
        <w:rPr>
          <w:lang w:val="en-GB"/>
        </w:rPr>
      </w:pPr>
      <w:r w:rsidRPr="00871E54">
        <w:rPr>
          <w:lang w:val="en-GB"/>
        </w:rPr>
        <w:t xml:space="preserve">The </w:t>
      </w:r>
      <w:r w:rsidRPr="00871E54">
        <w:rPr>
          <w:b/>
          <w:bCs/>
          <w:lang w:val="en-GB"/>
        </w:rPr>
        <w:t>Humayun's Tomb</w:t>
      </w:r>
      <w:r w:rsidRPr="00871E54">
        <w:rPr>
          <w:lang w:val="en-GB"/>
        </w:rPr>
        <w:t xml:space="preserve"> provides an example of a heritage site that reflects a combination of </w:t>
      </w:r>
      <w:r w:rsidRPr="00871E54">
        <w:rPr>
          <w:b/>
          <w:bCs/>
          <w:lang w:val="en-GB"/>
        </w:rPr>
        <w:t>values-based and people-</w:t>
      </w:r>
      <w:proofErr w:type="spellStart"/>
      <w:r w:rsidRPr="00871E54">
        <w:rPr>
          <w:b/>
          <w:bCs/>
          <w:lang w:val="en-GB"/>
        </w:rPr>
        <w:t>centered</w:t>
      </w:r>
      <w:proofErr w:type="spellEnd"/>
      <w:r w:rsidRPr="00871E54">
        <w:rPr>
          <w:b/>
          <w:bCs/>
          <w:lang w:val="en-GB"/>
        </w:rPr>
        <w:t xml:space="preserve"> management</w:t>
      </w:r>
      <w:r w:rsidRPr="00871E54">
        <w:rPr>
          <w:lang w:val="en-GB"/>
        </w:rPr>
        <w:t>, with people-</w:t>
      </w:r>
      <w:proofErr w:type="spellStart"/>
      <w:r w:rsidRPr="00871E54">
        <w:rPr>
          <w:lang w:val="en-GB"/>
        </w:rPr>
        <w:t>centered</w:t>
      </w:r>
      <w:proofErr w:type="spellEnd"/>
      <w:r w:rsidRPr="00871E54">
        <w:rPr>
          <w:lang w:val="en-GB"/>
        </w:rPr>
        <w:t xml:space="preserve"> elements becoming increasingly prominent in recent decades.</w:t>
      </w:r>
    </w:p>
    <w:p w14:paraId="6D13A442" w14:textId="77777777" w:rsidR="00871E54" w:rsidRPr="00871E54" w:rsidRDefault="00871E54" w:rsidP="00871E54">
      <w:pPr>
        <w:pStyle w:val="ListParagraph"/>
        <w:spacing w:line="276" w:lineRule="auto"/>
        <w:rPr>
          <w:b/>
          <w:bCs/>
          <w:lang w:val="en-GB"/>
        </w:rPr>
      </w:pPr>
      <w:r w:rsidRPr="00871E54">
        <w:rPr>
          <w:b/>
          <w:bCs/>
          <w:lang w:val="en-GB"/>
        </w:rPr>
        <w:t>People-</w:t>
      </w:r>
      <w:proofErr w:type="spellStart"/>
      <w:r w:rsidRPr="00871E54">
        <w:rPr>
          <w:b/>
          <w:bCs/>
          <w:lang w:val="en-GB"/>
        </w:rPr>
        <w:t>Centered</w:t>
      </w:r>
      <w:proofErr w:type="spellEnd"/>
      <w:r w:rsidRPr="00871E54">
        <w:rPr>
          <w:b/>
          <w:bCs/>
          <w:lang w:val="en-GB"/>
        </w:rPr>
        <w:t xml:space="preserve"> Characteristics</w:t>
      </w:r>
    </w:p>
    <w:p w14:paraId="25917ACE" w14:textId="77777777" w:rsidR="00871E54" w:rsidRPr="00871E54" w:rsidRDefault="00871E54" w:rsidP="00871E54">
      <w:pPr>
        <w:pStyle w:val="ListParagraph"/>
        <w:spacing w:line="276" w:lineRule="auto"/>
        <w:rPr>
          <w:lang w:val="en-GB"/>
        </w:rPr>
      </w:pPr>
      <w:r w:rsidRPr="00871E54">
        <w:rPr>
          <w:lang w:val="en-GB"/>
        </w:rPr>
        <w:t>One notable feature of Humayun’s Tomb is the involvement of local communities in conservation and site improvement projects. Conservation initiatives have included employment opportunities for local artisans and craftsmen, helping revive traditional building techniques and skills. Educational programs and community outreach activities have also encouraged public awareness and appreciation of heritage. The site's management recognizes that conservation should generate social and economic benefits for surrounding communities rather than focusing solely on monument preservation.</w:t>
      </w:r>
    </w:p>
    <w:p w14:paraId="5920EA01" w14:textId="77777777" w:rsidR="00871E54" w:rsidRPr="00871E54" w:rsidRDefault="00871E54" w:rsidP="00871E54">
      <w:pPr>
        <w:pStyle w:val="ListParagraph"/>
        <w:spacing w:line="276" w:lineRule="auto"/>
        <w:rPr>
          <w:b/>
          <w:bCs/>
          <w:lang w:val="en-GB"/>
        </w:rPr>
      </w:pPr>
      <w:r w:rsidRPr="00871E54">
        <w:rPr>
          <w:b/>
          <w:bCs/>
          <w:lang w:val="en-GB"/>
        </w:rPr>
        <w:t>Values-Based Characteristics</w:t>
      </w:r>
    </w:p>
    <w:p w14:paraId="5EBE18E7" w14:textId="77777777" w:rsidR="00871E54" w:rsidRPr="00871E54" w:rsidRDefault="00871E54" w:rsidP="00871E54">
      <w:pPr>
        <w:pStyle w:val="ListParagraph"/>
        <w:spacing w:line="276" w:lineRule="auto"/>
        <w:rPr>
          <w:lang w:val="en-GB"/>
        </w:rPr>
      </w:pPr>
      <w:r w:rsidRPr="00871E54">
        <w:rPr>
          <w:lang w:val="en-GB"/>
        </w:rPr>
        <w:t>The management approach strongly emphasizes the historical, architectural, and cultural values of the monument. As an important example of Mughal architecture and a UNESCO World Heritage Site, Humayun’s Tomb is protected through careful restoration and maintenance programs. Conservation work seeks to preserve authenticity, integrity, and historical significance while ensuring that future generations can appreciate the monument's cultural value.</w:t>
      </w:r>
    </w:p>
    <w:p w14:paraId="3DCE4F61" w14:textId="77777777" w:rsidR="00871E54" w:rsidRPr="00871E54" w:rsidRDefault="00871E54" w:rsidP="00871E54">
      <w:pPr>
        <w:pStyle w:val="ListParagraph"/>
        <w:spacing w:line="276" w:lineRule="auto"/>
        <w:rPr>
          <w:b/>
          <w:bCs/>
          <w:lang w:val="en-GB"/>
        </w:rPr>
      </w:pPr>
      <w:r w:rsidRPr="00871E54">
        <w:rPr>
          <w:b/>
          <w:bCs/>
          <w:lang w:val="en-GB"/>
        </w:rPr>
        <w:t>Expert-</w:t>
      </w:r>
      <w:proofErr w:type="spellStart"/>
      <w:r w:rsidRPr="00871E54">
        <w:rPr>
          <w:b/>
          <w:bCs/>
          <w:lang w:val="en-GB"/>
        </w:rPr>
        <w:t>Centered</w:t>
      </w:r>
      <w:proofErr w:type="spellEnd"/>
      <w:r w:rsidRPr="00871E54">
        <w:rPr>
          <w:b/>
          <w:bCs/>
          <w:lang w:val="en-GB"/>
        </w:rPr>
        <w:t xml:space="preserve"> Features</w:t>
      </w:r>
    </w:p>
    <w:p w14:paraId="2EC80093" w14:textId="77777777" w:rsidR="00871E54" w:rsidRPr="00871E54" w:rsidRDefault="00871E54" w:rsidP="00871E54">
      <w:pPr>
        <w:pStyle w:val="ListParagraph"/>
        <w:spacing w:line="276" w:lineRule="auto"/>
        <w:rPr>
          <w:lang w:val="en-GB"/>
        </w:rPr>
      </w:pPr>
      <w:r w:rsidRPr="00871E54">
        <w:rPr>
          <w:lang w:val="en-GB"/>
        </w:rPr>
        <w:t xml:space="preserve">Conservation decisions continue to rely on professional expertise provided by archaeologists, architects, historians, and conservation specialists. Organizations such as the </w:t>
      </w:r>
      <w:r w:rsidRPr="00871E54">
        <w:rPr>
          <w:b/>
          <w:bCs/>
          <w:lang w:val="en-GB"/>
        </w:rPr>
        <w:t>Archaeological Survey of India</w:t>
      </w:r>
      <w:r w:rsidRPr="00871E54">
        <w:rPr>
          <w:lang w:val="en-GB"/>
        </w:rPr>
        <w:t xml:space="preserve"> and conservation partners oversee technical restoration work, research, and monitoring activities. Scientific methods and international conservation standards play a major role in guiding interventions.</w:t>
      </w:r>
    </w:p>
    <w:p w14:paraId="49CAD40E" w14:textId="77777777" w:rsidR="00871E54" w:rsidRPr="00871E54" w:rsidRDefault="00871E54" w:rsidP="00871E54">
      <w:pPr>
        <w:pStyle w:val="ListParagraph"/>
        <w:spacing w:line="276" w:lineRule="auto"/>
        <w:rPr>
          <w:b/>
          <w:bCs/>
          <w:lang w:val="en-GB"/>
        </w:rPr>
      </w:pPr>
      <w:r w:rsidRPr="00871E54">
        <w:rPr>
          <w:b/>
          <w:bCs/>
          <w:lang w:val="en-GB"/>
        </w:rPr>
        <w:t>Overall Assessment</w:t>
      </w:r>
    </w:p>
    <w:p w14:paraId="0535EFF6" w14:textId="77777777" w:rsidR="00871E54" w:rsidRPr="00871E54" w:rsidRDefault="00871E54" w:rsidP="00871E54">
      <w:pPr>
        <w:pStyle w:val="ListParagraph"/>
        <w:spacing w:line="276" w:lineRule="auto"/>
        <w:rPr>
          <w:lang w:val="en-GB"/>
        </w:rPr>
      </w:pPr>
      <w:r w:rsidRPr="00871E54">
        <w:rPr>
          <w:lang w:val="en-GB"/>
        </w:rPr>
        <w:t xml:space="preserve">Humayun’s Tomb can best be described as a </w:t>
      </w:r>
      <w:r w:rsidRPr="00871E54">
        <w:rPr>
          <w:b/>
          <w:bCs/>
          <w:lang w:val="en-GB"/>
        </w:rPr>
        <w:t>people-</w:t>
      </w:r>
      <w:proofErr w:type="spellStart"/>
      <w:r w:rsidRPr="00871E54">
        <w:rPr>
          <w:b/>
          <w:bCs/>
          <w:lang w:val="en-GB"/>
        </w:rPr>
        <w:t>centered</w:t>
      </w:r>
      <w:proofErr w:type="spellEnd"/>
      <w:r w:rsidRPr="00871E54">
        <w:rPr>
          <w:b/>
          <w:bCs/>
          <w:lang w:val="en-GB"/>
        </w:rPr>
        <w:t xml:space="preserve"> heritage management model supported by values-based conservation principles</w:t>
      </w:r>
      <w:r w:rsidRPr="00871E54">
        <w:rPr>
          <w:lang w:val="en-GB"/>
        </w:rPr>
        <w:t>. While expert guidance remains important, management efforts increasingly focus on community engagement, traditional skills development, public education, and sustainable social benefits. This balance between conservation and community participation reflects contemporary heritage management practices.</w:t>
      </w:r>
    </w:p>
    <w:p w14:paraId="01435FCD" w14:textId="1D1EC370" w:rsidR="00871E54" w:rsidRDefault="00871E54" w:rsidP="00871E54">
      <w:pPr>
        <w:pStyle w:val="ListParagraph"/>
        <w:spacing w:line="276" w:lineRule="auto"/>
        <w:rPr>
          <w:lang w:val="en-GB"/>
        </w:rPr>
      </w:pPr>
    </w:p>
    <w:p w14:paraId="66B0D405" w14:textId="77777777" w:rsidR="00871E54" w:rsidRDefault="00871E54" w:rsidP="00871E54">
      <w:pPr>
        <w:pStyle w:val="ListParagraph"/>
        <w:spacing w:line="276" w:lineRule="auto"/>
        <w:rPr>
          <w:lang w:val="en-GB"/>
        </w:rPr>
      </w:pPr>
    </w:p>
    <w:p w14:paraId="519C345C" w14:textId="77777777" w:rsidR="00871E54" w:rsidRDefault="00871E54" w:rsidP="00871E54">
      <w:pPr>
        <w:pStyle w:val="ListParagraph"/>
        <w:spacing w:line="276" w:lineRule="auto"/>
        <w:rPr>
          <w:lang w:val="en-GB"/>
        </w:rPr>
      </w:pPr>
    </w:p>
    <w:p w14:paraId="1BF5F062" w14:textId="77777777" w:rsidR="00871E54" w:rsidRDefault="00871E54" w:rsidP="00871E54">
      <w:pPr>
        <w:pStyle w:val="ListParagraph"/>
        <w:spacing w:line="276" w:lineRule="auto"/>
        <w:rPr>
          <w:lang w:val="en-GB"/>
        </w:rPr>
      </w:pPr>
    </w:p>
    <w:p w14:paraId="1C17EB44" w14:textId="77777777" w:rsidR="00871E54" w:rsidRPr="00871E54" w:rsidRDefault="00871E54" w:rsidP="00871E54">
      <w:pPr>
        <w:pStyle w:val="ListParagraph"/>
        <w:spacing w:line="276" w:lineRule="auto"/>
        <w:rPr>
          <w:lang w:val="en-GB"/>
        </w:rPr>
      </w:pPr>
    </w:p>
    <w:p w14:paraId="10BEEE21" w14:textId="77777777" w:rsidR="00871E54" w:rsidRPr="00871E54" w:rsidRDefault="00871E54" w:rsidP="00871E54">
      <w:pPr>
        <w:pStyle w:val="ListParagraph"/>
        <w:spacing w:line="276" w:lineRule="auto"/>
        <w:rPr>
          <w:b/>
          <w:bCs/>
          <w:lang w:val="en-GB"/>
        </w:rPr>
      </w:pPr>
      <w:r w:rsidRPr="00871E54">
        <w:rPr>
          <w:b/>
          <w:bCs/>
          <w:lang w:val="en-GB"/>
        </w:rPr>
        <w:lastRenderedPageBreak/>
        <w:t>References</w:t>
      </w:r>
    </w:p>
    <w:p w14:paraId="07C21360" w14:textId="77777777" w:rsidR="00871E54" w:rsidRPr="00871E54" w:rsidRDefault="00871E54" w:rsidP="00871E54">
      <w:pPr>
        <w:pStyle w:val="ListParagraph"/>
        <w:numPr>
          <w:ilvl w:val="0"/>
          <w:numId w:val="23"/>
        </w:numPr>
        <w:spacing w:line="276" w:lineRule="auto"/>
        <w:rPr>
          <w:lang w:val="en-GB"/>
        </w:rPr>
      </w:pPr>
      <w:r w:rsidRPr="00871E54">
        <w:rPr>
          <w:lang w:val="en-GB"/>
        </w:rPr>
        <w:t xml:space="preserve">Smith, L. (2006). </w:t>
      </w:r>
      <w:r w:rsidRPr="00871E54">
        <w:rPr>
          <w:i/>
          <w:iCs/>
          <w:lang w:val="en-GB"/>
        </w:rPr>
        <w:t>Uses of Heritage</w:t>
      </w:r>
      <w:r w:rsidRPr="00871E54">
        <w:rPr>
          <w:lang w:val="en-GB"/>
        </w:rPr>
        <w:t xml:space="preserve">. Routledge. DOI: </w:t>
      </w:r>
      <w:r w:rsidRPr="00871E54">
        <w:rPr>
          <w:b/>
          <w:bCs/>
          <w:lang w:val="en-GB"/>
        </w:rPr>
        <w:t>10.4324/9780203602263</w:t>
      </w:r>
      <w:r w:rsidRPr="00871E54">
        <w:rPr>
          <w:lang w:val="en-GB"/>
        </w:rPr>
        <w:t xml:space="preserve"> </w:t>
      </w:r>
    </w:p>
    <w:p w14:paraId="3B6E0F5F" w14:textId="77777777" w:rsidR="00871E54" w:rsidRPr="00871E54" w:rsidRDefault="00871E54" w:rsidP="00871E54">
      <w:pPr>
        <w:pStyle w:val="ListParagraph"/>
        <w:numPr>
          <w:ilvl w:val="0"/>
          <w:numId w:val="23"/>
        </w:numPr>
        <w:spacing w:line="276" w:lineRule="auto"/>
        <w:rPr>
          <w:lang w:val="en-GB"/>
        </w:rPr>
      </w:pPr>
      <w:r w:rsidRPr="00871E54">
        <w:rPr>
          <w:lang w:val="en-GB"/>
        </w:rPr>
        <w:t xml:space="preserve">Poulios, I. (2014). “Discussing Strategy in Heritage Conservation: Living Heritage Approach as an Example of Strategic Innovation.” </w:t>
      </w:r>
      <w:r w:rsidRPr="00871E54">
        <w:rPr>
          <w:i/>
          <w:iCs/>
          <w:lang w:val="en-GB"/>
        </w:rPr>
        <w:t>Journal of Cultural Heritage Management and Sustainable Development</w:t>
      </w:r>
      <w:r w:rsidRPr="00871E54">
        <w:rPr>
          <w:lang w:val="en-GB"/>
        </w:rPr>
        <w:t xml:space="preserve">, 4(1), 16–34. DOI: </w:t>
      </w:r>
      <w:r w:rsidRPr="00871E54">
        <w:rPr>
          <w:b/>
          <w:bCs/>
          <w:lang w:val="en-GB"/>
        </w:rPr>
        <w:t>10.1108/JCHMSD-10-2012-0058</w:t>
      </w:r>
      <w:r w:rsidRPr="00871E54">
        <w:rPr>
          <w:lang w:val="en-GB"/>
        </w:rPr>
        <w:t xml:space="preserve"> </w:t>
      </w:r>
    </w:p>
    <w:p w14:paraId="08508845" w14:textId="77777777" w:rsidR="00871E54" w:rsidRPr="00871E54" w:rsidRDefault="00871E54" w:rsidP="00871E54">
      <w:pPr>
        <w:pStyle w:val="ListParagraph"/>
        <w:numPr>
          <w:ilvl w:val="0"/>
          <w:numId w:val="23"/>
        </w:numPr>
        <w:spacing w:line="276" w:lineRule="auto"/>
        <w:rPr>
          <w:lang w:val="en-GB"/>
        </w:rPr>
      </w:pPr>
      <w:r w:rsidRPr="00871E54">
        <w:rPr>
          <w:lang w:val="en-GB"/>
        </w:rPr>
        <w:t xml:space="preserve">Roders, A. P., &amp; van </w:t>
      </w:r>
      <w:proofErr w:type="spellStart"/>
      <w:r w:rsidRPr="00871E54">
        <w:rPr>
          <w:lang w:val="en-GB"/>
        </w:rPr>
        <w:t>Oers</w:t>
      </w:r>
      <w:proofErr w:type="spellEnd"/>
      <w:r w:rsidRPr="00871E54">
        <w:rPr>
          <w:lang w:val="en-GB"/>
        </w:rPr>
        <w:t xml:space="preserve">, R. (2011). “Bridging Cultural Heritage and Sustainable Development.” </w:t>
      </w:r>
      <w:r w:rsidRPr="00871E54">
        <w:rPr>
          <w:i/>
          <w:iCs/>
          <w:lang w:val="en-GB"/>
        </w:rPr>
        <w:t>Journal of Cultural Heritage Management and Sustainable Development</w:t>
      </w:r>
      <w:r w:rsidRPr="00871E54">
        <w:rPr>
          <w:lang w:val="en-GB"/>
        </w:rPr>
        <w:t xml:space="preserve">, 1(1), 5–14. DOI: </w:t>
      </w:r>
      <w:r w:rsidRPr="00871E54">
        <w:rPr>
          <w:b/>
          <w:bCs/>
          <w:lang w:val="en-GB"/>
        </w:rPr>
        <w:t>10.1108/20441261111129998</w:t>
      </w:r>
      <w:r w:rsidRPr="00871E54">
        <w:rPr>
          <w:lang w:val="en-GB"/>
        </w:rPr>
        <w:t xml:space="preserve"> </w:t>
      </w:r>
    </w:p>
    <w:p w14:paraId="14886548" w14:textId="77777777" w:rsidR="00871E54" w:rsidRPr="00871E54" w:rsidRDefault="00871E54" w:rsidP="00871E54">
      <w:pPr>
        <w:pStyle w:val="ListParagraph"/>
        <w:numPr>
          <w:ilvl w:val="0"/>
          <w:numId w:val="23"/>
        </w:numPr>
        <w:spacing w:line="276" w:lineRule="auto"/>
        <w:rPr>
          <w:lang w:val="en-GB"/>
        </w:rPr>
      </w:pPr>
      <w:proofErr w:type="spellStart"/>
      <w:r w:rsidRPr="00871E54">
        <w:rPr>
          <w:lang w:val="en-GB"/>
        </w:rPr>
        <w:t>Chirikure</w:t>
      </w:r>
      <w:proofErr w:type="spellEnd"/>
      <w:r w:rsidRPr="00871E54">
        <w:rPr>
          <w:lang w:val="en-GB"/>
        </w:rPr>
        <w:t xml:space="preserve">, S., Manyanga, M., Ndoro, W., &amp; </w:t>
      </w:r>
      <w:proofErr w:type="spellStart"/>
      <w:r w:rsidRPr="00871E54">
        <w:rPr>
          <w:lang w:val="en-GB"/>
        </w:rPr>
        <w:t>Pwiti</w:t>
      </w:r>
      <w:proofErr w:type="spellEnd"/>
      <w:r w:rsidRPr="00871E54">
        <w:rPr>
          <w:lang w:val="en-GB"/>
        </w:rPr>
        <w:t xml:space="preserve">, G. (2010). “Community Involvement in Archaeology and Cultural Heritage Management.” </w:t>
      </w:r>
      <w:r w:rsidRPr="00871E54">
        <w:rPr>
          <w:i/>
          <w:iCs/>
          <w:lang w:val="en-GB"/>
        </w:rPr>
        <w:t>Current Anthropology</w:t>
      </w:r>
      <w:r w:rsidRPr="00871E54">
        <w:rPr>
          <w:lang w:val="en-GB"/>
        </w:rPr>
        <w:t xml:space="preserve">, 51(3), 467–485. DOI: </w:t>
      </w:r>
      <w:r w:rsidRPr="00871E54">
        <w:rPr>
          <w:b/>
          <w:bCs/>
          <w:lang w:val="en-GB"/>
        </w:rPr>
        <w:t>10.1086/653837</w:t>
      </w:r>
      <w:r w:rsidRPr="00871E54">
        <w:rPr>
          <w:lang w:val="en-GB"/>
        </w:rPr>
        <w:t xml:space="preserve"> </w:t>
      </w:r>
    </w:p>
    <w:p w14:paraId="4FA2470F" w14:textId="77777777" w:rsidR="00871E54" w:rsidRPr="00871E54" w:rsidRDefault="00871E54" w:rsidP="00871E54">
      <w:pPr>
        <w:pStyle w:val="ListParagraph"/>
        <w:numPr>
          <w:ilvl w:val="0"/>
          <w:numId w:val="23"/>
        </w:numPr>
        <w:spacing w:line="276" w:lineRule="auto"/>
        <w:rPr>
          <w:lang w:val="en-GB"/>
        </w:rPr>
      </w:pPr>
      <w:proofErr w:type="spellStart"/>
      <w:r w:rsidRPr="00871E54">
        <w:rPr>
          <w:lang w:val="en-GB"/>
        </w:rPr>
        <w:t>Bandarin</w:t>
      </w:r>
      <w:proofErr w:type="spellEnd"/>
      <w:r w:rsidRPr="00871E54">
        <w:rPr>
          <w:lang w:val="en-GB"/>
        </w:rPr>
        <w:t xml:space="preserve">, F., &amp; van </w:t>
      </w:r>
      <w:proofErr w:type="spellStart"/>
      <w:r w:rsidRPr="00871E54">
        <w:rPr>
          <w:lang w:val="en-GB"/>
        </w:rPr>
        <w:t>Oers</w:t>
      </w:r>
      <w:proofErr w:type="spellEnd"/>
      <w:r w:rsidRPr="00871E54">
        <w:rPr>
          <w:lang w:val="en-GB"/>
        </w:rPr>
        <w:t xml:space="preserve">, R. (2012). </w:t>
      </w:r>
      <w:r w:rsidRPr="00871E54">
        <w:rPr>
          <w:i/>
          <w:iCs/>
          <w:lang w:val="en-GB"/>
        </w:rPr>
        <w:t>The Historic Urban Landscape: Managing Heritage in an Urban Century</w:t>
      </w:r>
      <w:r w:rsidRPr="00871E54">
        <w:rPr>
          <w:lang w:val="en-GB"/>
        </w:rPr>
        <w:t xml:space="preserve">. DOI: </w:t>
      </w:r>
      <w:r w:rsidRPr="00871E54">
        <w:rPr>
          <w:b/>
          <w:bCs/>
          <w:lang w:val="en-GB"/>
        </w:rPr>
        <w:t>10.1002/9781119968115</w:t>
      </w:r>
      <w:r w:rsidRPr="00871E54">
        <w:rPr>
          <w:lang w:val="en-GB"/>
        </w:rPr>
        <w:t xml:space="preserve"> </w:t>
      </w:r>
    </w:p>
    <w:p w14:paraId="1F8CE45E" w14:textId="77777777" w:rsidR="00871E54" w:rsidRPr="00871E54" w:rsidRDefault="00871E54" w:rsidP="00871E54">
      <w:pPr>
        <w:pStyle w:val="ListParagraph"/>
        <w:numPr>
          <w:ilvl w:val="0"/>
          <w:numId w:val="23"/>
        </w:numPr>
        <w:spacing w:line="276" w:lineRule="auto"/>
        <w:rPr>
          <w:lang w:val="en-GB"/>
        </w:rPr>
      </w:pPr>
      <w:r w:rsidRPr="00871E54">
        <w:rPr>
          <w:lang w:val="en-GB"/>
        </w:rPr>
        <w:t xml:space="preserve">Wijesuriya, G. (2018). “People-Centred Approaches to Heritage Conservation and Management.” ICCROM. Google Scholar. </w:t>
      </w:r>
    </w:p>
    <w:p w14:paraId="7B219C6C" w14:textId="77777777" w:rsidR="00871E54" w:rsidRPr="00871E54" w:rsidRDefault="00871E54" w:rsidP="00871E54">
      <w:pPr>
        <w:pStyle w:val="ListParagraph"/>
        <w:numPr>
          <w:ilvl w:val="0"/>
          <w:numId w:val="23"/>
        </w:numPr>
        <w:spacing w:line="276" w:lineRule="auto"/>
        <w:rPr>
          <w:lang w:val="en-GB"/>
        </w:rPr>
      </w:pPr>
      <w:r w:rsidRPr="00871E54">
        <w:rPr>
          <w:lang w:val="en-GB"/>
        </w:rPr>
        <w:t xml:space="preserve">UNESCO World Heritage Centre. (2021). </w:t>
      </w:r>
      <w:r w:rsidRPr="00871E54">
        <w:rPr>
          <w:i/>
          <w:iCs/>
          <w:lang w:val="en-GB"/>
        </w:rPr>
        <w:t>Managing Cultural World Heritage</w:t>
      </w:r>
      <w:r w:rsidRPr="00871E54">
        <w:rPr>
          <w:lang w:val="en-GB"/>
        </w:rPr>
        <w:t xml:space="preserve">. UNESCO Publishing. Google Scholar. </w:t>
      </w:r>
    </w:p>
    <w:p w14:paraId="537AD6DD" w14:textId="77777777" w:rsidR="00871E54" w:rsidRPr="00871E54" w:rsidRDefault="00871E54" w:rsidP="00871E54">
      <w:pPr>
        <w:pStyle w:val="ListParagraph"/>
        <w:numPr>
          <w:ilvl w:val="0"/>
          <w:numId w:val="23"/>
        </w:numPr>
        <w:spacing w:line="276" w:lineRule="auto"/>
        <w:rPr>
          <w:lang w:val="en-GB"/>
        </w:rPr>
      </w:pPr>
      <w:proofErr w:type="spellStart"/>
      <w:r w:rsidRPr="00871E54">
        <w:rPr>
          <w:lang w:val="en-GB"/>
        </w:rPr>
        <w:t>Orbaşlı</w:t>
      </w:r>
      <w:proofErr w:type="spellEnd"/>
      <w:r w:rsidRPr="00871E54">
        <w:rPr>
          <w:lang w:val="en-GB"/>
        </w:rPr>
        <w:t xml:space="preserve">, A. (2008). </w:t>
      </w:r>
      <w:r w:rsidRPr="00871E54">
        <w:rPr>
          <w:i/>
          <w:iCs/>
          <w:lang w:val="en-GB"/>
        </w:rPr>
        <w:t>Architectural Conservation: Principles and Practice</w:t>
      </w:r>
      <w:r w:rsidRPr="00871E54">
        <w:rPr>
          <w:lang w:val="en-GB"/>
        </w:rPr>
        <w:t xml:space="preserve">. Wiley-Blackwell. DOI: </w:t>
      </w:r>
      <w:r w:rsidRPr="00871E54">
        <w:rPr>
          <w:b/>
          <w:bCs/>
          <w:lang w:val="en-GB"/>
        </w:rPr>
        <w:t>10.1002/9780470759165</w:t>
      </w:r>
      <w:r w:rsidRPr="00871E54">
        <w:rPr>
          <w:lang w:val="en-GB"/>
        </w:rPr>
        <w:t xml:space="preserve"> </w:t>
      </w:r>
    </w:p>
    <w:p w14:paraId="2A91D166" w14:textId="77777777" w:rsidR="00871E54" w:rsidRPr="00871E54" w:rsidRDefault="00871E54" w:rsidP="00871E54">
      <w:pPr>
        <w:pStyle w:val="ListParagraph"/>
        <w:numPr>
          <w:ilvl w:val="0"/>
          <w:numId w:val="23"/>
        </w:numPr>
        <w:spacing w:line="276" w:lineRule="auto"/>
        <w:rPr>
          <w:lang w:val="en-GB"/>
        </w:rPr>
      </w:pPr>
      <w:proofErr w:type="spellStart"/>
      <w:r w:rsidRPr="00871E54">
        <w:rPr>
          <w:lang w:val="en-GB"/>
        </w:rPr>
        <w:t>Jokilehto</w:t>
      </w:r>
      <w:proofErr w:type="spellEnd"/>
      <w:r w:rsidRPr="00871E54">
        <w:rPr>
          <w:lang w:val="en-GB"/>
        </w:rPr>
        <w:t xml:space="preserve">, J. (2006). “Considerations on Authenticity and Integrity in World Heritage Context.” </w:t>
      </w:r>
      <w:r w:rsidRPr="00871E54">
        <w:rPr>
          <w:i/>
          <w:iCs/>
          <w:lang w:val="en-GB"/>
        </w:rPr>
        <w:t>City &amp; Time</w:t>
      </w:r>
      <w:r w:rsidRPr="00871E54">
        <w:rPr>
          <w:lang w:val="en-GB"/>
        </w:rPr>
        <w:t>, 2(1), 1–16. Google Scholar.</w:t>
      </w:r>
    </w:p>
    <w:p w14:paraId="58F9F967" w14:textId="77777777" w:rsidR="00871E54" w:rsidRPr="00232559" w:rsidRDefault="00871E54" w:rsidP="00F61E85">
      <w:pPr>
        <w:pStyle w:val="ListParagraph"/>
        <w:spacing w:line="276" w:lineRule="auto"/>
        <w:ind w:left="0"/>
        <w:rPr>
          <w:lang w:val="en-US"/>
        </w:rPr>
      </w:pPr>
    </w:p>
    <w:sectPr w:rsidR="00871E54"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1BB248F-4D50-46B2-9728-E9FC3394AB5E}"/>
    <w:embedBold r:id="rId2" w:fontKey="{6933C02D-D067-4CF7-956E-854C4E20CC23}"/>
    <w:embedItalic r:id="rId3" w:fontKey="{3042D023-C347-45E4-AE31-A8AD767EEB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7B88D92-DA55-457B-AC33-8BD5AA2B053E}"/>
  </w:font>
  <w:font w:name="Calibri Light">
    <w:panose1 w:val="020F0302020204030204"/>
    <w:charset w:val="00"/>
    <w:family w:val="swiss"/>
    <w:pitch w:val="variable"/>
    <w:sig w:usb0="E4002EFF" w:usb1="C000247B" w:usb2="00000009" w:usb3="00000000" w:csb0="000001FF" w:csb1="00000000"/>
    <w:embedRegular r:id="rId5" w:fontKey="{51317B90-5BE7-4B7C-8B7F-2EACD8FCA96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333C"/>
    <w:multiLevelType w:val="multilevel"/>
    <w:tmpl w:val="61764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2"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A11A1"/>
    <w:multiLevelType w:val="multilevel"/>
    <w:tmpl w:val="0390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4D374C"/>
    <w:multiLevelType w:val="multilevel"/>
    <w:tmpl w:val="4C7A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94E7D"/>
    <w:multiLevelType w:val="multilevel"/>
    <w:tmpl w:val="B196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273100"/>
    <w:multiLevelType w:val="multilevel"/>
    <w:tmpl w:val="29FA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4F387D"/>
    <w:multiLevelType w:val="multilevel"/>
    <w:tmpl w:val="A14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3"/>
  </w:num>
  <w:num w:numId="2" w16cid:durableId="1882092387">
    <w:abstractNumId w:val="21"/>
  </w:num>
  <w:num w:numId="3" w16cid:durableId="1544052912">
    <w:abstractNumId w:val="1"/>
  </w:num>
  <w:num w:numId="4" w16cid:durableId="746540664">
    <w:abstractNumId w:val="2"/>
  </w:num>
  <w:num w:numId="5" w16cid:durableId="1108088842">
    <w:abstractNumId w:val="6"/>
  </w:num>
  <w:num w:numId="6" w16cid:durableId="1713579031">
    <w:abstractNumId w:val="20"/>
  </w:num>
  <w:num w:numId="7" w16cid:durableId="612253008">
    <w:abstractNumId w:val="19"/>
  </w:num>
  <w:num w:numId="8" w16cid:durableId="314267375">
    <w:abstractNumId w:val="15"/>
  </w:num>
  <w:num w:numId="9" w16cid:durableId="327443921">
    <w:abstractNumId w:val="16"/>
  </w:num>
  <w:num w:numId="10" w16cid:durableId="1481845840">
    <w:abstractNumId w:val="11"/>
  </w:num>
  <w:num w:numId="11" w16cid:durableId="1209099905">
    <w:abstractNumId w:val="9"/>
  </w:num>
  <w:num w:numId="12" w16cid:durableId="350495173">
    <w:abstractNumId w:val="8"/>
  </w:num>
  <w:num w:numId="13" w16cid:durableId="133064909">
    <w:abstractNumId w:val="14"/>
  </w:num>
  <w:num w:numId="14" w16cid:durableId="121389507">
    <w:abstractNumId w:val="12"/>
  </w:num>
  <w:num w:numId="15" w16cid:durableId="544491566">
    <w:abstractNumId w:val="7"/>
  </w:num>
  <w:num w:numId="16" w16cid:durableId="1903364063">
    <w:abstractNumId w:val="18"/>
  </w:num>
  <w:num w:numId="17" w16cid:durableId="1279871215">
    <w:abstractNumId w:val="4"/>
  </w:num>
  <w:num w:numId="18" w16cid:durableId="368459728">
    <w:abstractNumId w:val="22"/>
  </w:num>
  <w:num w:numId="19" w16cid:durableId="731780978">
    <w:abstractNumId w:val="17"/>
  </w:num>
  <w:num w:numId="20" w16cid:durableId="144784144">
    <w:abstractNumId w:val="10"/>
  </w:num>
  <w:num w:numId="21" w16cid:durableId="2107847454">
    <w:abstractNumId w:val="5"/>
  </w:num>
  <w:num w:numId="22" w16cid:durableId="696977169">
    <w:abstractNumId w:val="13"/>
  </w:num>
  <w:num w:numId="23" w16cid:durableId="1729181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0757F"/>
    <w:rsid w:val="00426865"/>
    <w:rsid w:val="00477CAA"/>
    <w:rsid w:val="00502E29"/>
    <w:rsid w:val="005E1FD5"/>
    <w:rsid w:val="005E458B"/>
    <w:rsid w:val="00672345"/>
    <w:rsid w:val="00705037"/>
    <w:rsid w:val="00786BC0"/>
    <w:rsid w:val="007A44D2"/>
    <w:rsid w:val="007C7917"/>
    <w:rsid w:val="00844EC2"/>
    <w:rsid w:val="008516FE"/>
    <w:rsid w:val="00871E54"/>
    <w:rsid w:val="00905BF5"/>
    <w:rsid w:val="00942251"/>
    <w:rsid w:val="009C1D0A"/>
    <w:rsid w:val="00A044F7"/>
    <w:rsid w:val="00A057BE"/>
    <w:rsid w:val="00A8150E"/>
    <w:rsid w:val="00B20343"/>
    <w:rsid w:val="00B37BB0"/>
    <w:rsid w:val="00B85EA7"/>
    <w:rsid w:val="00BE65DD"/>
    <w:rsid w:val="00C612A4"/>
    <w:rsid w:val="00C80777"/>
    <w:rsid w:val="00CB6C68"/>
    <w:rsid w:val="00CC6AD1"/>
    <w:rsid w:val="00CF34F8"/>
    <w:rsid w:val="00DF7E49"/>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2026-06-23T07:33:00Z</dcterms:created>
  <dcterms:modified xsi:type="dcterms:W3CDTF">2026-06-23T07:33:00Z</dcterms:modified>
</cp:coreProperties>
</file>