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511DD" w14:textId="52FDF49A" w:rsidR="008417B5" w:rsidRDefault="008417B5" w:rsidP="00315C83">
      <w:pPr>
        <w:spacing w:before="240" w:after="240"/>
        <w:jc w:val="center"/>
        <w:rPr>
          <w:rFonts w:cs="Times New Roman"/>
          <w:b/>
          <w:bCs/>
          <w:color w:val="000000" w:themeColor="text1"/>
          <w:sz w:val="40"/>
          <w:szCs w:val="40"/>
        </w:rPr>
      </w:pPr>
    </w:p>
    <w:p w14:paraId="739D9980" w14:textId="77777777" w:rsidR="009357FA" w:rsidRPr="00154298" w:rsidRDefault="009357FA" w:rsidP="00315C83">
      <w:pPr>
        <w:spacing w:before="240" w:after="240"/>
        <w:jc w:val="center"/>
        <w:rPr>
          <w:rFonts w:cs="Times New Roman"/>
          <w:b/>
          <w:bCs/>
          <w:color w:val="000000" w:themeColor="text1"/>
          <w:sz w:val="40"/>
          <w:szCs w:val="40"/>
        </w:rPr>
      </w:pPr>
    </w:p>
    <w:p w14:paraId="128B1518" w14:textId="77777777" w:rsidR="008417B5" w:rsidRPr="00154298" w:rsidRDefault="001D6576" w:rsidP="00315C83">
      <w:pPr>
        <w:pStyle w:val="Title"/>
        <w:spacing w:before="240" w:after="240" w:line="480" w:lineRule="auto"/>
        <w:contextualSpacing w:val="0"/>
        <w:jc w:val="center"/>
        <w:rPr>
          <w:rFonts w:ascii="Times New Roman" w:hAnsi="Times New Roman" w:cs="Times New Roman"/>
          <w:b/>
          <w:bCs/>
          <w:color w:val="000000" w:themeColor="text1"/>
        </w:rPr>
      </w:pPr>
      <w:r w:rsidRPr="00154298">
        <w:rPr>
          <w:rFonts w:ascii="Times New Roman" w:hAnsi="Times New Roman" w:cs="Times New Roman"/>
          <w:b/>
          <w:bCs/>
          <w:color w:val="000000" w:themeColor="text1"/>
        </w:rPr>
        <w:t>STRATEGIC ROLE OF MARGINAL COSTING AND COST-VOLUME-PROFIT ANALYSIS IN SHORT-TERM MANAGERIAL DECISION-MAKING</w:t>
      </w:r>
    </w:p>
    <w:p w14:paraId="7CB4E9F8" w14:textId="77777777" w:rsidR="008417B5" w:rsidRPr="00154298" w:rsidRDefault="008417B5" w:rsidP="00315C83">
      <w:pPr>
        <w:spacing w:before="240" w:after="240"/>
        <w:jc w:val="center"/>
        <w:rPr>
          <w:rFonts w:cs="Times New Roman"/>
          <w:b/>
          <w:bCs/>
          <w:color w:val="000000" w:themeColor="text1"/>
          <w:sz w:val="40"/>
          <w:szCs w:val="40"/>
        </w:rPr>
      </w:pPr>
    </w:p>
    <w:p w14:paraId="4380CE66" w14:textId="77777777" w:rsidR="008417B5" w:rsidRPr="00154298" w:rsidRDefault="001D6576" w:rsidP="00315C83">
      <w:pPr>
        <w:spacing w:before="240" w:after="240"/>
        <w:jc w:val="center"/>
        <w:rPr>
          <w:rFonts w:cs="Times New Roman"/>
          <w:b/>
          <w:bCs/>
          <w:color w:val="000000" w:themeColor="text1"/>
          <w:szCs w:val="24"/>
        </w:rPr>
      </w:pPr>
      <w:r w:rsidRPr="00154298">
        <w:rPr>
          <w:rFonts w:cs="Times New Roman"/>
          <w:b/>
          <w:bCs/>
          <w:color w:val="000000" w:themeColor="text1"/>
          <w:szCs w:val="24"/>
        </w:rPr>
        <w:t>Course: M08 – Cost Accounting</w:t>
      </w:r>
      <w:r w:rsidRPr="00154298">
        <w:rPr>
          <w:rFonts w:cs="Times New Roman"/>
          <w:b/>
          <w:bCs/>
          <w:color w:val="000000" w:themeColor="text1"/>
          <w:szCs w:val="24"/>
        </w:rPr>
        <w:br/>
        <w:t>Detailed Assignment Project Report</w:t>
      </w:r>
      <w:r w:rsidRPr="00154298">
        <w:rPr>
          <w:rFonts w:cs="Times New Roman"/>
          <w:b/>
          <w:bCs/>
          <w:color w:val="000000" w:themeColor="text1"/>
          <w:szCs w:val="24"/>
        </w:rPr>
        <w:br/>
        <w:t>Submission Deadline: 24th May 2026</w:t>
      </w:r>
      <w:r w:rsidRPr="00154298">
        <w:rPr>
          <w:rFonts w:cs="Times New Roman"/>
          <w:b/>
          <w:bCs/>
          <w:color w:val="000000" w:themeColor="text1"/>
          <w:szCs w:val="24"/>
        </w:rPr>
        <w:br/>
      </w:r>
      <w:r w:rsidRPr="00154298">
        <w:rPr>
          <w:rFonts w:cs="Times New Roman"/>
          <w:b/>
          <w:bCs/>
          <w:color w:val="000000" w:themeColor="text1"/>
          <w:szCs w:val="24"/>
        </w:rPr>
        <w:br/>
        <w:t>Submitted by:</w:t>
      </w:r>
      <w:r w:rsidRPr="00154298">
        <w:rPr>
          <w:rFonts w:cs="Times New Roman"/>
          <w:b/>
          <w:bCs/>
          <w:color w:val="000000" w:themeColor="text1"/>
          <w:szCs w:val="24"/>
        </w:rPr>
        <w:br/>
        <w:t>[Your Name / Student ID]</w:t>
      </w:r>
    </w:p>
    <w:p w14:paraId="3F7AE9E9"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br w:type="page"/>
      </w:r>
    </w:p>
    <w:sdt>
      <w:sdtPr>
        <w:rPr>
          <w:rFonts w:ascii="Times New Roman" w:hAnsi="Times New Roman" w:cs="Times New Roman"/>
          <w:color w:val="000000" w:themeColor="text1"/>
          <w:sz w:val="24"/>
          <w:szCs w:val="24"/>
        </w:rPr>
        <w:id w:val="320855839"/>
        <w:docPartObj>
          <w:docPartGallery w:val="Table of Contents"/>
          <w:docPartUnique/>
        </w:docPartObj>
      </w:sdtPr>
      <w:sdtEndPr>
        <w:rPr>
          <w:rFonts w:eastAsiaTheme="minorEastAsia"/>
          <w:noProof/>
        </w:rPr>
      </w:sdtEndPr>
      <w:sdtContent>
        <w:p w14:paraId="09B57848" w14:textId="533DEBE7" w:rsidR="00315C83" w:rsidRPr="00154298" w:rsidRDefault="00315C83" w:rsidP="00315C83">
          <w:pPr>
            <w:pStyle w:val="TOCHeading"/>
            <w:spacing w:before="240" w:after="240"/>
            <w:jc w:val="both"/>
            <w:rPr>
              <w:rFonts w:ascii="Times New Roman" w:hAnsi="Times New Roman" w:cs="Times New Roman"/>
              <w:color w:val="000000" w:themeColor="text1"/>
              <w:sz w:val="32"/>
              <w:szCs w:val="32"/>
            </w:rPr>
          </w:pPr>
          <w:r w:rsidRPr="00154298">
            <w:rPr>
              <w:rFonts w:ascii="Times New Roman" w:hAnsi="Times New Roman" w:cs="Times New Roman"/>
              <w:color w:val="000000" w:themeColor="text1"/>
              <w:sz w:val="32"/>
              <w:szCs w:val="32"/>
            </w:rPr>
            <w:t>Table of Contents</w:t>
          </w:r>
        </w:p>
        <w:p w14:paraId="398091E4" w14:textId="0DBCAFF4" w:rsidR="00315C83" w:rsidRPr="00154298" w:rsidRDefault="00315C83" w:rsidP="00315C83">
          <w:pPr>
            <w:pStyle w:val="TOC1"/>
            <w:tabs>
              <w:tab w:val="right" w:leader="dot" w:pos="9350"/>
            </w:tabs>
            <w:spacing w:before="240" w:after="240"/>
            <w:jc w:val="both"/>
            <w:rPr>
              <w:rFonts w:cs="Times New Roman"/>
              <w:noProof/>
              <w:color w:val="000000" w:themeColor="text1"/>
              <w:szCs w:val="24"/>
            </w:rPr>
          </w:pPr>
          <w:r w:rsidRPr="00154298">
            <w:rPr>
              <w:rFonts w:cs="Times New Roman"/>
              <w:color w:val="000000" w:themeColor="text1"/>
              <w:szCs w:val="24"/>
            </w:rPr>
            <w:fldChar w:fldCharType="begin"/>
          </w:r>
          <w:r w:rsidRPr="00154298">
            <w:rPr>
              <w:rFonts w:cs="Times New Roman"/>
              <w:color w:val="000000" w:themeColor="text1"/>
              <w:szCs w:val="24"/>
            </w:rPr>
            <w:instrText xml:space="preserve"> TOC \o "1-3" \h \z \u </w:instrText>
          </w:r>
          <w:r w:rsidRPr="00154298">
            <w:rPr>
              <w:rFonts w:cs="Times New Roman"/>
              <w:color w:val="000000" w:themeColor="text1"/>
              <w:szCs w:val="24"/>
            </w:rPr>
            <w:fldChar w:fldCharType="separate"/>
          </w:r>
          <w:hyperlink w:anchor="_Toc230292480" w:history="1">
            <w:r w:rsidRPr="00154298">
              <w:rPr>
                <w:rStyle w:val="Hyperlink"/>
                <w:rFonts w:cs="Times New Roman"/>
                <w:noProof/>
                <w:color w:val="000000" w:themeColor="text1"/>
                <w:szCs w:val="24"/>
              </w:rPr>
              <w:t>1. ABSTRACT</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_Toc230292480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4</w:t>
            </w:r>
            <w:r w:rsidRPr="00154298">
              <w:rPr>
                <w:rFonts w:cs="Times New Roman"/>
                <w:noProof/>
                <w:webHidden/>
                <w:color w:val="000000" w:themeColor="text1"/>
                <w:szCs w:val="24"/>
              </w:rPr>
              <w:fldChar w:fldCharType="end"/>
            </w:r>
          </w:hyperlink>
        </w:p>
        <w:p w14:paraId="1469B737" w14:textId="76EB2317" w:rsidR="00315C83" w:rsidRPr="00154298" w:rsidRDefault="00315C83" w:rsidP="00315C83">
          <w:pPr>
            <w:pStyle w:val="TOC1"/>
            <w:tabs>
              <w:tab w:val="right" w:leader="dot" w:pos="9350"/>
            </w:tabs>
            <w:spacing w:before="240" w:after="240"/>
            <w:jc w:val="both"/>
            <w:rPr>
              <w:rFonts w:cs="Times New Roman"/>
              <w:noProof/>
              <w:color w:val="000000" w:themeColor="text1"/>
              <w:szCs w:val="24"/>
            </w:rPr>
          </w:pPr>
          <w:hyperlink w:anchor="_Toc230292481" w:history="1">
            <w:r w:rsidRPr="00154298">
              <w:rPr>
                <w:rStyle w:val="Hyperlink"/>
                <w:rFonts w:cs="Times New Roman"/>
                <w:noProof/>
                <w:color w:val="000000" w:themeColor="text1"/>
                <w:szCs w:val="24"/>
              </w:rPr>
              <w:t>2. INTRODUCTION</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_Toc230292481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4</w:t>
            </w:r>
            <w:r w:rsidRPr="00154298">
              <w:rPr>
                <w:rFonts w:cs="Times New Roman"/>
                <w:noProof/>
                <w:webHidden/>
                <w:color w:val="000000" w:themeColor="text1"/>
                <w:szCs w:val="24"/>
              </w:rPr>
              <w:fldChar w:fldCharType="end"/>
            </w:r>
          </w:hyperlink>
        </w:p>
        <w:p w14:paraId="36A67539" w14:textId="71D6EECD" w:rsidR="00315C83" w:rsidRPr="00154298" w:rsidRDefault="00315C83" w:rsidP="00315C83">
          <w:pPr>
            <w:pStyle w:val="TOC1"/>
            <w:tabs>
              <w:tab w:val="right" w:leader="dot" w:pos="9350"/>
            </w:tabs>
            <w:spacing w:before="240" w:after="240"/>
            <w:jc w:val="both"/>
            <w:rPr>
              <w:rFonts w:cs="Times New Roman"/>
              <w:noProof/>
              <w:color w:val="000000" w:themeColor="text1"/>
              <w:szCs w:val="24"/>
            </w:rPr>
          </w:pPr>
          <w:hyperlink w:anchor="_Toc230292482" w:history="1">
            <w:r w:rsidRPr="00154298">
              <w:rPr>
                <w:rStyle w:val="Hyperlink"/>
                <w:rFonts w:cs="Times New Roman"/>
                <w:noProof/>
                <w:color w:val="000000" w:themeColor="text1"/>
                <w:szCs w:val="24"/>
              </w:rPr>
              <w:t>3. LITERATURE REVIEW</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_Toc230292482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6</w:t>
            </w:r>
            <w:r w:rsidRPr="00154298">
              <w:rPr>
                <w:rFonts w:cs="Times New Roman"/>
                <w:noProof/>
                <w:webHidden/>
                <w:color w:val="000000" w:themeColor="text1"/>
                <w:szCs w:val="24"/>
              </w:rPr>
              <w:fldChar w:fldCharType="end"/>
            </w:r>
          </w:hyperlink>
        </w:p>
        <w:p w14:paraId="2AEBE70C" w14:textId="1493C56E"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83" w:history="1">
            <w:r w:rsidRPr="00154298">
              <w:rPr>
                <w:rStyle w:val="Hyperlink"/>
                <w:rFonts w:cs="Times New Roman"/>
                <w:noProof/>
                <w:color w:val="000000" w:themeColor="text1"/>
                <w:szCs w:val="24"/>
              </w:rPr>
              <w:t>3.1 Conceptual Foundations of Marginal Costing</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_Toc230292483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6</w:t>
            </w:r>
            <w:r w:rsidRPr="00154298">
              <w:rPr>
                <w:rFonts w:cs="Times New Roman"/>
                <w:noProof/>
                <w:webHidden/>
                <w:color w:val="000000" w:themeColor="text1"/>
                <w:szCs w:val="24"/>
              </w:rPr>
              <w:fldChar w:fldCharType="end"/>
            </w:r>
          </w:hyperlink>
        </w:p>
        <w:p w14:paraId="370B7AF2" w14:textId="044B0452"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84" w:history="1">
            <w:r w:rsidRPr="00154298">
              <w:rPr>
                <w:rStyle w:val="Hyperlink"/>
                <w:rFonts w:cs="Times New Roman"/>
                <w:noProof/>
                <w:color w:val="000000" w:themeColor="text1"/>
                <w:szCs w:val="24"/>
              </w:rPr>
              <w:t>3.2 Mechanics of Cost-Volume-Profit (CVP) and Break-Even Analysis</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_Toc230292484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7</w:t>
            </w:r>
            <w:r w:rsidRPr="00154298">
              <w:rPr>
                <w:rFonts w:cs="Times New Roman"/>
                <w:noProof/>
                <w:webHidden/>
                <w:color w:val="000000" w:themeColor="text1"/>
                <w:szCs w:val="24"/>
              </w:rPr>
              <w:fldChar w:fldCharType="end"/>
            </w:r>
          </w:hyperlink>
        </w:p>
        <w:p w14:paraId="4E78699C" w14:textId="67115E2C"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85" w:history="1">
            <w:r w:rsidRPr="00154298">
              <w:rPr>
                <w:rStyle w:val="Hyperlink"/>
                <w:rFonts w:cs="Times New Roman"/>
                <w:noProof/>
                <w:color w:val="000000" w:themeColor="text1"/>
                <w:szCs w:val="24"/>
              </w:rPr>
              <w:t>3.3 Theoretical Framework: Relevant Costing and Neoclassical Microeconomics</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_Toc230292485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8</w:t>
            </w:r>
            <w:r w:rsidRPr="00154298">
              <w:rPr>
                <w:rFonts w:cs="Times New Roman"/>
                <w:noProof/>
                <w:webHidden/>
                <w:color w:val="000000" w:themeColor="text1"/>
                <w:szCs w:val="24"/>
              </w:rPr>
              <w:fldChar w:fldCharType="end"/>
            </w:r>
          </w:hyperlink>
        </w:p>
        <w:p w14:paraId="7C785B63" w14:textId="39133CE6" w:rsidR="00315C83" w:rsidRPr="00154298" w:rsidRDefault="00315C83" w:rsidP="00315C83">
          <w:pPr>
            <w:pStyle w:val="TOC1"/>
            <w:tabs>
              <w:tab w:val="right" w:leader="dot" w:pos="9350"/>
            </w:tabs>
            <w:spacing w:before="240" w:after="240"/>
            <w:jc w:val="both"/>
            <w:rPr>
              <w:rFonts w:cs="Times New Roman"/>
              <w:noProof/>
              <w:color w:val="000000" w:themeColor="text1"/>
              <w:szCs w:val="24"/>
            </w:rPr>
          </w:pPr>
          <w:hyperlink w:anchor="_Toc230292486" w:history="1">
            <w:r w:rsidRPr="00154298">
              <w:rPr>
                <w:rStyle w:val="Hyperlink"/>
                <w:rFonts w:cs="Times New Roman"/>
                <w:noProof/>
                <w:color w:val="000000" w:themeColor="text1"/>
                <w:szCs w:val="24"/>
              </w:rPr>
              <w:t>4. METHODOLOGY</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_Toc230292486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9</w:t>
            </w:r>
            <w:r w:rsidRPr="00154298">
              <w:rPr>
                <w:rFonts w:cs="Times New Roman"/>
                <w:noProof/>
                <w:webHidden/>
                <w:color w:val="000000" w:themeColor="text1"/>
                <w:szCs w:val="24"/>
              </w:rPr>
              <w:fldChar w:fldCharType="end"/>
            </w:r>
          </w:hyperlink>
        </w:p>
        <w:p w14:paraId="3056DD60" w14:textId="45688384"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87" w:history="1">
            <w:r w:rsidRPr="00154298">
              <w:rPr>
                <w:rStyle w:val="Hyperlink"/>
                <w:rFonts w:cs="Times New Roman"/>
                <w:noProof/>
                <w:color w:val="000000" w:themeColor="text1"/>
                <w:szCs w:val="24"/>
              </w:rPr>
              <w:t>4.1 Research Design and Topic-Based Context</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_Toc230292487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9</w:t>
            </w:r>
            <w:r w:rsidRPr="00154298">
              <w:rPr>
                <w:rFonts w:cs="Times New Roman"/>
                <w:noProof/>
                <w:webHidden/>
                <w:color w:val="000000" w:themeColor="text1"/>
                <w:szCs w:val="24"/>
              </w:rPr>
              <w:fldChar w:fldCharType="end"/>
            </w:r>
          </w:hyperlink>
        </w:p>
        <w:p w14:paraId="0F7781D2" w14:textId="30D74AC2"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88" w:history="1">
            <w:r w:rsidRPr="00154298">
              <w:rPr>
                <w:rStyle w:val="Hyperlink"/>
                <w:rFonts w:cs="Times New Roman"/>
                <w:noProof/>
                <w:color w:val="000000" w:themeColor="text1"/>
                <w:szCs w:val="24"/>
              </w:rPr>
              <w:t>4.2 Analytical Models Applied</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_Toc230292488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10</w:t>
            </w:r>
            <w:r w:rsidRPr="00154298">
              <w:rPr>
                <w:rFonts w:cs="Times New Roman"/>
                <w:noProof/>
                <w:webHidden/>
                <w:color w:val="000000" w:themeColor="text1"/>
                <w:szCs w:val="24"/>
              </w:rPr>
              <w:fldChar w:fldCharType="end"/>
            </w:r>
          </w:hyperlink>
        </w:p>
        <w:p w14:paraId="76BC15E0" w14:textId="31603E1C" w:rsidR="00315C83" w:rsidRPr="00154298" w:rsidRDefault="00315C83" w:rsidP="00315C83">
          <w:pPr>
            <w:pStyle w:val="TOC1"/>
            <w:tabs>
              <w:tab w:val="right" w:leader="dot" w:pos="9350"/>
            </w:tabs>
            <w:spacing w:before="240" w:after="240"/>
            <w:jc w:val="both"/>
            <w:rPr>
              <w:rFonts w:cs="Times New Roman"/>
              <w:noProof/>
              <w:color w:val="000000" w:themeColor="text1"/>
              <w:szCs w:val="24"/>
            </w:rPr>
          </w:pPr>
          <w:hyperlink w:anchor="_Toc230292489" w:history="1">
            <w:r w:rsidRPr="00154298">
              <w:rPr>
                <w:rStyle w:val="Hyperlink"/>
                <w:rFonts w:cs="Times New Roman"/>
                <w:noProof/>
                <w:color w:val="000000" w:themeColor="text1"/>
                <w:szCs w:val="24"/>
              </w:rPr>
              <w:t>5. FINDINGS</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_Toc230292489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11</w:t>
            </w:r>
            <w:r w:rsidRPr="00154298">
              <w:rPr>
                <w:rFonts w:cs="Times New Roman"/>
                <w:noProof/>
                <w:webHidden/>
                <w:color w:val="000000" w:themeColor="text1"/>
                <w:szCs w:val="24"/>
              </w:rPr>
              <w:fldChar w:fldCharType="end"/>
            </w:r>
          </w:hyperlink>
        </w:p>
        <w:p w14:paraId="28A0223F" w14:textId="0B187D61"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90" w:history="1">
            <w:r w:rsidRPr="00154298">
              <w:rPr>
                <w:rStyle w:val="Hyperlink"/>
                <w:rFonts w:cs="Times New Roman"/>
                <w:noProof/>
                <w:color w:val="000000" w:themeColor="text1"/>
                <w:szCs w:val="24"/>
              </w:rPr>
              <w:t>5.1 Tactical Applications: Pricing and Product Mix Optimization</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_Toc230292490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11</w:t>
            </w:r>
            <w:r w:rsidRPr="00154298">
              <w:rPr>
                <w:rFonts w:cs="Times New Roman"/>
                <w:noProof/>
                <w:webHidden/>
                <w:color w:val="000000" w:themeColor="text1"/>
                <w:szCs w:val="24"/>
              </w:rPr>
              <w:fldChar w:fldCharType="end"/>
            </w:r>
          </w:hyperlink>
        </w:p>
        <w:p w14:paraId="224E85B5" w14:textId="0D3306C0"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91" w:history="1">
            <w:r w:rsidRPr="00154298">
              <w:rPr>
                <w:rStyle w:val="Hyperlink"/>
                <w:rFonts w:cs="Times New Roman"/>
                <w:noProof/>
                <w:color w:val="000000" w:themeColor="text1"/>
                <w:szCs w:val="24"/>
              </w:rPr>
              <w:t>5.2 Structured Scenarios: Make-or-Buy and Special Order Appraisals</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_Toc230292491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14</w:t>
            </w:r>
            <w:r w:rsidRPr="00154298">
              <w:rPr>
                <w:rFonts w:cs="Times New Roman"/>
                <w:noProof/>
                <w:webHidden/>
                <w:color w:val="000000" w:themeColor="text1"/>
                <w:szCs w:val="24"/>
              </w:rPr>
              <w:fldChar w:fldCharType="end"/>
            </w:r>
          </w:hyperlink>
        </w:p>
        <w:p w14:paraId="396C3AC9" w14:textId="23A2CD5B"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92" w:history="1">
            <w:r w:rsidRPr="00154298">
              <w:rPr>
                <w:rStyle w:val="Hyperlink"/>
                <w:rFonts w:cs="Times New Roman"/>
                <w:noProof/>
                <w:color w:val="000000" w:themeColor="text1"/>
                <w:szCs w:val="24"/>
              </w:rPr>
              <w:t>5.3 Comparative Matrix: Variable vs. Absorption Perspectives</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_Toc230292492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15</w:t>
            </w:r>
            <w:r w:rsidRPr="00154298">
              <w:rPr>
                <w:rFonts w:cs="Times New Roman"/>
                <w:noProof/>
                <w:webHidden/>
                <w:color w:val="000000" w:themeColor="text1"/>
                <w:szCs w:val="24"/>
              </w:rPr>
              <w:fldChar w:fldCharType="end"/>
            </w:r>
          </w:hyperlink>
        </w:p>
        <w:p w14:paraId="0817F62F" w14:textId="7F79A035" w:rsidR="00315C83" w:rsidRPr="00154298" w:rsidRDefault="00315C83" w:rsidP="00315C83">
          <w:pPr>
            <w:pStyle w:val="TOC1"/>
            <w:tabs>
              <w:tab w:val="right" w:leader="dot" w:pos="9350"/>
            </w:tabs>
            <w:spacing w:before="240" w:after="240"/>
            <w:jc w:val="both"/>
            <w:rPr>
              <w:rFonts w:cs="Times New Roman"/>
              <w:noProof/>
              <w:color w:val="000000" w:themeColor="text1"/>
              <w:szCs w:val="24"/>
            </w:rPr>
          </w:pPr>
          <w:hyperlink w:anchor="_Toc230292493" w:history="1">
            <w:r w:rsidRPr="00154298">
              <w:rPr>
                <w:rStyle w:val="Hyperlink"/>
                <w:rFonts w:cs="Times New Roman"/>
                <w:noProof/>
                <w:color w:val="000000" w:themeColor="text1"/>
                <w:szCs w:val="24"/>
              </w:rPr>
              <w:t>6. DISCUSSION</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_Toc230292493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16</w:t>
            </w:r>
            <w:r w:rsidRPr="00154298">
              <w:rPr>
                <w:rFonts w:cs="Times New Roman"/>
                <w:noProof/>
                <w:webHidden/>
                <w:color w:val="000000" w:themeColor="text1"/>
                <w:szCs w:val="24"/>
              </w:rPr>
              <w:fldChar w:fldCharType="end"/>
            </w:r>
          </w:hyperlink>
        </w:p>
        <w:p w14:paraId="1A4C0F4A" w14:textId="508E76B2"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94" w:history="1">
            <w:r w:rsidRPr="00154298">
              <w:rPr>
                <w:rStyle w:val="Hyperlink"/>
                <w:rFonts w:cs="Times New Roman"/>
                <w:noProof/>
                <w:color w:val="000000" w:themeColor="text1"/>
                <w:szCs w:val="24"/>
              </w:rPr>
              <w:t>6.1 Strategic Implementation: Profit Optimization and Risk Reduction</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_Toc230292494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16</w:t>
            </w:r>
            <w:r w:rsidRPr="00154298">
              <w:rPr>
                <w:rFonts w:cs="Times New Roman"/>
                <w:noProof/>
                <w:webHidden/>
                <w:color w:val="000000" w:themeColor="text1"/>
                <w:szCs w:val="24"/>
              </w:rPr>
              <w:fldChar w:fldCharType="end"/>
            </w:r>
          </w:hyperlink>
        </w:p>
        <w:p w14:paraId="72F355C8" w14:textId="4FC55E9A"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95" w:history="1">
            <w:r w:rsidRPr="00154298">
              <w:rPr>
                <w:rStyle w:val="Hyperlink"/>
                <w:rFonts w:cs="Times New Roman"/>
                <w:noProof/>
                <w:color w:val="000000" w:themeColor="text1"/>
                <w:szCs w:val="24"/>
              </w:rPr>
              <w:t>6.2 Critical Evaluation: Assumptions vs. Real-World Constraints</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_Toc230292495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17</w:t>
            </w:r>
            <w:r w:rsidRPr="00154298">
              <w:rPr>
                <w:rFonts w:cs="Times New Roman"/>
                <w:noProof/>
                <w:webHidden/>
                <w:color w:val="000000" w:themeColor="text1"/>
                <w:szCs w:val="24"/>
              </w:rPr>
              <w:fldChar w:fldCharType="end"/>
            </w:r>
          </w:hyperlink>
        </w:p>
        <w:p w14:paraId="7C2ED9EE" w14:textId="4586A5EB" w:rsidR="00315C83" w:rsidRPr="00154298" w:rsidRDefault="00315C83" w:rsidP="00315C83">
          <w:pPr>
            <w:pStyle w:val="TOC1"/>
            <w:tabs>
              <w:tab w:val="right" w:leader="dot" w:pos="9350"/>
            </w:tabs>
            <w:spacing w:before="240" w:after="240"/>
            <w:jc w:val="both"/>
            <w:rPr>
              <w:rFonts w:cs="Times New Roman"/>
              <w:noProof/>
              <w:color w:val="000000" w:themeColor="text1"/>
              <w:szCs w:val="24"/>
            </w:rPr>
          </w:pPr>
          <w:hyperlink w:anchor="_Toc230292496" w:history="1">
            <w:r w:rsidRPr="00154298">
              <w:rPr>
                <w:rStyle w:val="Hyperlink"/>
                <w:rFonts w:cs="Times New Roman"/>
                <w:noProof/>
                <w:color w:val="000000" w:themeColor="text1"/>
                <w:szCs w:val="24"/>
              </w:rPr>
              <w:t>7. CONCLUSION</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_Toc230292496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18</w:t>
            </w:r>
            <w:r w:rsidRPr="00154298">
              <w:rPr>
                <w:rFonts w:cs="Times New Roman"/>
                <w:noProof/>
                <w:webHidden/>
                <w:color w:val="000000" w:themeColor="text1"/>
                <w:szCs w:val="24"/>
              </w:rPr>
              <w:fldChar w:fldCharType="end"/>
            </w:r>
          </w:hyperlink>
        </w:p>
        <w:p w14:paraId="2C6B7E77" w14:textId="367A3039" w:rsidR="00315C83" w:rsidRPr="00154298" w:rsidRDefault="00315C83" w:rsidP="00315C83">
          <w:pPr>
            <w:pStyle w:val="TOC1"/>
            <w:tabs>
              <w:tab w:val="right" w:leader="dot" w:pos="9350"/>
            </w:tabs>
            <w:spacing w:before="240" w:after="240"/>
            <w:jc w:val="both"/>
            <w:rPr>
              <w:rFonts w:cs="Times New Roman"/>
              <w:noProof/>
              <w:color w:val="000000" w:themeColor="text1"/>
              <w:szCs w:val="24"/>
            </w:rPr>
          </w:pPr>
          <w:hyperlink w:anchor="_Toc230292497" w:history="1">
            <w:r w:rsidRPr="00154298">
              <w:rPr>
                <w:rStyle w:val="Hyperlink"/>
                <w:rFonts w:cs="Times New Roman"/>
                <w:noProof/>
                <w:color w:val="000000" w:themeColor="text1"/>
                <w:szCs w:val="24"/>
              </w:rPr>
              <w:t>8. REFERENCES</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_Toc230292497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20</w:t>
            </w:r>
            <w:r w:rsidRPr="00154298">
              <w:rPr>
                <w:rFonts w:cs="Times New Roman"/>
                <w:noProof/>
                <w:webHidden/>
                <w:color w:val="000000" w:themeColor="text1"/>
                <w:szCs w:val="24"/>
              </w:rPr>
              <w:fldChar w:fldCharType="end"/>
            </w:r>
          </w:hyperlink>
        </w:p>
        <w:p w14:paraId="32DF7093" w14:textId="68922260" w:rsidR="00315C83" w:rsidRPr="00154298" w:rsidRDefault="00315C83" w:rsidP="00315C83">
          <w:pPr>
            <w:pStyle w:val="TOC1"/>
            <w:tabs>
              <w:tab w:val="right" w:leader="dot" w:pos="9350"/>
            </w:tabs>
            <w:spacing w:before="240" w:after="240"/>
            <w:jc w:val="both"/>
            <w:rPr>
              <w:rFonts w:cs="Times New Roman"/>
              <w:noProof/>
              <w:color w:val="000000" w:themeColor="text1"/>
              <w:szCs w:val="24"/>
            </w:rPr>
          </w:pPr>
          <w:hyperlink w:anchor="_Toc230292498" w:history="1">
            <w:r w:rsidRPr="00154298">
              <w:rPr>
                <w:rStyle w:val="Hyperlink"/>
                <w:rFonts w:cs="Times New Roman"/>
                <w:noProof/>
                <w:color w:val="000000" w:themeColor="text1"/>
                <w:szCs w:val="24"/>
              </w:rPr>
              <w:t>9. APPENDICES</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_Toc230292498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22</w:t>
            </w:r>
            <w:r w:rsidRPr="00154298">
              <w:rPr>
                <w:rFonts w:cs="Times New Roman"/>
                <w:noProof/>
                <w:webHidden/>
                <w:color w:val="000000" w:themeColor="text1"/>
                <w:szCs w:val="24"/>
              </w:rPr>
              <w:fldChar w:fldCharType="end"/>
            </w:r>
          </w:hyperlink>
        </w:p>
        <w:p w14:paraId="40EE8CF9" w14:textId="5F77865A"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499" w:history="1">
            <w:r w:rsidRPr="00154298">
              <w:rPr>
                <w:rStyle w:val="Hyperlink"/>
                <w:rFonts w:cs="Times New Roman"/>
                <w:noProof/>
                <w:color w:val="000000" w:themeColor="text1"/>
                <w:szCs w:val="24"/>
              </w:rPr>
              <w:t>Appendix A: Summary of Cost-Volume-Profit Formulas</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_Toc230292499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22</w:t>
            </w:r>
            <w:r w:rsidRPr="00154298">
              <w:rPr>
                <w:rFonts w:cs="Times New Roman"/>
                <w:noProof/>
                <w:webHidden/>
                <w:color w:val="000000" w:themeColor="text1"/>
                <w:szCs w:val="24"/>
              </w:rPr>
              <w:fldChar w:fldCharType="end"/>
            </w:r>
          </w:hyperlink>
        </w:p>
        <w:p w14:paraId="1AA2F092" w14:textId="0AF77987" w:rsidR="00315C83" w:rsidRPr="00154298" w:rsidRDefault="00315C83" w:rsidP="00315C83">
          <w:pPr>
            <w:pStyle w:val="TOC2"/>
            <w:tabs>
              <w:tab w:val="right" w:leader="dot" w:pos="9350"/>
            </w:tabs>
            <w:spacing w:before="240" w:after="240"/>
            <w:ind w:left="0"/>
            <w:jc w:val="both"/>
            <w:rPr>
              <w:rFonts w:cs="Times New Roman"/>
              <w:noProof/>
              <w:color w:val="000000" w:themeColor="text1"/>
              <w:szCs w:val="24"/>
            </w:rPr>
          </w:pPr>
          <w:hyperlink w:anchor="_Toc230292500" w:history="1">
            <w:r w:rsidRPr="00154298">
              <w:rPr>
                <w:rStyle w:val="Hyperlink"/>
                <w:rFonts w:cs="Times New Roman"/>
                <w:noProof/>
                <w:color w:val="000000" w:themeColor="text1"/>
                <w:szCs w:val="24"/>
              </w:rPr>
              <w:t>Appendix B: Step-By-Step Mathematical Solutions for Multi-Product Constraints</w:t>
            </w:r>
            <w:r w:rsidRPr="00154298">
              <w:rPr>
                <w:rFonts w:cs="Times New Roman"/>
                <w:noProof/>
                <w:webHidden/>
                <w:color w:val="000000" w:themeColor="text1"/>
                <w:szCs w:val="24"/>
              </w:rPr>
              <w:tab/>
            </w:r>
            <w:r w:rsidRPr="00154298">
              <w:rPr>
                <w:rFonts w:cs="Times New Roman"/>
                <w:noProof/>
                <w:webHidden/>
                <w:color w:val="000000" w:themeColor="text1"/>
                <w:szCs w:val="24"/>
              </w:rPr>
              <w:fldChar w:fldCharType="begin"/>
            </w:r>
            <w:r w:rsidRPr="00154298">
              <w:rPr>
                <w:rFonts w:cs="Times New Roman"/>
                <w:noProof/>
                <w:webHidden/>
                <w:color w:val="000000" w:themeColor="text1"/>
                <w:szCs w:val="24"/>
              </w:rPr>
              <w:instrText xml:space="preserve"> PAGEREF _Toc230292500 \h </w:instrText>
            </w:r>
            <w:r w:rsidRPr="00154298">
              <w:rPr>
                <w:rFonts w:cs="Times New Roman"/>
                <w:noProof/>
                <w:webHidden/>
                <w:color w:val="000000" w:themeColor="text1"/>
                <w:szCs w:val="24"/>
              </w:rPr>
            </w:r>
            <w:r w:rsidRPr="00154298">
              <w:rPr>
                <w:rFonts w:cs="Times New Roman"/>
                <w:noProof/>
                <w:webHidden/>
                <w:color w:val="000000" w:themeColor="text1"/>
                <w:szCs w:val="24"/>
              </w:rPr>
              <w:fldChar w:fldCharType="separate"/>
            </w:r>
            <w:r w:rsidR="009357FA">
              <w:rPr>
                <w:rFonts w:cs="Times New Roman"/>
                <w:noProof/>
                <w:webHidden/>
                <w:color w:val="000000" w:themeColor="text1"/>
                <w:szCs w:val="24"/>
              </w:rPr>
              <w:t>22</w:t>
            </w:r>
            <w:r w:rsidRPr="00154298">
              <w:rPr>
                <w:rFonts w:cs="Times New Roman"/>
                <w:noProof/>
                <w:webHidden/>
                <w:color w:val="000000" w:themeColor="text1"/>
                <w:szCs w:val="24"/>
              </w:rPr>
              <w:fldChar w:fldCharType="end"/>
            </w:r>
          </w:hyperlink>
        </w:p>
        <w:p w14:paraId="11D40873" w14:textId="11A071E4" w:rsidR="00315C83" w:rsidRPr="00154298" w:rsidRDefault="00315C83" w:rsidP="00315C83">
          <w:pPr>
            <w:spacing w:before="240" w:after="240"/>
            <w:jc w:val="both"/>
            <w:rPr>
              <w:rFonts w:cs="Times New Roman"/>
              <w:color w:val="000000" w:themeColor="text1"/>
              <w:szCs w:val="24"/>
            </w:rPr>
          </w:pPr>
          <w:r w:rsidRPr="00154298">
            <w:rPr>
              <w:rFonts w:cs="Times New Roman"/>
              <w:b/>
              <w:bCs/>
              <w:noProof/>
              <w:color w:val="000000" w:themeColor="text1"/>
              <w:szCs w:val="24"/>
            </w:rPr>
            <w:fldChar w:fldCharType="end"/>
          </w:r>
        </w:p>
      </w:sdtContent>
    </w:sdt>
    <w:p w14:paraId="2D35CBDE"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br w:type="page"/>
      </w:r>
    </w:p>
    <w:p w14:paraId="03DAD673" w14:textId="77777777" w:rsidR="008417B5" w:rsidRPr="00154298" w:rsidRDefault="001D6576" w:rsidP="00315C83">
      <w:pPr>
        <w:pStyle w:val="Heading1"/>
        <w:spacing w:before="240" w:after="240"/>
        <w:jc w:val="both"/>
        <w:rPr>
          <w:rFonts w:ascii="Times New Roman" w:hAnsi="Times New Roman" w:cs="Times New Roman"/>
          <w:color w:val="000000" w:themeColor="text1"/>
          <w:sz w:val="24"/>
          <w:szCs w:val="24"/>
        </w:rPr>
      </w:pPr>
      <w:bookmarkStart w:id="0" w:name="_Toc230292480"/>
      <w:r w:rsidRPr="00154298">
        <w:rPr>
          <w:rFonts w:ascii="Times New Roman" w:hAnsi="Times New Roman" w:cs="Times New Roman"/>
          <w:color w:val="000000" w:themeColor="text1"/>
          <w:sz w:val="24"/>
          <w:szCs w:val="24"/>
        </w:rPr>
        <w:lastRenderedPageBreak/>
        <w:t>1. ABSTRACT</w:t>
      </w:r>
      <w:bookmarkEnd w:id="0"/>
    </w:p>
    <w:p w14:paraId="7D61A23C" w14:textId="6511DDAE" w:rsidR="008417B5" w:rsidRPr="00154298" w:rsidRDefault="00132747" w:rsidP="00315C83">
      <w:pPr>
        <w:spacing w:before="240" w:after="240"/>
        <w:jc w:val="both"/>
        <w:rPr>
          <w:rFonts w:cs="Times New Roman"/>
          <w:color w:val="000000" w:themeColor="text1"/>
          <w:szCs w:val="24"/>
        </w:rPr>
      </w:pPr>
      <w:r w:rsidRPr="00154298">
        <w:rPr>
          <w:rFonts w:cs="Times New Roman"/>
          <w:color w:val="000000" w:themeColor="text1"/>
          <w:szCs w:val="24"/>
        </w:rPr>
        <w:t>This project report gives a clear and critical understanding of the concepts of marginal costing, contribution margin ratio and cost-volume-profit (CVP) analysis and their relevance in the context of contemporary management decision making. In an uncertain economy, corporate managers are increasingly looking for flexible cost accounting tools that distinguish between variable operating costs and fixed capacity costs. This paper examines the role of marginal costing as a dynamic alternative to the traditional full absorption costing architectures using secondary research data, industry case analyses and mathematical modelling.</w:t>
      </w:r>
      <w:r w:rsidR="006F1638" w:rsidRPr="00154298">
        <w:rPr>
          <w:rFonts w:cs="Times New Roman"/>
          <w:color w:val="000000" w:themeColor="text1"/>
          <w:szCs w:val="24"/>
        </w:rPr>
        <w:t xml:space="preserve"> </w:t>
      </w:r>
      <w:r w:rsidRPr="00154298">
        <w:rPr>
          <w:rFonts w:cs="Times New Roman"/>
          <w:color w:val="000000" w:themeColor="text1"/>
          <w:szCs w:val="24"/>
        </w:rPr>
        <w:t>Four key short-term tactical decisions are examined: pricing during market recessions, optimal multi-product mix constraints when dealing with a limiting key factor, make or buy outsourcing options, and unique special order financial reviews. The results demonstrate that if managers consider only variable cost thresholds, they will miss out on accepting orders that contribute positively to the fixed cost. A balanced critical discussion, however, reveals the weaknesses of these models, especially the assumption of linear relationships, fixed prices, and the lack of consideration of step fixed operational costs in the long term. In conclusion, this report provides a practical guide to integrating CVP sensitivities into risk management frameworks to ensure organizational liquidity, develop defensive pricing strategies, and foster sustainable growth</w:t>
      </w:r>
      <w:r w:rsidR="001D6576" w:rsidRPr="00154298">
        <w:rPr>
          <w:rFonts w:cs="Times New Roman"/>
          <w:color w:val="000000" w:themeColor="text1"/>
          <w:szCs w:val="24"/>
        </w:rPr>
        <w:t>.</w:t>
      </w:r>
    </w:p>
    <w:p w14:paraId="2599DB4C" w14:textId="77777777" w:rsidR="008417B5" w:rsidRPr="00154298" w:rsidRDefault="001D6576" w:rsidP="00315C83">
      <w:pPr>
        <w:pStyle w:val="Heading1"/>
        <w:spacing w:before="240" w:after="240"/>
        <w:jc w:val="both"/>
        <w:rPr>
          <w:rFonts w:ascii="Times New Roman" w:hAnsi="Times New Roman" w:cs="Times New Roman"/>
          <w:color w:val="000000" w:themeColor="text1"/>
          <w:sz w:val="24"/>
          <w:szCs w:val="24"/>
        </w:rPr>
      </w:pPr>
      <w:bookmarkStart w:id="1" w:name="_Toc230292481"/>
      <w:r w:rsidRPr="00154298">
        <w:rPr>
          <w:rFonts w:ascii="Times New Roman" w:hAnsi="Times New Roman" w:cs="Times New Roman"/>
          <w:color w:val="000000" w:themeColor="text1"/>
          <w:sz w:val="24"/>
          <w:szCs w:val="24"/>
        </w:rPr>
        <w:t>2. INTRODUCTION</w:t>
      </w:r>
      <w:bookmarkEnd w:id="1"/>
    </w:p>
    <w:p w14:paraId="797E8CF1" w14:textId="27A3D789" w:rsidR="00B6366A" w:rsidRPr="00154298" w:rsidRDefault="00B6366A" w:rsidP="00315C83">
      <w:pPr>
        <w:spacing w:before="240" w:after="240"/>
        <w:jc w:val="both"/>
        <w:rPr>
          <w:rFonts w:cs="Times New Roman"/>
          <w:color w:val="000000" w:themeColor="text1"/>
          <w:szCs w:val="24"/>
        </w:rPr>
      </w:pPr>
      <w:r w:rsidRPr="00154298">
        <w:rPr>
          <w:rFonts w:cs="Times New Roman"/>
          <w:color w:val="000000" w:themeColor="text1"/>
          <w:szCs w:val="24"/>
        </w:rPr>
        <w:t xml:space="preserve">In today's business landscape, financial agility is the lifeline of corporate survival, driven by data. Traditional approaches to calculating total corporate costs can become ineffective as global organizations deal with volatile raw material prices, erratic consumer demand and fierce competition. Absorption costing is a traditional cost accounting method that allocates the fixed </w:t>
      </w:r>
      <w:r w:rsidRPr="00154298">
        <w:rPr>
          <w:rFonts w:cs="Times New Roman"/>
          <w:color w:val="000000" w:themeColor="text1"/>
          <w:szCs w:val="24"/>
        </w:rPr>
        <w:lastRenderedPageBreak/>
        <w:t>factory overhead costs to each unit produced. This approach meets external financial reporting requirements and accounting principles, but often results in poor visibility for short-term operational steering. For example, if the volume of production decreases, then the absorption models cause the cost of each unit to appear higher because the fixed overhead is distributed among fewer units. This accounting illusion can lead managers to increase retail prices when they should be decreasing them to gain critical market volume and to stay competitive.</w:t>
      </w:r>
    </w:p>
    <w:p w14:paraId="0B213D36" w14:textId="4906DEF2" w:rsidR="00B6366A" w:rsidRPr="00154298" w:rsidRDefault="00B6366A" w:rsidP="00315C83">
      <w:pPr>
        <w:spacing w:before="240" w:after="240"/>
        <w:jc w:val="both"/>
        <w:rPr>
          <w:rFonts w:cs="Times New Roman"/>
          <w:color w:val="000000" w:themeColor="text1"/>
          <w:szCs w:val="24"/>
        </w:rPr>
      </w:pPr>
      <w:r w:rsidRPr="00154298">
        <w:rPr>
          <w:rFonts w:cs="Times New Roman"/>
          <w:color w:val="000000" w:themeColor="text1"/>
          <w:szCs w:val="24"/>
        </w:rPr>
        <w:t xml:space="preserve">Modern managers avoid this operational distortion by using marginal costing. This tactical approach is based on the concept of incremental out-of-pocket costs (direct materials, direct </w:t>
      </w:r>
      <w:proofErr w:type="spellStart"/>
      <w:r w:rsidRPr="00154298">
        <w:rPr>
          <w:rFonts w:cs="Times New Roman"/>
          <w:color w:val="000000" w:themeColor="text1"/>
          <w:szCs w:val="24"/>
        </w:rPr>
        <w:t>labour</w:t>
      </w:r>
      <w:proofErr w:type="spellEnd"/>
      <w:r w:rsidRPr="00154298">
        <w:rPr>
          <w:rFonts w:cs="Times New Roman"/>
          <w:color w:val="000000" w:themeColor="text1"/>
          <w:szCs w:val="24"/>
        </w:rPr>
        <w:t>, variable overheads) and fixed costs are considered as period costs that are expensed in the period in which they are incurred. The analytical tool used in this approach is Cost-Volume-Profit (CVP) analysis. CVP examines the interdependent and dynamic relationships among absolute selling prices, variable operating parameters, output levels and overall net profitability to provide a more comprehensive view of real-time operational performance.</w:t>
      </w:r>
    </w:p>
    <w:p w14:paraId="1A7EC40F" w14:textId="50863E0A" w:rsidR="008417B5" w:rsidRPr="00154298" w:rsidRDefault="00B6366A" w:rsidP="00315C83">
      <w:pPr>
        <w:spacing w:before="240" w:after="240"/>
        <w:jc w:val="both"/>
        <w:rPr>
          <w:rFonts w:cs="Times New Roman"/>
          <w:color w:val="000000" w:themeColor="text1"/>
          <w:szCs w:val="24"/>
        </w:rPr>
      </w:pPr>
      <w:r w:rsidRPr="00154298">
        <w:rPr>
          <w:rFonts w:cs="Times New Roman"/>
          <w:color w:val="000000" w:themeColor="text1"/>
          <w:szCs w:val="24"/>
        </w:rPr>
        <w:t xml:space="preserve">The basic objective of this extensive project report is to critically assess the strategic significance of marginal costing and break-even applications in contemporary management groups. It evaluates how isolating variable cost layers gives executives clear insight into short-term performance metrics. This financial clarity enables leadership to make confident decisions at complex decision drop-off points, including special pricing opportunities in market downturns, optimal multi-product mix constraints for limited resources and make-or-buy outsourcing decisions. Moreover, this paper describes structured risk-reduction frameworks that allow corporate planners to maximize cash contributions in the short term, to effectively manage operational leverage, and without sacrificing long-term positioning or the overall health of the market. In conclusion, this introduction sets the stage for grasping the implications of the </w:t>
      </w:r>
      <w:r w:rsidRPr="00154298">
        <w:rPr>
          <w:rFonts w:cs="Times New Roman"/>
          <w:color w:val="000000" w:themeColor="text1"/>
          <w:szCs w:val="24"/>
        </w:rPr>
        <w:lastRenderedPageBreak/>
        <w:t>distinction between variable and fixed cost structures and how this distinction can turn accounting data into a flexible instrument for tactical business steering and sustainable profit optimization.</w:t>
      </w:r>
    </w:p>
    <w:p w14:paraId="0C3437F0" w14:textId="77777777" w:rsidR="008417B5" w:rsidRPr="00154298" w:rsidRDefault="001D6576" w:rsidP="00315C83">
      <w:pPr>
        <w:pStyle w:val="Heading1"/>
        <w:spacing w:before="240" w:after="240"/>
        <w:jc w:val="both"/>
        <w:rPr>
          <w:rFonts w:ascii="Times New Roman" w:hAnsi="Times New Roman" w:cs="Times New Roman"/>
          <w:color w:val="000000" w:themeColor="text1"/>
          <w:sz w:val="24"/>
          <w:szCs w:val="24"/>
        </w:rPr>
      </w:pPr>
      <w:bookmarkStart w:id="2" w:name="_Toc230292482"/>
      <w:r w:rsidRPr="00154298">
        <w:rPr>
          <w:rFonts w:ascii="Times New Roman" w:hAnsi="Times New Roman" w:cs="Times New Roman"/>
          <w:color w:val="000000" w:themeColor="text1"/>
          <w:sz w:val="24"/>
          <w:szCs w:val="24"/>
        </w:rPr>
        <w:t>3. LITERATURE REVIEW</w:t>
      </w:r>
      <w:bookmarkEnd w:id="2"/>
    </w:p>
    <w:p w14:paraId="4A52A66A"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3" w:name="_Toc230292483"/>
      <w:r w:rsidRPr="00154298">
        <w:rPr>
          <w:rFonts w:ascii="Times New Roman" w:hAnsi="Times New Roman" w:cs="Times New Roman"/>
          <w:color w:val="000000" w:themeColor="text1"/>
          <w:sz w:val="24"/>
          <w:szCs w:val="24"/>
        </w:rPr>
        <w:t>3.1 Conceptual Foundations of Marginal Costing</w:t>
      </w:r>
      <w:bookmarkEnd w:id="3"/>
    </w:p>
    <w:p w14:paraId="40F6D16E" w14:textId="6940D94D" w:rsidR="00A84442" w:rsidRPr="00154298" w:rsidRDefault="00140E5A" w:rsidP="00315C83">
      <w:pPr>
        <w:spacing w:before="240" w:after="240"/>
        <w:jc w:val="both"/>
        <w:rPr>
          <w:rFonts w:cs="Times New Roman"/>
          <w:color w:val="000000" w:themeColor="text1"/>
          <w:szCs w:val="24"/>
        </w:rPr>
      </w:pPr>
      <w:r w:rsidRPr="00154298">
        <w:rPr>
          <w:rFonts w:cs="Times New Roman"/>
          <w:color w:val="000000" w:themeColor="text1"/>
          <w:szCs w:val="24"/>
        </w:rPr>
        <w:t xml:space="preserve">As per (Edney et al., 2022), </w:t>
      </w:r>
      <w:r w:rsidR="00E81450" w:rsidRPr="00154298">
        <w:rPr>
          <w:rFonts w:cs="Times New Roman"/>
          <w:color w:val="000000" w:themeColor="text1"/>
          <w:szCs w:val="24"/>
        </w:rPr>
        <w:t>the</w:t>
      </w:r>
      <w:r w:rsidR="00991E6A" w:rsidRPr="00154298">
        <w:rPr>
          <w:rFonts w:cs="Times New Roman"/>
          <w:color w:val="000000" w:themeColor="text1"/>
          <w:szCs w:val="24"/>
        </w:rPr>
        <w:t xml:space="preserve"> concept of marginal costing, frequently referred to as variable or direct costing, is anchored on a straightforward behavioral reality: costs do not all behave the same way as production volumes shift. Academic literature defines marginal cost as the exact cost of producing one additional unit of a product or service, which could be entirely avoided if that single unit were not manufactured. Within this analytical framework, operational expenditures are strictly split into two behavioral pillars based on their reaction to activity fluctuations:  </w:t>
      </w:r>
    </w:p>
    <w:p w14:paraId="77C22D11" w14:textId="77777777" w:rsidR="00A84442" w:rsidRPr="00154298" w:rsidRDefault="00991E6A" w:rsidP="00315C83">
      <w:pPr>
        <w:spacing w:before="240" w:after="240"/>
        <w:jc w:val="both"/>
        <w:rPr>
          <w:rFonts w:cs="Times New Roman"/>
          <w:color w:val="000000" w:themeColor="text1"/>
          <w:szCs w:val="24"/>
        </w:rPr>
      </w:pPr>
      <w:r w:rsidRPr="00154298">
        <w:rPr>
          <w:rFonts w:cs="Times New Roman"/>
          <w:b/>
          <w:bCs/>
          <w:color w:val="000000" w:themeColor="text1"/>
          <w:szCs w:val="24"/>
        </w:rPr>
        <w:t>Variable Costs:</w:t>
      </w:r>
      <w:r w:rsidRPr="00154298">
        <w:rPr>
          <w:rFonts w:cs="Times New Roman"/>
          <w:color w:val="000000" w:themeColor="text1"/>
          <w:szCs w:val="24"/>
        </w:rPr>
        <w:t xml:space="preserve"> These represent direct expenditures, such as raw components, hands-on assembly labor, and variable factory processing power, that climb or fall in direct proportion to changes in production scale.  Fixed Costs: These represent capacity expenses, including factory lease commitments, executive management salaries, and straight-line plant depreciation, that remain completely static over a defined operating horizon, regardless of output volume.  Unlike conventional full absorption accounting systems, which assign fixed factory overhead to inventory assets via predetermined absorption rates, marginal costing treats fixed costs entirely as structural period charges. </w:t>
      </w:r>
    </w:p>
    <w:p w14:paraId="5FC6FB23" w14:textId="473F0360" w:rsidR="008417B5" w:rsidRPr="00154298" w:rsidRDefault="00CA5653" w:rsidP="00315C83">
      <w:pPr>
        <w:spacing w:before="240" w:after="240"/>
        <w:jc w:val="both"/>
        <w:rPr>
          <w:rFonts w:cs="Times New Roman"/>
          <w:color w:val="000000" w:themeColor="text1"/>
          <w:szCs w:val="24"/>
        </w:rPr>
      </w:pPr>
      <w:r w:rsidRPr="00154298">
        <w:rPr>
          <w:rFonts w:cs="Times New Roman"/>
          <w:color w:val="000000" w:themeColor="text1"/>
          <w:szCs w:val="24"/>
        </w:rPr>
        <w:lastRenderedPageBreak/>
        <w:t>As per (</w:t>
      </w:r>
      <w:proofErr w:type="spellStart"/>
      <w:r w:rsidRPr="006C24CE">
        <w:rPr>
          <w:rFonts w:eastAsia="Times New Roman" w:cs="Times New Roman"/>
          <w:color w:val="000000" w:themeColor="text1"/>
          <w:szCs w:val="24"/>
          <w:lang w:val="en-IN" w:eastAsia="en-IN"/>
        </w:rPr>
        <w:t>Roffia</w:t>
      </w:r>
      <w:proofErr w:type="spellEnd"/>
      <w:r w:rsidRPr="00154298">
        <w:rPr>
          <w:rFonts w:eastAsia="Times New Roman" w:cs="Times New Roman"/>
          <w:color w:val="000000" w:themeColor="text1"/>
          <w:szCs w:val="24"/>
          <w:lang w:val="en-IN" w:eastAsia="en-IN"/>
        </w:rPr>
        <w:t xml:space="preserve"> et al., 2024), </w:t>
      </w:r>
      <w:r w:rsidR="00991E6A" w:rsidRPr="00154298">
        <w:rPr>
          <w:rFonts w:cs="Times New Roman"/>
          <w:color w:val="000000" w:themeColor="text1"/>
          <w:szCs w:val="24"/>
        </w:rPr>
        <w:t>Consequently, they are expensed immediately in the specific timeline in which they occur</w:t>
      </w:r>
      <w:r w:rsidRPr="00154298">
        <w:rPr>
          <w:rFonts w:cs="Times New Roman"/>
          <w:color w:val="000000" w:themeColor="text1"/>
          <w:szCs w:val="24"/>
        </w:rPr>
        <w:t xml:space="preserve">. </w:t>
      </w:r>
      <w:r w:rsidR="00991E6A" w:rsidRPr="00154298">
        <w:rPr>
          <w:rFonts w:cs="Times New Roman"/>
          <w:color w:val="000000" w:themeColor="text1"/>
          <w:szCs w:val="24"/>
        </w:rPr>
        <w:t xml:space="preserve">  This structural shift effectively prevents an issue common in absorption systems known as "profit manipulation". In absorption accounting, managers can ramp up production to store unsold inventory in warehouses, artificially hiding fixed costs on the balance sheet to inflate current net income. Marginal costing eliminates this distortion by ensuring that reported profit matches actual sales volume rather than production volume, ultimately giving leadership a much clearer, uncompromised picture of real operational performance</w:t>
      </w:r>
      <w:r w:rsidR="001D6576" w:rsidRPr="00154298">
        <w:rPr>
          <w:rFonts w:cs="Times New Roman"/>
          <w:color w:val="000000" w:themeColor="text1"/>
          <w:szCs w:val="24"/>
        </w:rPr>
        <w:t>.</w:t>
      </w:r>
    </w:p>
    <w:p w14:paraId="6F9D4441"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4" w:name="_Toc230292484"/>
      <w:r w:rsidRPr="00154298">
        <w:rPr>
          <w:rFonts w:ascii="Times New Roman" w:hAnsi="Times New Roman" w:cs="Times New Roman"/>
          <w:color w:val="000000" w:themeColor="text1"/>
          <w:sz w:val="24"/>
          <w:szCs w:val="24"/>
        </w:rPr>
        <w:t>3.2 Mechanics of Cost-Volume-Profit (CVP) and Break-Even Analysis</w:t>
      </w:r>
      <w:bookmarkEnd w:id="4"/>
    </w:p>
    <w:p w14:paraId="2347859E" w14:textId="77777777" w:rsid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At the heart of CVP planning sits the concept of the Contribution Margin. This metric represents the financia</w:t>
      </w:r>
      <w:r w:rsidRPr="00154298">
        <w:rPr>
          <w:rFonts w:cs="Times New Roman"/>
          <w:color w:val="000000" w:themeColor="text1"/>
          <w:szCs w:val="24"/>
        </w:rPr>
        <w:t xml:space="preserve">l surplus left over after subtracting all variable costs from sales revenue. It is the primary engine used to clear fixed organizational overheads; once those fixed costs are fully covered, every dollar of remaining contribution converts directly into net </w:t>
      </w:r>
      <w:r w:rsidRPr="00154298">
        <w:rPr>
          <w:rFonts w:cs="Times New Roman"/>
          <w:color w:val="000000" w:themeColor="text1"/>
          <w:szCs w:val="24"/>
        </w:rPr>
        <w:t>profit (Bhimani et al., 2019).</w:t>
      </w:r>
      <w:r w:rsidRPr="00154298">
        <w:rPr>
          <w:rFonts w:cs="Times New Roman"/>
          <w:color w:val="000000" w:themeColor="text1"/>
          <w:szCs w:val="24"/>
        </w:rPr>
        <w:br/>
        <w:t>The mathematical logic flows from a fundamental profit equation:</w:t>
      </w:r>
      <w:r w:rsidRPr="00154298">
        <w:rPr>
          <w:rFonts w:cs="Times New Roman"/>
          <w:color w:val="000000" w:themeColor="text1"/>
          <w:szCs w:val="24"/>
        </w:rPr>
        <w:br/>
        <w:t>Profit = (Price * Quantity) - (Variable Cost per Unit * Quantity) - Fixed Costs</w:t>
      </w:r>
    </w:p>
    <w:p w14:paraId="2DD785E3" w14:textId="77777777" w:rsid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By factoring in the Contribution Margin (CM), we can rewrite this relationship</w:t>
      </w:r>
      <w:r w:rsidRPr="00154298">
        <w:rPr>
          <w:rFonts w:cs="Times New Roman"/>
          <w:color w:val="000000" w:themeColor="text1"/>
          <w:szCs w:val="24"/>
        </w:rPr>
        <w:t xml:space="preserve"> cleanly as:</w:t>
      </w:r>
      <w:r w:rsidRPr="00154298">
        <w:rPr>
          <w:rFonts w:cs="Times New Roman"/>
          <w:color w:val="000000" w:themeColor="text1"/>
          <w:szCs w:val="24"/>
        </w:rPr>
        <w:br/>
        <w:t>Contribution Margin = Sales - Variable Costs</w:t>
      </w:r>
    </w:p>
    <w:p w14:paraId="47F42BD6" w14:textId="77777777" w:rsid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Profit = (Unit CM * Quantity) - Fixed Costs</w:t>
      </w:r>
    </w:p>
    <w:p w14:paraId="73B6DC6F" w14:textId="77777777" w:rsidR="004D1A8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When evaluating an operation's baseline safety thresholds, the Break-Even Point (BEP) marks the exact volume where total sales revenue perfectly balances</w:t>
      </w:r>
      <w:r w:rsidRPr="00154298">
        <w:rPr>
          <w:rFonts w:cs="Times New Roman"/>
          <w:color w:val="000000" w:themeColor="text1"/>
          <w:szCs w:val="24"/>
        </w:rPr>
        <w:t xml:space="preserve"> total variable and fixed operating </w:t>
      </w:r>
      <w:r w:rsidRPr="00154298">
        <w:rPr>
          <w:rFonts w:cs="Times New Roman"/>
          <w:color w:val="000000" w:themeColor="text1"/>
          <w:szCs w:val="24"/>
        </w:rPr>
        <w:lastRenderedPageBreak/>
        <w:t>expenses. At this point, the business records zero net profit and zero financial loss.</w:t>
      </w:r>
      <w:r w:rsidRPr="00154298">
        <w:rPr>
          <w:rFonts w:cs="Times New Roman"/>
          <w:color w:val="000000" w:themeColor="text1"/>
          <w:szCs w:val="24"/>
        </w:rPr>
        <w:br/>
        <w:t>Break-Even Point (Units) = Total Fixed Costs / Contribution Margin per Unit</w:t>
      </w:r>
    </w:p>
    <w:p w14:paraId="59C1742B" w14:textId="77777777" w:rsidR="004D1A8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Break-Even Point (Sales Dollars) = Total Fixed Costs / P</w:t>
      </w:r>
      <w:r w:rsidRPr="00154298">
        <w:rPr>
          <w:rFonts w:cs="Times New Roman"/>
          <w:color w:val="000000" w:themeColor="text1"/>
          <w:szCs w:val="24"/>
        </w:rPr>
        <w:t>rofit-Volume (P/V) Ratio</w:t>
      </w:r>
    </w:p>
    <w:p w14:paraId="2448EFAE" w14:textId="77777777" w:rsidR="004D1A8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Where the Profit-Volume (P/V) Ratio is calculated as:</w:t>
      </w:r>
    </w:p>
    <w:p w14:paraId="6A5E98D0" w14:textId="77777777" w:rsidR="004D1A8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P/V Ratio = Contribution Margin / Sales Revenue</w:t>
      </w:r>
    </w:p>
    <w:p w14:paraId="6F81BB02" w14:textId="77777777" w:rsidR="00A26DB0"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To measure operational risk, analysts track the Margin of Safety (MOS). This indicator calculates the buffer between a company'</w:t>
      </w:r>
      <w:r w:rsidRPr="00154298">
        <w:rPr>
          <w:rFonts w:cs="Times New Roman"/>
          <w:color w:val="000000" w:themeColor="text1"/>
          <w:szCs w:val="24"/>
        </w:rPr>
        <w:t>s actual or projected sales levels and its zero-profit break-even baseline. It explicitly shows how far sales can drop before the business begins losing money (</w:t>
      </w:r>
      <w:proofErr w:type="spellStart"/>
      <w:r w:rsidR="00303B9B" w:rsidRPr="00154298">
        <w:rPr>
          <w:rFonts w:cs="Times New Roman"/>
          <w:color w:val="000000" w:themeColor="text1"/>
          <w:szCs w:val="24"/>
        </w:rPr>
        <w:t>Usul</w:t>
      </w:r>
      <w:proofErr w:type="spellEnd"/>
      <w:r w:rsidR="00303B9B" w:rsidRPr="00154298">
        <w:rPr>
          <w:rFonts w:cs="Times New Roman"/>
          <w:color w:val="000000" w:themeColor="text1"/>
          <w:szCs w:val="24"/>
        </w:rPr>
        <w:t xml:space="preserve"> &amp; Olgun, 2025</w:t>
      </w:r>
      <w:r w:rsidRPr="00154298">
        <w:rPr>
          <w:rFonts w:cs="Times New Roman"/>
          <w:color w:val="000000" w:themeColor="text1"/>
          <w:szCs w:val="24"/>
        </w:rPr>
        <w:t>).</w:t>
      </w:r>
    </w:p>
    <w:p w14:paraId="7F5069F2" w14:textId="7F8013BA"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Margin of Safety = Actual/Budgeted Sales - Break-Even Sales</w:t>
      </w:r>
    </w:p>
    <w:p w14:paraId="4AFD5E54"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5" w:name="_Toc230292485"/>
      <w:r w:rsidRPr="00154298">
        <w:rPr>
          <w:rFonts w:ascii="Times New Roman" w:hAnsi="Times New Roman" w:cs="Times New Roman"/>
          <w:color w:val="000000" w:themeColor="text1"/>
          <w:sz w:val="24"/>
          <w:szCs w:val="24"/>
        </w:rPr>
        <w:t>3.3 Theoreti</w:t>
      </w:r>
      <w:r w:rsidRPr="00154298">
        <w:rPr>
          <w:rFonts w:ascii="Times New Roman" w:hAnsi="Times New Roman" w:cs="Times New Roman"/>
          <w:color w:val="000000" w:themeColor="text1"/>
          <w:sz w:val="24"/>
          <w:szCs w:val="24"/>
        </w:rPr>
        <w:t>cal Framework: Relevant Costing and Neoclassical Microeconomics</w:t>
      </w:r>
      <w:bookmarkEnd w:id="5"/>
    </w:p>
    <w:p w14:paraId="7C361225" w14:textId="106CAB2F" w:rsidR="00587FCA" w:rsidRPr="00154298" w:rsidRDefault="00502E02" w:rsidP="00315C83">
      <w:pPr>
        <w:spacing w:before="240" w:after="240"/>
        <w:jc w:val="both"/>
        <w:rPr>
          <w:rFonts w:cs="Times New Roman"/>
          <w:color w:val="000000" w:themeColor="text1"/>
          <w:szCs w:val="24"/>
        </w:rPr>
      </w:pPr>
      <w:r w:rsidRPr="00154298">
        <w:rPr>
          <w:rFonts w:cs="Times New Roman"/>
          <w:color w:val="000000" w:themeColor="text1"/>
          <w:szCs w:val="24"/>
        </w:rPr>
        <w:t xml:space="preserve">From a strict theoretical perspective, marginal costing draws heavily from the foundational principles of relevant costing and neoclassical economic theories of the firm. The concept of relevant costing states that when choosing between multiple operational options, managers must focus exclusively on future cash flows that change as a direct result of making that specific decision. Under this framework, sunk costs—which represent money already spent on past organizational activities, such as historical factory retrofits, equipment purchases, or completed research and development—must be completely ignored by decision-makers. Because no current or future choice can alter these historical outlays, embedding them into short-term tactical </w:t>
      </w:r>
      <w:r w:rsidRPr="00154298">
        <w:rPr>
          <w:rFonts w:cs="Times New Roman"/>
          <w:color w:val="000000" w:themeColor="text1"/>
          <w:szCs w:val="24"/>
        </w:rPr>
        <w:lastRenderedPageBreak/>
        <w:t>evaluations introduces severe accounting distortions that can derail corporate strategy</w:t>
      </w:r>
      <w:r w:rsidR="00587FCA" w:rsidRPr="00154298">
        <w:rPr>
          <w:rFonts w:cs="Times New Roman"/>
          <w:color w:val="000000" w:themeColor="text1"/>
          <w:szCs w:val="24"/>
        </w:rPr>
        <w:t xml:space="preserve"> (Neck, 2022).</w:t>
      </w:r>
    </w:p>
    <w:p w14:paraId="75188844" w14:textId="7F4B061A" w:rsidR="008417B5" w:rsidRPr="00154298" w:rsidRDefault="00502E02" w:rsidP="00315C83">
      <w:pPr>
        <w:spacing w:before="240" w:after="240"/>
        <w:jc w:val="both"/>
        <w:rPr>
          <w:rFonts w:cs="Times New Roman"/>
          <w:color w:val="000000" w:themeColor="text1"/>
          <w:szCs w:val="24"/>
        </w:rPr>
      </w:pPr>
      <w:r w:rsidRPr="00154298">
        <w:rPr>
          <w:rFonts w:cs="Times New Roman"/>
          <w:color w:val="000000" w:themeColor="text1"/>
          <w:szCs w:val="24"/>
        </w:rPr>
        <w:t>Simultaneously, neoclassical microeconomic theory posits that to maximize overall profits, a firm should continuously expand its production volume up to the exact point where its incremental revenue perfectly matches its incremental cost. Marginal costing effectively adapts this theoretical economic principle into a highly structured, practical accounting framework for modern enterprises. Rather than dealing with abstract economic curves, it isolates variable expenses to calculate the exact out-of-pocket cost of producing an additional unit.  By mapping out exactly how contribution margins behave under different pricing structures, shifting product mixes, and sudden volume fluctuations, marginal costing provides corporate leaders with an effective tool to optimize short-term financial performance. It bridges the gap between economic theory and corporate reality, ensuring that short-term capacity is utilized efficiently to maximize cash generation. Ultimately, this dual framework provides management with the conceptual justification needed to look past fixed overhead allocations and sunk asset values during critical operational windows, creating an environment where short-term decisions are driven entirely by incremental financial impact and real-time resource efficiency</w:t>
      </w:r>
      <w:r w:rsidR="001D6576" w:rsidRPr="00154298">
        <w:rPr>
          <w:rFonts w:cs="Times New Roman"/>
          <w:color w:val="000000" w:themeColor="text1"/>
          <w:szCs w:val="24"/>
        </w:rPr>
        <w:t>.</w:t>
      </w:r>
    </w:p>
    <w:p w14:paraId="49308B0B" w14:textId="77777777" w:rsidR="008417B5" w:rsidRPr="00154298" w:rsidRDefault="001D6576" w:rsidP="00315C83">
      <w:pPr>
        <w:pStyle w:val="Heading1"/>
        <w:spacing w:before="240" w:after="240"/>
        <w:jc w:val="both"/>
        <w:rPr>
          <w:rFonts w:ascii="Times New Roman" w:hAnsi="Times New Roman" w:cs="Times New Roman"/>
          <w:color w:val="000000" w:themeColor="text1"/>
          <w:sz w:val="24"/>
          <w:szCs w:val="24"/>
        </w:rPr>
      </w:pPr>
      <w:bookmarkStart w:id="6" w:name="_Toc230292486"/>
      <w:r w:rsidRPr="00154298">
        <w:rPr>
          <w:rFonts w:ascii="Times New Roman" w:hAnsi="Times New Roman" w:cs="Times New Roman"/>
          <w:color w:val="000000" w:themeColor="text1"/>
          <w:sz w:val="24"/>
          <w:szCs w:val="24"/>
        </w:rPr>
        <w:t>4. METHODOLOGY</w:t>
      </w:r>
      <w:bookmarkEnd w:id="6"/>
    </w:p>
    <w:p w14:paraId="66530607"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7" w:name="_Toc230292487"/>
      <w:r w:rsidRPr="00154298">
        <w:rPr>
          <w:rFonts w:ascii="Times New Roman" w:hAnsi="Times New Roman" w:cs="Times New Roman"/>
          <w:color w:val="000000" w:themeColor="text1"/>
          <w:sz w:val="24"/>
          <w:szCs w:val="24"/>
        </w:rPr>
        <w:t>4.1 Research Design and Topic-Based Context</w:t>
      </w:r>
      <w:bookmarkEnd w:id="7"/>
    </w:p>
    <w:p w14:paraId="50E87442" w14:textId="77777777" w:rsidR="00D07EC1" w:rsidRPr="00154298" w:rsidRDefault="00D07EC1" w:rsidP="00315C83">
      <w:pPr>
        <w:spacing w:before="240" w:after="240"/>
        <w:jc w:val="both"/>
        <w:rPr>
          <w:rFonts w:cs="Times New Roman"/>
          <w:color w:val="000000" w:themeColor="text1"/>
          <w:szCs w:val="24"/>
        </w:rPr>
      </w:pPr>
      <w:r w:rsidRPr="00154298">
        <w:rPr>
          <w:rFonts w:cs="Times New Roman"/>
          <w:color w:val="000000" w:themeColor="text1"/>
          <w:szCs w:val="24"/>
        </w:rPr>
        <w:t xml:space="preserve">This report utilizes a secondary research design focused heavily on examining cost management practices within modern mid-to-large scale manufacturing and service enterprises. Rather than restricting the investigative focus to a single company case study, this study reviews a broad spectrum of academic publications, peer-reviewed managerial accounting journals, and corporate </w:t>
      </w:r>
      <w:r w:rsidRPr="00154298">
        <w:rPr>
          <w:rFonts w:cs="Times New Roman"/>
          <w:color w:val="000000" w:themeColor="text1"/>
          <w:szCs w:val="24"/>
        </w:rPr>
        <w:lastRenderedPageBreak/>
        <w:t xml:space="preserve">financial briefs retrieved from Google Scholar database sources. This cross-industry approach highlights how marginal costing is practically applied across completely different business settings and corporate environments. </w:t>
      </w:r>
    </w:p>
    <w:p w14:paraId="00C0EB7C" w14:textId="77777777" w:rsidR="00D07EC1" w:rsidRPr="00154298" w:rsidRDefault="00D07EC1" w:rsidP="00315C83">
      <w:pPr>
        <w:spacing w:before="240" w:after="240"/>
        <w:jc w:val="both"/>
        <w:rPr>
          <w:rFonts w:cs="Times New Roman"/>
          <w:color w:val="000000" w:themeColor="text1"/>
          <w:szCs w:val="24"/>
        </w:rPr>
      </w:pPr>
      <w:r w:rsidRPr="00154298">
        <w:rPr>
          <w:rFonts w:cs="Times New Roman"/>
          <w:color w:val="000000" w:themeColor="text1"/>
          <w:szCs w:val="24"/>
        </w:rPr>
        <w:t xml:space="preserve">The methodology focuses on evaluating short-term tactical choices where organizational capacity constraints remain completely fixed and choices must be executed within a single operating year. By analyzing structured quantitative scenarios alongside qualitative research data, this paper explicitly assesses how modern companies balance financial contribution targets with real-world operational challenges. </w:t>
      </w:r>
    </w:p>
    <w:p w14:paraId="1A1B1D00" w14:textId="756782DE" w:rsidR="008417B5" w:rsidRPr="00154298" w:rsidRDefault="00D07EC1" w:rsidP="00315C83">
      <w:pPr>
        <w:spacing w:before="240" w:after="240"/>
        <w:jc w:val="both"/>
        <w:rPr>
          <w:rFonts w:cs="Times New Roman"/>
          <w:color w:val="000000" w:themeColor="text1"/>
          <w:szCs w:val="24"/>
        </w:rPr>
      </w:pPr>
      <w:r w:rsidRPr="00154298">
        <w:rPr>
          <w:rFonts w:cs="Times New Roman"/>
          <w:color w:val="000000" w:themeColor="text1"/>
          <w:szCs w:val="24"/>
        </w:rPr>
        <w:t>Using secondary data allows this paper to establish a conceptual framework that evaluates how variable cost isolation functions under shifting market conditions. This design is particularly effective for uncovering systemic patterns in executive decision-making, showing that when management strips away arbitrary fixed cost allocations, they gain a clearer, more accurate view of true baseline profitability and resource efficiency during tight operational windows.</w:t>
      </w:r>
    </w:p>
    <w:p w14:paraId="1D345667"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8" w:name="_Toc230292488"/>
      <w:r w:rsidRPr="00154298">
        <w:rPr>
          <w:rFonts w:ascii="Times New Roman" w:hAnsi="Times New Roman" w:cs="Times New Roman"/>
          <w:color w:val="000000" w:themeColor="text1"/>
          <w:sz w:val="24"/>
          <w:szCs w:val="24"/>
        </w:rPr>
        <w:t>4.2 Analytical Models Applied</w:t>
      </w:r>
      <w:bookmarkEnd w:id="8"/>
    </w:p>
    <w:p w14:paraId="4FC76F20" w14:textId="77777777" w:rsidR="00F4103C"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To evaluate the scenarios discussed in the Findings section, we apply three cor</w:t>
      </w:r>
      <w:r w:rsidRPr="00154298">
        <w:rPr>
          <w:rFonts w:cs="Times New Roman"/>
          <w:color w:val="000000" w:themeColor="text1"/>
          <w:szCs w:val="24"/>
        </w:rPr>
        <w:t>e accounting calculations:</w:t>
      </w:r>
      <w:r w:rsidRPr="00154298">
        <w:rPr>
          <w:rFonts w:cs="Times New Roman"/>
          <w:color w:val="000000" w:themeColor="text1"/>
          <w:szCs w:val="24"/>
        </w:rPr>
        <w:br/>
      </w:r>
      <w:r w:rsidRPr="00154298">
        <w:rPr>
          <w:rFonts w:cs="Times New Roman"/>
          <w:b/>
          <w:bCs/>
          <w:color w:val="000000" w:themeColor="text1"/>
          <w:szCs w:val="24"/>
        </w:rPr>
        <w:t>1. Limiting Factor Contribution Maximization:</w:t>
      </w:r>
      <w:r w:rsidRPr="00154298">
        <w:rPr>
          <w:rFonts w:cs="Times New Roman"/>
          <w:color w:val="000000" w:themeColor="text1"/>
          <w:szCs w:val="24"/>
        </w:rPr>
        <w:t xml:space="preserve"> </w:t>
      </w:r>
      <w:r w:rsidR="00AF3BF5" w:rsidRPr="00154298">
        <w:rPr>
          <w:rFonts w:cs="Times New Roman"/>
          <w:color w:val="000000" w:themeColor="text1"/>
          <w:szCs w:val="24"/>
        </w:rPr>
        <w:t>When production capacity, labor pools, or material resources are restricted, products are prioritized based on their contribution per unit of the scarce resource, rather than their raw unit profit</w:t>
      </w:r>
      <w:r w:rsidRPr="00154298">
        <w:rPr>
          <w:rFonts w:cs="Times New Roman"/>
          <w:color w:val="000000" w:themeColor="text1"/>
          <w:szCs w:val="24"/>
        </w:rPr>
        <w:t>.</w:t>
      </w:r>
    </w:p>
    <w:p w14:paraId="4BF5F99C" w14:textId="4373E28F" w:rsidR="00485012"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Priorit</w:t>
      </w:r>
      <w:r w:rsidRPr="00154298">
        <w:rPr>
          <w:rFonts w:cs="Times New Roman"/>
          <w:color w:val="000000" w:themeColor="text1"/>
          <w:szCs w:val="24"/>
        </w:rPr>
        <w:t>y Metric = (Selling Price - Unit Variable Cost) / Required Quantity of Scarce Resource</w:t>
      </w:r>
    </w:p>
    <w:p w14:paraId="7BE3793E" w14:textId="59C7B76A" w:rsidR="008417B5" w:rsidRPr="00154298" w:rsidRDefault="00485012" w:rsidP="00315C83">
      <w:pPr>
        <w:spacing w:before="240" w:after="240"/>
        <w:jc w:val="both"/>
        <w:rPr>
          <w:rFonts w:cs="Times New Roman"/>
          <w:color w:val="000000" w:themeColor="text1"/>
          <w:szCs w:val="24"/>
        </w:rPr>
      </w:pPr>
      <w:r w:rsidRPr="00154298">
        <w:rPr>
          <w:rFonts w:cs="Times New Roman"/>
          <w:color w:val="000000" w:themeColor="text1"/>
          <w:szCs w:val="24"/>
        </w:rPr>
        <w:lastRenderedPageBreak/>
        <w:t>This ensures that the firm maximizes total cash generation per hour or per unit of the bottleneck asset.</w:t>
      </w:r>
      <w:r w:rsidR="001D6576" w:rsidRPr="00154298">
        <w:rPr>
          <w:rFonts w:cs="Times New Roman"/>
          <w:color w:val="000000" w:themeColor="text1"/>
          <w:szCs w:val="24"/>
        </w:rPr>
        <w:br/>
      </w:r>
      <w:r w:rsidR="001D6576" w:rsidRPr="00154298">
        <w:rPr>
          <w:rFonts w:cs="Times New Roman"/>
          <w:b/>
          <w:bCs/>
          <w:color w:val="000000" w:themeColor="text1"/>
          <w:szCs w:val="24"/>
        </w:rPr>
        <w:t>2. Differential Incremental Costing:</w:t>
      </w:r>
      <w:r w:rsidR="001D6576" w:rsidRPr="00154298">
        <w:rPr>
          <w:rFonts w:cs="Times New Roman"/>
          <w:color w:val="000000" w:themeColor="text1"/>
          <w:szCs w:val="24"/>
        </w:rPr>
        <w:t xml:space="preserve"> </w:t>
      </w:r>
      <w:r w:rsidR="000C0E16" w:rsidRPr="00154298">
        <w:rPr>
          <w:rFonts w:cs="Times New Roman"/>
          <w:color w:val="000000" w:themeColor="text1"/>
          <w:szCs w:val="24"/>
        </w:rPr>
        <w:t>For evaluating complex outsourcing choices (Make-or-Buy) and specialized pricing requests (Special Orders), this model maps out only the future changing variable cash flows and genuinely avoidable fixed overheads. By completely removing unavoidable sunk costs and historic corporate overhead allocations from the evaluation, management isolates the exact net cash impact of the decision.</w:t>
      </w:r>
      <w:r w:rsidR="001D6576" w:rsidRPr="00154298">
        <w:rPr>
          <w:rFonts w:cs="Times New Roman"/>
          <w:color w:val="000000" w:themeColor="text1"/>
          <w:szCs w:val="24"/>
        </w:rPr>
        <w:br/>
      </w:r>
      <w:r w:rsidR="001D6576" w:rsidRPr="00154298">
        <w:rPr>
          <w:rFonts w:cs="Times New Roman"/>
          <w:b/>
          <w:bCs/>
          <w:color w:val="000000" w:themeColor="text1"/>
          <w:szCs w:val="24"/>
        </w:rPr>
        <w:t>3. CVP Risk Sensitivity Profiling:</w:t>
      </w:r>
      <w:r w:rsidR="001D6576" w:rsidRPr="00154298">
        <w:rPr>
          <w:rFonts w:cs="Times New Roman"/>
          <w:color w:val="000000" w:themeColor="text1"/>
          <w:szCs w:val="24"/>
        </w:rPr>
        <w:t xml:space="preserve"> </w:t>
      </w:r>
      <w:r w:rsidR="002A7ED6" w:rsidRPr="00154298">
        <w:rPr>
          <w:rFonts w:cs="Times New Roman"/>
          <w:color w:val="000000" w:themeColor="text1"/>
          <w:szCs w:val="24"/>
        </w:rPr>
        <w:t>We run targeted scenario adjustments across three critical operational variables—sudden selling price drops, variable raw material cost spikes, and rapid shifts in product sales mixes. This sensitivity modeling makes it possible to observe how changes in the Margin of Safety alter a company's overall risk profile.</w:t>
      </w:r>
    </w:p>
    <w:p w14:paraId="5DD43CBD" w14:textId="4594DF84" w:rsidR="000E72AB" w:rsidRPr="00154298" w:rsidRDefault="000E72AB" w:rsidP="00315C83">
      <w:pPr>
        <w:spacing w:before="240" w:after="240"/>
        <w:jc w:val="both"/>
        <w:rPr>
          <w:rFonts w:cs="Times New Roman"/>
          <w:color w:val="000000" w:themeColor="text1"/>
          <w:szCs w:val="24"/>
        </w:rPr>
      </w:pPr>
      <w:r w:rsidRPr="00154298">
        <w:rPr>
          <w:rFonts w:cs="Times New Roman"/>
          <w:color w:val="000000" w:themeColor="text1"/>
          <w:szCs w:val="24"/>
        </w:rPr>
        <w:t>Together, these three analytical models form a structured framework that converts raw accounting metrics into actionable corporate intelligence. They allow planners to identify clear financial floors and caps, ensuring the firm maintains a healthy safety buffer while actively pursuing profit-maximizing short-term opportunities.</w:t>
      </w:r>
    </w:p>
    <w:p w14:paraId="60AF38D5" w14:textId="77777777" w:rsidR="008417B5" w:rsidRPr="00154298" w:rsidRDefault="001D6576" w:rsidP="00315C83">
      <w:pPr>
        <w:pStyle w:val="Heading1"/>
        <w:spacing w:before="240" w:after="240"/>
        <w:jc w:val="both"/>
        <w:rPr>
          <w:rFonts w:ascii="Times New Roman" w:hAnsi="Times New Roman" w:cs="Times New Roman"/>
          <w:color w:val="000000" w:themeColor="text1"/>
          <w:sz w:val="24"/>
          <w:szCs w:val="24"/>
        </w:rPr>
      </w:pPr>
      <w:bookmarkStart w:id="9" w:name="_Toc230292489"/>
      <w:r w:rsidRPr="00154298">
        <w:rPr>
          <w:rFonts w:ascii="Times New Roman" w:hAnsi="Times New Roman" w:cs="Times New Roman"/>
          <w:color w:val="000000" w:themeColor="text1"/>
          <w:sz w:val="24"/>
          <w:szCs w:val="24"/>
        </w:rPr>
        <w:t>5. FINDINGS</w:t>
      </w:r>
      <w:bookmarkEnd w:id="9"/>
    </w:p>
    <w:p w14:paraId="3D242037"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10" w:name="_Toc230292490"/>
      <w:r w:rsidRPr="00154298">
        <w:rPr>
          <w:rFonts w:ascii="Times New Roman" w:hAnsi="Times New Roman" w:cs="Times New Roman"/>
          <w:color w:val="000000" w:themeColor="text1"/>
          <w:sz w:val="24"/>
          <w:szCs w:val="24"/>
        </w:rPr>
        <w:t>5.1 Tactical Applications: Pricing and Product Mix Optimization</w:t>
      </w:r>
      <w:bookmarkEnd w:id="10"/>
    </w:p>
    <w:p w14:paraId="0605B8A4" w14:textId="77777777" w:rsidR="00F4103C"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In competitive marketplaces, management teams frequently face situations where they cannot simply apply a standard markup to</w:t>
      </w:r>
      <w:r w:rsidRPr="00154298">
        <w:rPr>
          <w:rFonts w:cs="Times New Roman"/>
          <w:color w:val="000000" w:themeColor="text1"/>
          <w:szCs w:val="24"/>
        </w:rPr>
        <w:t xml:space="preserve"> full absorption costs. Marginal costing provides an alternative pricing roadmap during economic downturns or intense price competition. Under these conditions, the minimum acceptable price floor is the product's variable cost of production. Any </w:t>
      </w:r>
      <w:r w:rsidRPr="00154298">
        <w:rPr>
          <w:rFonts w:cs="Times New Roman"/>
          <w:color w:val="000000" w:themeColor="text1"/>
          <w:szCs w:val="24"/>
        </w:rPr>
        <w:lastRenderedPageBreak/>
        <w:t>price abov</w:t>
      </w:r>
      <w:r w:rsidRPr="00154298">
        <w:rPr>
          <w:rFonts w:cs="Times New Roman"/>
          <w:color w:val="000000" w:themeColor="text1"/>
          <w:szCs w:val="24"/>
        </w:rPr>
        <w:t>e this variable floor generates a positive contribution margin that helps pay down the firm's fixed overhead commitments (Lulaj &amp; Iseni, 2018).</w:t>
      </w:r>
    </w:p>
    <w:p w14:paraId="2DF4B9D8" w14:textId="413E1704"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To illustrate this, consider a consumer electronics manufacturing firm experiencing a sudden drop in market dem</w:t>
      </w:r>
      <w:r w:rsidRPr="00154298">
        <w:rPr>
          <w:rFonts w:cs="Times New Roman"/>
          <w:color w:val="000000" w:themeColor="text1"/>
          <w:szCs w:val="24"/>
        </w:rPr>
        <w:t>and. The standard full absorption cost of their core product line is detailed in the table below: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2160"/>
        <w:gridCol w:w="3600"/>
      </w:tblGrid>
      <w:tr w:rsidR="00154298" w:rsidRPr="00154298" w14:paraId="614A962E" w14:textId="77777777" w:rsidTr="00904D8D">
        <w:trPr>
          <w:cantSplit/>
          <w:jc w:val="center"/>
        </w:trPr>
        <w:tc>
          <w:tcPr>
            <w:tcW w:w="3600" w:type="dxa"/>
            <w:shd w:val="clear" w:color="auto" w:fill="003366"/>
          </w:tcPr>
          <w:p w14:paraId="208A6179" w14:textId="77777777" w:rsidR="008417B5" w:rsidRPr="00154298" w:rsidRDefault="001D6576" w:rsidP="00315C83">
            <w:pPr>
              <w:spacing w:before="240" w:after="240"/>
              <w:jc w:val="both"/>
              <w:rPr>
                <w:rFonts w:cs="Times New Roman"/>
                <w:color w:val="000000" w:themeColor="text1"/>
                <w:szCs w:val="24"/>
              </w:rPr>
            </w:pPr>
            <w:r w:rsidRPr="00154298">
              <w:rPr>
                <w:rFonts w:cs="Times New Roman"/>
                <w:b/>
                <w:color w:val="000000" w:themeColor="text1"/>
                <w:szCs w:val="24"/>
              </w:rPr>
              <w:t>Cost Element</w:t>
            </w:r>
          </w:p>
        </w:tc>
        <w:tc>
          <w:tcPr>
            <w:tcW w:w="2160" w:type="dxa"/>
            <w:shd w:val="clear" w:color="auto" w:fill="003366"/>
          </w:tcPr>
          <w:p w14:paraId="77CA15CD" w14:textId="77777777" w:rsidR="008417B5" w:rsidRPr="00154298" w:rsidRDefault="001D6576" w:rsidP="00315C83">
            <w:pPr>
              <w:spacing w:before="240" w:after="240"/>
              <w:jc w:val="both"/>
              <w:rPr>
                <w:rFonts w:cs="Times New Roman"/>
                <w:color w:val="000000" w:themeColor="text1"/>
                <w:szCs w:val="24"/>
              </w:rPr>
            </w:pPr>
            <w:r w:rsidRPr="00154298">
              <w:rPr>
                <w:rFonts w:cs="Times New Roman"/>
                <w:b/>
                <w:color w:val="000000" w:themeColor="text1"/>
                <w:szCs w:val="24"/>
              </w:rPr>
              <w:t>Financial Value ($)</w:t>
            </w:r>
          </w:p>
        </w:tc>
        <w:tc>
          <w:tcPr>
            <w:tcW w:w="3600" w:type="dxa"/>
            <w:shd w:val="clear" w:color="auto" w:fill="003366"/>
          </w:tcPr>
          <w:p w14:paraId="1EB3582E" w14:textId="77777777" w:rsidR="008417B5" w:rsidRPr="00154298" w:rsidRDefault="001D6576" w:rsidP="00315C83">
            <w:pPr>
              <w:spacing w:before="240" w:after="240"/>
              <w:jc w:val="both"/>
              <w:rPr>
                <w:rFonts w:cs="Times New Roman"/>
                <w:color w:val="000000" w:themeColor="text1"/>
                <w:szCs w:val="24"/>
              </w:rPr>
            </w:pPr>
            <w:r w:rsidRPr="00154298">
              <w:rPr>
                <w:rFonts w:cs="Times New Roman"/>
                <w:b/>
                <w:color w:val="000000" w:themeColor="text1"/>
                <w:szCs w:val="24"/>
              </w:rPr>
              <w:t>Nature of Cost</w:t>
            </w:r>
          </w:p>
        </w:tc>
      </w:tr>
      <w:tr w:rsidR="00154298" w:rsidRPr="00154298" w14:paraId="3E7AA368" w14:textId="77777777" w:rsidTr="00904D8D">
        <w:trPr>
          <w:cantSplit/>
          <w:jc w:val="center"/>
        </w:trPr>
        <w:tc>
          <w:tcPr>
            <w:tcW w:w="3600" w:type="dxa"/>
          </w:tcPr>
          <w:p w14:paraId="057048C4"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Direct Materials</w:t>
            </w:r>
          </w:p>
        </w:tc>
        <w:tc>
          <w:tcPr>
            <w:tcW w:w="2160" w:type="dxa"/>
          </w:tcPr>
          <w:p w14:paraId="3FA449D1"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45.00</w:t>
            </w:r>
          </w:p>
        </w:tc>
        <w:tc>
          <w:tcPr>
            <w:tcW w:w="3600" w:type="dxa"/>
          </w:tcPr>
          <w:p w14:paraId="1CB09CC3"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Variable Production Cost</w:t>
            </w:r>
          </w:p>
        </w:tc>
      </w:tr>
      <w:tr w:rsidR="00154298" w:rsidRPr="00154298" w14:paraId="154FD972" w14:textId="77777777" w:rsidTr="00904D8D">
        <w:trPr>
          <w:cantSplit/>
          <w:jc w:val="center"/>
        </w:trPr>
        <w:tc>
          <w:tcPr>
            <w:tcW w:w="3600" w:type="dxa"/>
          </w:tcPr>
          <w:p w14:paraId="01DB99F6"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Direct Labor</w:t>
            </w:r>
          </w:p>
        </w:tc>
        <w:tc>
          <w:tcPr>
            <w:tcW w:w="2160" w:type="dxa"/>
          </w:tcPr>
          <w:p w14:paraId="60AE294A"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25.00</w:t>
            </w:r>
          </w:p>
        </w:tc>
        <w:tc>
          <w:tcPr>
            <w:tcW w:w="3600" w:type="dxa"/>
          </w:tcPr>
          <w:p w14:paraId="1472DB32"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Variable Production Cost</w:t>
            </w:r>
          </w:p>
        </w:tc>
      </w:tr>
      <w:tr w:rsidR="00154298" w:rsidRPr="00154298" w14:paraId="756907CC" w14:textId="77777777" w:rsidTr="00904D8D">
        <w:trPr>
          <w:cantSplit/>
          <w:jc w:val="center"/>
        </w:trPr>
        <w:tc>
          <w:tcPr>
            <w:tcW w:w="3600" w:type="dxa"/>
          </w:tcPr>
          <w:p w14:paraId="33559A72"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Variable Factory Overhead</w:t>
            </w:r>
          </w:p>
        </w:tc>
        <w:tc>
          <w:tcPr>
            <w:tcW w:w="2160" w:type="dxa"/>
          </w:tcPr>
          <w:p w14:paraId="7612CB72"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10.00</w:t>
            </w:r>
          </w:p>
        </w:tc>
        <w:tc>
          <w:tcPr>
            <w:tcW w:w="3600" w:type="dxa"/>
          </w:tcPr>
          <w:p w14:paraId="4A13D1EB"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Variable Production Cost</w:t>
            </w:r>
          </w:p>
        </w:tc>
      </w:tr>
      <w:tr w:rsidR="00154298" w:rsidRPr="00154298" w14:paraId="580C15CC" w14:textId="77777777" w:rsidTr="00904D8D">
        <w:trPr>
          <w:cantSplit/>
          <w:jc w:val="center"/>
        </w:trPr>
        <w:tc>
          <w:tcPr>
            <w:tcW w:w="3600" w:type="dxa"/>
          </w:tcPr>
          <w:p w14:paraId="595D1EBC"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Fixed Factory Overhead Allocation</w:t>
            </w:r>
          </w:p>
        </w:tc>
        <w:tc>
          <w:tcPr>
            <w:tcW w:w="2160" w:type="dxa"/>
          </w:tcPr>
          <w:p w14:paraId="6470F56D"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30.00</w:t>
            </w:r>
          </w:p>
        </w:tc>
        <w:tc>
          <w:tcPr>
            <w:tcW w:w="3600" w:type="dxa"/>
          </w:tcPr>
          <w:p w14:paraId="5C843C59"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Fixed Structural Period Cost</w:t>
            </w:r>
          </w:p>
        </w:tc>
      </w:tr>
    </w:tbl>
    <w:p w14:paraId="62AD096D" w14:textId="77777777" w:rsidR="008417B5" w:rsidRPr="00154298" w:rsidRDefault="001D6576" w:rsidP="00315C83">
      <w:pPr>
        <w:spacing w:before="240" w:after="240"/>
        <w:jc w:val="both"/>
        <w:rPr>
          <w:rFonts w:cs="Times New Roman"/>
          <w:color w:val="000000" w:themeColor="text1"/>
          <w:szCs w:val="24"/>
        </w:rPr>
      </w:pPr>
      <w:r w:rsidRPr="00154298">
        <w:rPr>
          <w:rFonts w:cs="Times New Roman"/>
          <w:b/>
          <w:color w:val="000000" w:themeColor="text1"/>
          <w:szCs w:val="24"/>
        </w:rPr>
        <w:t>Total Standard Product Cost: $110.00 (Full Absorption Basis)</w:t>
      </w:r>
    </w:p>
    <w:p w14:paraId="5ECAA1C6" w14:textId="77777777" w:rsidR="00C3788A"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 xml:space="preserve">If a severe market downturn forces the equilibrium market </w:t>
      </w:r>
      <w:r w:rsidRPr="00154298">
        <w:rPr>
          <w:rFonts w:cs="Times New Roman"/>
          <w:color w:val="000000" w:themeColor="text1"/>
          <w:szCs w:val="24"/>
        </w:rPr>
        <w:t>price down to $95.00, an absorption-based reporting framework would flag this product as unprofitable, since the $95.00 selling price falls below the $110.00 total cost. This could prompt management to halt production entirely. However, marginal costing is</w:t>
      </w:r>
      <w:r w:rsidRPr="00154298">
        <w:rPr>
          <w:rFonts w:cs="Times New Roman"/>
          <w:color w:val="000000" w:themeColor="text1"/>
          <w:szCs w:val="24"/>
        </w:rPr>
        <w:t>olates the true out-of-pocket variable baseline:</w:t>
      </w:r>
    </w:p>
    <w:p w14:paraId="1EF36375" w14:textId="77777777" w:rsidR="00C3788A"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lastRenderedPageBreak/>
        <w:t>Total Variable Cost = $45.00 + $25.00 + $10.00 = $80.00</w:t>
      </w:r>
    </w:p>
    <w:p w14:paraId="301F52CA" w14:textId="77777777" w:rsidR="00C3788A"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Selling the product at $95.00 yields a positive contribution margin:</w:t>
      </w:r>
    </w:p>
    <w:p w14:paraId="6628F8AB" w14:textId="77777777" w:rsidR="00C3788A"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Unit Contribution Margin = $95.00 - $80.00 = $15.00</w:t>
      </w:r>
    </w:p>
    <w:p w14:paraId="104A553A" w14:textId="77777777" w:rsidR="00C3788A"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By maintaining production, e</w:t>
      </w:r>
      <w:r w:rsidRPr="00154298">
        <w:rPr>
          <w:rFonts w:cs="Times New Roman"/>
          <w:color w:val="000000" w:themeColor="text1"/>
          <w:szCs w:val="24"/>
        </w:rPr>
        <w:t>very unit sold contributes $15.00 toward covering the company's fixed overhead. Halting production would eliminate this contribution, causing net corporate profits to drop by $15.00 for every unit not produced.</w:t>
      </w:r>
      <w:r w:rsidRPr="00154298">
        <w:rPr>
          <w:rFonts w:cs="Times New Roman"/>
          <w:color w:val="000000" w:themeColor="text1"/>
          <w:szCs w:val="24"/>
        </w:rPr>
        <w:br/>
        <w:t>When managing a multi-product portfolio unde</w:t>
      </w:r>
      <w:r w:rsidRPr="00154298">
        <w:rPr>
          <w:rFonts w:cs="Times New Roman"/>
          <w:color w:val="000000" w:themeColor="text1"/>
          <w:szCs w:val="24"/>
        </w:rPr>
        <w:t>r production constraints—such as limited machine hours, scarce raw components, or specialized labor shortages—marginal costing dictates that products should be prioritized based on their contribution margin per unit of the limiting factor (</w:t>
      </w:r>
      <w:proofErr w:type="spellStart"/>
      <w:r w:rsidR="00FA68D5" w:rsidRPr="00154298">
        <w:rPr>
          <w:rFonts w:cs="Times New Roman"/>
          <w:color w:val="000000" w:themeColor="text1"/>
          <w:szCs w:val="24"/>
        </w:rPr>
        <w:t>Roffia</w:t>
      </w:r>
      <w:proofErr w:type="spellEnd"/>
      <w:r w:rsidR="00FA68D5" w:rsidRPr="00154298">
        <w:rPr>
          <w:rFonts w:cs="Times New Roman"/>
          <w:color w:val="000000" w:themeColor="text1"/>
          <w:szCs w:val="24"/>
        </w:rPr>
        <w:t xml:space="preserve"> </w:t>
      </w:r>
      <w:r w:rsidRPr="00154298">
        <w:rPr>
          <w:rFonts w:cs="Times New Roman"/>
          <w:color w:val="000000" w:themeColor="text1"/>
          <w:szCs w:val="24"/>
        </w:rPr>
        <w:t>et al., 2</w:t>
      </w:r>
      <w:r w:rsidRPr="00154298">
        <w:rPr>
          <w:rFonts w:cs="Times New Roman"/>
          <w:color w:val="000000" w:themeColor="text1"/>
          <w:szCs w:val="24"/>
        </w:rPr>
        <w:t>02</w:t>
      </w:r>
      <w:r w:rsidR="00FA68D5" w:rsidRPr="00154298">
        <w:rPr>
          <w:rFonts w:cs="Times New Roman"/>
          <w:color w:val="000000" w:themeColor="text1"/>
          <w:szCs w:val="24"/>
        </w:rPr>
        <w:t>4</w:t>
      </w:r>
      <w:r w:rsidRPr="00154298">
        <w:rPr>
          <w:rFonts w:cs="Times New Roman"/>
          <w:color w:val="000000" w:themeColor="text1"/>
          <w:szCs w:val="24"/>
        </w:rPr>
        <w:t>).</w:t>
      </w:r>
    </w:p>
    <w:p w14:paraId="09715BB2" w14:textId="77777777" w:rsidR="00446EFE"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Consider an industrial components manufacturer producing two models, Component Alpha and</w:t>
      </w:r>
      <w:r w:rsidR="00C3788A">
        <w:rPr>
          <w:rFonts w:cs="Times New Roman"/>
          <w:color w:val="000000" w:themeColor="text1"/>
          <w:szCs w:val="24"/>
        </w:rPr>
        <w:t xml:space="preserve"> </w:t>
      </w:r>
      <w:r w:rsidRPr="00154298">
        <w:rPr>
          <w:rFonts w:cs="Times New Roman"/>
          <w:color w:val="000000" w:themeColor="text1"/>
          <w:szCs w:val="24"/>
        </w:rPr>
        <w:t>Component Beta, using a shared robotic assembly line with a hard capacity cap of 4,000 hour</w:t>
      </w:r>
      <w:r w:rsidR="00C3788A">
        <w:rPr>
          <w:rFonts w:cs="Times New Roman"/>
          <w:color w:val="000000" w:themeColor="text1"/>
          <w:szCs w:val="24"/>
        </w:rPr>
        <w:t xml:space="preserve">s </w:t>
      </w:r>
      <w:r w:rsidRPr="00154298">
        <w:rPr>
          <w:rFonts w:cs="Times New Roman"/>
          <w:color w:val="000000" w:themeColor="text1"/>
          <w:szCs w:val="24"/>
        </w:rPr>
        <w:t>per month:</w:t>
      </w:r>
    </w:p>
    <w:p w14:paraId="36892273" w14:textId="5A37EF18" w:rsidR="00446EFE"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 Component Alpha: Price = $150, Variable Cost = $90, Ro</w:t>
      </w:r>
      <w:r w:rsidRPr="00154298">
        <w:rPr>
          <w:rFonts w:cs="Times New Roman"/>
          <w:color w:val="000000" w:themeColor="text1"/>
          <w:szCs w:val="24"/>
        </w:rPr>
        <w:t>botic Processing = 2 hours</w:t>
      </w:r>
      <w:r w:rsidRPr="00154298">
        <w:rPr>
          <w:rFonts w:cs="Times New Roman"/>
          <w:color w:val="000000" w:themeColor="text1"/>
          <w:szCs w:val="24"/>
        </w:rPr>
        <w:br/>
        <w:t>• Component Beta: Price = $220, Variable Cost = $140, Robotic Processing = 4 hours</w:t>
      </w:r>
    </w:p>
    <w:p w14:paraId="565F0E59" w14:textId="77777777" w:rsidR="00446EFE"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While Component Beta generates a higher absolute contribution margin per unit ($220 - $140 = $80) than Component Alpha ($150 - $90 = $60), priori</w:t>
      </w:r>
      <w:r w:rsidRPr="00154298">
        <w:rPr>
          <w:rFonts w:cs="Times New Roman"/>
          <w:color w:val="000000" w:themeColor="text1"/>
          <w:szCs w:val="24"/>
        </w:rPr>
        <w:t>tizing Beta would yield lower total returns under a capacity constraint. Calculating the contribution relative to the scarce resource reveals:</w:t>
      </w:r>
      <w:r w:rsidRPr="00154298">
        <w:rPr>
          <w:rFonts w:cs="Times New Roman"/>
          <w:color w:val="000000" w:themeColor="text1"/>
          <w:szCs w:val="24"/>
        </w:rPr>
        <w:br/>
        <w:t>• Alpha Contribution per Machine Hour = $60 / 2 hours = $30 per hour</w:t>
      </w:r>
    </w:p>
    <w:p w14:paraId="0A6AA09A" w14:textId="77777777" w:rsidR="00446EFE"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 Beta Contribution per Machine Hour = $80 /</w:t>
      </w:r>
      <w:r w:rsidRPr="00154298">
        <w:rPr>
          <w:rFonts w:cs="Times New Roman"/>
          <w:color w:val="000000" w:themeColor="text1"/>
          <w:szCs w:val="24"/>
        </w:rPr>
        <w:t xml:space="preserve"> 4 hours = $20 per hour</w:t>
      </w:r>
    </w:p>
    <w:p w14:paraId="234F7E08" w14:textId="0D3303C3"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lastRenderedPageBreak/>
        <w:t>To maximize total profitability, management should allocate capacity to fill all available market</w:t>
      </w:r>
      <w:r w:rsidR="00446EFE">
        <w:rPr>
          <w:rFonts w:cs="Times New Roman"/>
          <w:color w:val="000000" w:themeColor="text1"/>
          <w:szCs w:val="24"/>
        </w:rPr>
        <w:t xml:space="preserve"> </w:t>
      </w:r>
      <w:r w:rsidRPr="00154298">
        <w:rPr>
          <w:rFonts w:cs="Times New Roman"/>
          <w:color w:val="000000" w:themeColor="text1"/>
          <w:szCs w:val="24"/>
        </w:rPr>
        <w:t>demand for Component Alpha first, before using any remaining robotic assembly hours to produce Component Beta</w:t>
      </w:r>
      <w:r w:rsidR="00245454" w:rsidRPr="00154298">
        <w:rPr>
          <w:rFonts w:cs="Times New Roman"/>
          <w:color w:val="000000" w:themeColor="text1"/>
          <w:szCs w:val="24"/>
        </w:rPr>
        <w:t xml:space="preserve"> (</w:t>
      </w:r>
      <w:proofErr w:type="spellStart"/>
      <w:r w:rsidR="00245454" w:rsidRPr="00154298">
        <w:rPr>
          <w:rFonts w:cs="Times New Roman"/>
          <w:color w:val="000000" w:themeColor="text1"/>
          <w:szCs w:val="24"/>
        </w:rPr>
        <w:t>Parvasi</w:t>
      </w:r>
      <w:proofErr w:type="spellEnd"/>
      <w:r w:rsidR="00245454" w:rsidRPr="00154298">
        <w:rPr>
          <w:rFonts w:cs="Times New Roman"/>
          <w:color w:val="000000" w:themeColor="text1"/>
          <w:szCs w:val="24"/>
        </w:rPr>
        <w:t xml:space="preserve"> et al., 2025).</w:t>
      </w:r>
    </w:p>
    <w:p w14:paraId="3BA2ADCE"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11" w:name="_Toc230292491"/>
      <w:r w:rsidRPr="00154298">
        <w:rPr>
          <w:rFonts w:ascii="Times New Roman" w:hAnsi="Times New Roman" w:cs="Times New Roman"/>
          <w:color w:val="000000" w:themeColor="text1"/>
          <w:sz w:val="24"/>
          <w:szCs w:val="24"/>
        </w:rPr>
        <w:t>5.2 Structured Scenari</w:t>
      </w:r>
      <w:r w:rsidRPr="00154298">
        <w:rPr>
          <w:rFonts w:ascii="Times New Roman" w:hAnsi="Times New Roman" w:cs="Times New Roman"/>
          <w:color w:val="000000" w:themeColor="text1"/>
          <w:sz w:val="24"/>
          <w:szCs w:val="24"/>
        </w:rPr>
        <w:t xml:space="preserve">os: Make-or-Buy and </w:t>
      </w:r>
      <w:proofErr w:type="gramStart"/>
      <w:r w:rsidRPr="00154298">
        <w:rPr>
          <w:rFonts w:ascii="Times New Roman" w:hAnsi="Times New Roman" w:cs="Times New Roman"/>
          <w:color w:val="000000" w:themeColor="text1"/>
          <w:sz w:val="24"/>
          <w:szCs w:val="24"/>
        </w:rPr>
        <w:t>Special Order</w:t>
      </w:r>
      <w:proofErr w:type="gramEnd"/>
      <w:r w:rsidRPr="00154298">
        <w:rPr>
          <w:rFonts w:ascii="Times New Roman" w:hAnsi="Times New Roman" w:cs="Times New Roman"/>
          <w:color w:val="000000" w:themeColor="text1"/>
          <w:sz w:val="24"/>
          <w:szCs w:val="24"/>
        </w:rPr>
        <w:t xml:space="preserve"> Appraisals</w:t>
      </w:r>
      <w:bookmarkEnd w:id="11"/>
    </w:p>
    <w:p w14:paraId="52C29D76" w14:textId="566DB75D" w:rsidR="005D3143"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Make-or-buy decisions focus on whether an organization should continue manufacturing a component internally or outsource it to an external supplier. Marginal costing clarifies this choice by separating avoidable</w:t>
      </w:r>
      <w:r w:rsidRPr="00154298">
        <w:rPr>
          <w:rFonts w:cs="Times New Roman"/>
          <w:color w:val="000000" w:themeColor="text1"/>
          <w:szCs w:val="24"/>
        </w:rPr>
        <w:t xml:space="preserve"> variable costs from unavoidable fixed corporate expenses.</w:t>
      </w:r>
      <w:r w:rsidRPr="00154298">
        <w:rPr>
          <w:rFonts w:cs="Times New Roman"/>
          <w:color w:val="000000" w:themeColor="text1"/>
          <w:szCs w:val="24"/>
        </w:rPr>
        <w:br/>
        <w:t xml:space="preserve">An automotive supply vendor currently manufactures an internal bracket component. An outside specialist offers to supply the part for $28.00 per unit. The internal production cost breakdown for a </w:t>
      </w:r>
      <w:r w:rsidRPr="00154298">
        <w:rPr>
          <w:rFonts w:cs="Times New Roman"/>
          <w:color w:val="000000" w:themeColor="text1"/>
          <w:szCs w:val="24"/>
        </w:rPr>
        <w:t>batch of 10,000 units shows Direct Materials at $12.00, Direct Labor at $10.00, Variable Overhead at $3.00, and Fixed Overhead at $8.00 (Total full absorption cost = $33.00).</w:t>
      </w:r>
      <w:r w:rsidRPr="00154298">
        <w:rPr>
          <w:rFonts w:cs="Times New Roman"/>
          <w:color w:val="000000" w:themeColor="text1"/>
          <w:szCs w:val="24"/>
        </w:rPr>
        <w:br/>
        <w:t>Comparing the total absorption cost ($33.00) to the outsourcing offer ($28.00) m</w:t>
      </w:r>
      <w:r w:rsidRPr="00154298">
        <w:rPr>
          <w:rFonts w:cs="Times New Roman"/>
          <w:color w:val="000000" w:themeColor="text1"/>
          <w:szCs w:val="24"/>
        </w:rPr>
        <w:t>akes buying look like the cheaper option. However, marginal costing isolates the relevant costs. The fixed overhead of $8.00 per unit represents allocated factory rent and corporate salaries that will continue regardless of whether the bracket is made or b</w:t>
      </w:r>
      <w:r w:rsidRPr="00154298">
        <w:rPr>
          <w:rFonts w:cs="Times New Roman"/>
          <w:color w:val="000000" w:themeColor="text1"/>
          <w:szCs w:val="24"/>
        </w:rPr>
        <w:t>ought</w:t>
      </w:r>
      <w:r w:rsidR="005D3143" w:rsidRPr="00154298">
        <w:rPr>
          <w:rFonts w:cs="Times New Roman"/>
          <w:color w:val="000000" w:themeColor="text1"/>
          <w:szCs w:val="24"/>
        </w:rPr>
        <w:t xml:space="preserve"> (</w:t>
      </w:r>
      <w:proofErr w:type="spellStart"/>
      <w:r w:rsidR="005D3143" w:rsidRPr="006538F9">
        <w:rPr>
          <w:rFonts w:eastAsia="Times New Roman" w:cs="Times New Roman"/>
          <w:color w:val="000000" w:themeColor="text1"/>
          <w:szCs w:val="24"/>
          <w:lang w:val="en-IN" w:eastAsia="en-IN"/>
        </w:rPr>
        <w:t>Uchegbu</w:t>
      </w:r>
      <w:proofErr w:type="spellEnd"/>
      <w:r w:rsidR="005D3143" w:rsidRPr="006538F9">
        <w:rPr>
          <w:rFonts w:eastAsia="Times New Roman" w:cs="Times New Roman"/>
          <w:color w:val="000000" w:themeColor="text1"/>
          <w:szCs w:val="24"/>
          <w:lang w:val="en-IN" w:eastAsia="en-IN"/>
        </w:rPr>
        <w:t xml:space="preserve">, Okoye, &amp; </w:t>
      </w:r>
      <w:proofErr w:type="spellStart"/>
      <w:r w:rsidR="005D3143" w:rsidRPr="006538F9">
        <w:rPr>
          <w:rFonts w:eastAsia="Times New Roman" w:cs="Times New Roman"/>
          <w:color w:val="000000" w:themeColor="text1"/>
          <w:szCs w:val="24"/>
          <w:lang w:val="en-IN" w:eastAsia="en-IN"/>
        </w:rPr>
        <w:t>Umenzekwe</w:t>
      </w:r>
      <w:proofErr w:type="spellEnd"/>
      <w:r w:rsidR="005D3143" w:rsidRPr="006538F9">
        <w:rPr>
          <w:rFonts w:eastAsia="Times New Roman" w:cs="Times New Roman"/>
          <w:color w:val="000000" w:themeColor="text1"/>
          <w:szCs w:val="24"/>
          <w:lang w:val="en-IN" w:eastAsia="en-IN"/>
        </w:rPr>
        <w:t>, 2025). </w:t>
      </w:r>
    </w:p>
    <w:p w14:paraId="76E4DD7B" w14:textId="77777777" w:rsidR="00446EFE"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The true internal cost to clear is only the variable production stack:</w:t>
      </w:r>
      <w:r w:rsidRPr="00154298">
        <w:rPr>
          <w:rFonts w:cs="Times New Roman"/>
          <w:color w:val="000000" w:themeColor="text1"/>
          <w:szCs w:val="24"/>
        </w:rPr>
        <w:br/>
        <w:t>Relevant Internal Variable Cost = $12.00 + $10.00 + $3.00 = $25.00</w:t>
      </w:r>
    </w:p>
    <w:p w14:paraId="09F8F54A" w14:textId="77777777" w:rsidR="00446EFE"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Comparing the options demonstrates that manufacturing the part internally for $25.00 is more cost-effective th</w:t>
      </w:r>
      <w:r w:rsidRPr="00154298">
        <w:rPr>
          <w:rFonts w:cs="Times New Roman"/>
          <w:color w:val="000000" w:themeColor="text1"/>
          <w:szCs w:val="24"/>
        </w:rPr>
        <w:t>an buying it for $28.00. Outsourcing would increase total corporate expenditures by $3.00 per unit ($28.00 purchase price minus $25.00 avoided variable cost), creating a $30,000 financial penalty across a 10,000-unit run.</w:t>
      </w:r>
    </w:p>
    <w:p w14:paraId="6AF29AD0" w14:textId="2EE6C584" w:rsidR="008417B5" w:rsidRPr="00154298" w:rsidRDefault="001D6576" w:rsidP="00315C83">
      <w:pPr>
        <w:spacing w:before="240" w:after="240"/>
        <w:jc w:val="both"/>
        <w:rPr>
          <w:rFonts w:cs="Times New Roman"/>
          <w:color w:val="000000" w:themeColor="text1"/>
          <w:szCs w:val="24"/>
        </w:rPr>
      </w:pPr>
      <w:r w:rsidRPr="00154298">
        <w:rPr>
          <w:rFonts w:cs="Times New Roman"/>
          <w:b/>
          <w:bCs/>
          <w:color w:val="000000" w:themeColor="text1"/>
          <w:szCs w:val="24"/>
        </w:rPr>
        <w:lastRenderedPageBreak/>
        <w:t xml:space="preserve">Special order decisions follow a </w:t>
      </w:r>
      <w:r w:rsidRPr="00154298">
        <w:rPr>
          <w:rFonts w:cs="Times New Roman"/>
          <w:b/>
          <w:bCs/>
          <w:color w:val="000000" w:themeColor="text1"/>
          <w:szCs w:val="24"/>
        </w:rPr>
        <w:t>similar logic.</w:t>
      </w:r>
      <w:r w:rsidRPr="00154298">
        <w:rPr>
          <w:rFonts w:cs="Times New Roman"/>
          <w:color w:val="000000" w:themeColor="text1"/>
          <w:szCs w:val="24"/>
        </w:rPr>
        <w:t xml:space="preserve"> They involve evaluating one-off, non-routine customer requests, often from foreign markets or wholesale buyers, who ask for prices well below standard domestic retail rates. If the firm has surplus, unutilized factory capacity, the criteria </w:t>
      </w:r>
      <w:r w:rsidRPr="00154298">
        <w:rPr>
          <w:rFonts w:cs="Times New Roman"/>
          <w:color w:val="000000" w:themeColor="text1"/>
          <w:szCs w:val="24"/>
        </w:rPr>
        <w:t>for accepting a special order are straightforward: the offered price must exceed the variable costs directly caused by the order, and it must not disrupt existing full-price retail sales.</w:t>
      </w:r>
    </w:p>
    <w:p w14:paraId="782A1BBD"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12" w:name="_Toc230292492"/>
      <w:r w:rsidRPr="00154298">
        <w:rPr>
          <w:rFonts w:ascii="Times New Roman" w:hAnsi="Times New Roman" w:cs="Times New Roman"/>
          <w:color w:val="000000" w:themeColor="text1"/>
          <w:sz w:val="24"/>
          <w:szCs w:val="24"/>
        </w:rPr>
        <w:t>5.3 Comparative Matrix: Variable vs. Absorption Perspectives</w:t>
      </w:r>
      <w:bookmarkEnd w:id="1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3240"/>
        <w:gridCol w:w="3240"/>
      </w:tblGrid>
      <w:tr w:rsidR="00154298" w:rsidRPr="00154298" w14:paraId="628041A4" w14:textId="77777777" w:rsidTr="00BD75EF">
        <w:trPr>
          <w:cantSplit/>
          <w:jc w:val="center"/>
        </w:trPr>
        <w:tc>
          <w:tcPr>
            <w:tcW w:w="2880" w:type="dxa"/>
            <w:shd w:val="clear" w:color="auto" w:fill="003366"/>
          </w:tcPr>
          <w:p w14:paraId="02771D5F" w14:textId="77777777" w:rsidR="008417B5" w:rsidRPr="00154298" w:rsidRDefault="001D6576" w:rsidP="00315C83">
            <w:pPr>
              <w:spacing w:before="240" w:after="240"/>
              <w:jc w:val="both"/>
              <w:rPr>
                <w:rFonts w:cs="Times New Roman"/>
                <w:color w:val="000000" w:themeColor="text1"/>
                <w:szCs w:val="24"/>
              </w:rPr>
            </w:pPr>
            <w:r w:rsidRPr="00154298">
              <w:rPr>
                <w:rFonts w:cs="Times New Roman"/>
                <w:b/>
                <w:color w:val="000000" w:themeColor="text1"/>
                <w:szCs w:val="24"/>
              </w:rPr>
              <w:t>Evaluat</w:t>
            </w:r>
            <w:r w:rsidRPr="00154298">
              <w:rPr>
                <w:rFonts w:cs="Times New Roman"/>
                <w:b/>
                <w:color w:val="000000" w:themeColor="text1"/>
                <w:szCs w:val="24"/>
              </w:rPr>
              <w:t>ed Metric</w:t>
            </w:r>
          </w:p>
        </w:tc>
        <w:tc>
          <w:tcPr>
            <w:tcW w:w="3240" w:type="dxa"/>
            <w:shd w:val="clear" w:color="auto" w:fill="003366"/>
          </w:tcPr>
          <w:p w14:paraId="2EAE74CB" w14:textId="77777777" w:rsidR="008417B5" w:rsidRPr="00154298" w:rsidRDefault="001D6576" w:rsidP="00315C83">
            <w:pPr>
              <w:spacing w:before="240" w:after="240"/>
              <w:jc w:val="both"/>
              <w:rPr>
                <w:rFonts w:cs="Times New Roman"/>
                <w:color w:val="000000" w:themeColor="text1"/>
                <w:szCs w:val="24"/>
              </w:rPr>
            </w:pPr>
            <w:r w:rsidRPr="00154298">
              <w:rPr>
                <w:rFonts w:cs="Times New Roman"/>
                <w:b/>
                <w:color w:val="000000" w:themeColor="text1"/>
                <w:szCs w:val="24"/>
              </w:rPr>
              <w:t>Marginal Costing Framework</w:t>
            </w:r>
          </w:p>
        </w:tc>
        <w:tc>
          <w:tcPr>
            <w:tcW w:w="3240" w:type="dxa"/>
            <w:shd w:val="clear" w:color="auto" w:fill="003366"/>
          </w:tcPr>
          <w:p w14:paraId="75C35AD3" w14:textId="77777777" w:rsidR="008417B5" w:rsidRPr="00154298" w:rsidRDefault="001D6576" w:rsidP="00315C83">
            <w:pPr>
              <w:spacing w:before="240" w:after="240"/>
              <w:jc w:val="both"/>
              <w:rPr>
                <w:rFonts w:cs="Times New Roman"/>
                <w:color w:val="000000" w:themeColor="text1"/>
                <w:szCs w:val="24"/>
              </w:rPr>
            </w:pPr>
            <w:r w:rsidRPr="00154298">
              <w:rPr>
                <w:rFonts w:cs="Times New Roman"/>
                <w:b/>
                <w:color w:val="000000" w:themeColor="text1"/>
                <w:szCs w:val="24"/>
              </w:rPr>
              <w:t>Absorption Costing Framework</w:t>
            </w:r>
          </w:p>
        </w:tc>
      </w:tr>
      <w:tr w:rsidR="00154298" w:rsidRPr="00154298" w14:paraId="7AF96653" w14:textId="77777777" w:rsidTr="00BD75EF">
        <w:trPr>
          <w:cantSplit/>
          <w:jc w:val="center"/>
        </w:trPr>
        <w:tc>
          <w:tcPr>
            <w:tcW w:w="2880" w:type="dxa"/>
          </w:tcPr>
          <w:p w14:paraId="6D632D7B"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Fixed Manufacturing Overhead</w:t>
            </w:r>
          </w:p>
        </w:tc>
        <w:tc>
          <w:tcPr>
            <w:tcW w:w="3240" w:type="dxa"/>
          </w:tcPr>
          <w:p w14:paraId="10D4C006"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Charged directly as a period cost against the current timeline's revenue.</w:t>
            </w:r>
          </w:p>
        </w:tc>
        <w:tc>
          <w:tcPr>
            <w:tcW w:w="3240" w:type="dxa"/>
          </w:tcPr>
          <w:p w14:paraId="4CD74EDE"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Spread across product units and embedded within inventory assets.</w:t>
            </w:r>
          </w:p>
        </w:tc>
      </w:tr>
      <w:tr w:rsidR="00154298" w:rsidRPr="00154298" w14:paraId="73821CE5" w14:textId="77777777" w:rsidTr="00BD75EF">
        <w:trPr>
          <w:cantSplit/>
          <w:jc w:val="center"/>
        </w:trPr>
        <w:tc>
          <w:tcPr>
            <w:tcW w:w="2880" w:type="dxa"/>
          </w:tcPr>
          <w:p w14:paraId="4CD76986"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 xml:space="preserve">Inventory </w:t>
            </w:r>
            <w:r w:rsidRPr="00154298">
              <w:rPr>
                <w:rFonts w:cs="Times New Roman"/>
                <w:color w:val="000000" w:themeColor="text1"/>
                <w:szCs w:val="24"/>
              </w:rPr>
              <w:t>Valuation Base</w:t>
            </w:r>
          </w:p>
        </w:tc>
        <w:tc>
          <w:tcPr>
            <w:tcW w:w="3240" w:type="dxa"/>
          </w:tcPr>
          <w:p w14:paraId="7EF81EC1"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Valued strictly on accumulated variable production inputs.</w:t>
            </w:r>
          </w:p>
        </w:tc>
        <w:tc>
          <w:tcPr>
            <w:tcW w:w="3240" w:type="dxa"/>
          </w:tcPr>
          <w:p w14:paraId="0FC0D398"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Valued on total production costs, including both fixed and variable elements.</w:t>
            </w:r>
          </w:p>
        </w:tc>
      </w:tr>
      <w:tr w:rsidR="00154298" w:rsidRPr="00154298" w14:paraId="3CB76B2F" w14:textId="77777777" w:rsidTr="00BD75EF">
        <w:trPr>
          <w:cantSplit/>
          <w:jc w:val="center"/>
        </w:trPr>
        <w:tc>
          <w:tcPr>
            <w:tcW w:w="2880" w:type="dxa"/>
          </w:tcPr>
          <w:p w14:paraId="619B839C"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Profit Impact (Production &gt; Sales)</w:t>
            </w:r>
          </w:p>
        </w:tc>
        <w:tc>
          <w:tcPr>
            <w:tcW w:w="3240" w:type="dxa"/>
          </w:tcPr>
          <w:p w14:paraId="2614F2C8"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Reflects lower net income; fixed overhead is expensed immediately.</w:t>
            </w:r>
          </w:p>
        </w:tc>
        <w:tc>
          <w:tcPr>
            <w:tcW w:w="3240" w:type="dxa"/>
          </w:tcPr>
          <w:p w14:paraId="0CB2A6D8"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R</w:t>
            </w:r>
            <w:r w:rsidRPr="00154298">
              <w:rPr>
                <w:rFonts w:cs="Times New Roman"/>
                <w:color w:val="000000" w:themeColor="text1"/>
                <w:szCs w:val="24"/>
              </w:rPr>
              <w:t>eflects higher net income; fixed overhead is deferred on the balance sheet.</w:t>
            </w:r>
          </w:p>
        </w:tc>
      </w:tr>
      <w:tr w:rsidR="00154298" w:rsidRPr="00154298" w14:paraId="0322329F" w14:textId="77777777" w:rsidTr="00BD75EF">
        <w:trPr>
          <w:cantSplit/>
          <w:jc w:val="center"/>
        </w:trPr>
        <w:tc>
          <w:tcPr>
            <w:tcW w:w="2880" w:type="dxa"/>
          </w:tcPr>
          <w:p w14:paraId="6397C52F"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lastRenderedPageBreak/>
              <w:t>Strategic Focus Area</w:t>
            </w:r>
          </w:p>
        </w:tc>
        <w:tc>
          <w:tcPr>
            <w:tcW w:w="3240" w:type="dxa"/>
          </w:tcPr>
          <w:p w14:paraId="5074977B"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Short-term pricing floors, operational changes, and contribution tracking.</w:t>
            </w:r>
          </w:p>
        </w:tc>
        <w:tc>
          <w:tcPr>
            <w:tcW w:w="3240" w:type="dxa"/>
          </w:tcPr>
          <w:p w14:paraId="23E429BE"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Long-term pricing strategies, financial compliance, and total cost recovery.</w:t>
            </w:r>
          </w:p>
        </w:tc>
      </w:tr>
    </w:tbl>
    <w:p w14:paraId="51FCB402" w14:textId="77777777" w:rsidR="008417B5" w:rsidRPr="00154298" w:rsidRDefault="001D6576" w:rsidP="00315C83">
      <w:pPr>
        <w:pStyle w:val="Heading1"/>
        <w:spacing w:before="240" w:after="240"/>
        <w:jc w:val="both"/>
        <w:rPr>
          <w:rFonts w:ascii="Times New Roman" w:hAnsi="Times New Roman" w:cs="Times New Roman"/>
          <w:color w:val="000000" w:themeColor="text1"/>
          <w:sz w:val="24"/>
          <w:szCs w:val="24"/>
        </w:rPr>
      </w:pPr>
      <w:bookmarkStart w:id="13" w:name="_Toc230292493"/>
      <w:r w:rsidRPr="00154298">
        <w:rPr>
          <w:rFonts w:ascii="Times New Roman" w:hAnsi="Times New Roman" w:cs="Times New Roman"/>
          <w:color w:val="000000" w:themeColor="text1"/>
          <w:sz w:val="24"/>
          <w:szCs w:val="24"/>
        </w:rPr>
        <w:t xml:space="preserve">6. </w:t>
      </w:r>
      <w:r w:rsidRPr="00154298">
        <w:rPr>
          <w:rFonts w:ascii="Times New Roman" w:hAnsi="Times New Roman" w:cs="Times New Roman"/>
          <w:color w:val="000000" w:themeColor="text1"/>
          <w:sz w:val="24"/>
          <w:szCs w:val="24"/>
        </w:rPr>
        <w:t>DISCUSSION</w:t>
      </w:r>
      <w:bookmarkEnd w:id="13"/>
    </w:p>
    <w:p w14:paraId="66929E0C"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14" w:name="_Toc230292494"/>
      <w:r w:rsidRPr="00154298">
        <w:rPr>
          <w:rFonts w:ascii="Times New Roman" w:hAnsi="Times New Roman" w:cs="Times New Roman"/>
          <w:color w:val="000000" w:themeColor="text1"/>
          <w:sz w:val="24"/>
          <w:szCs w:val="24"/>
        </w:rPr>
        <w:t>6.1 Strategic Implementation: Profit Optimization and Risk Reduction</w:t>
      </w:r>
      <w:bookmarkEnd w:id="14"/>
    </w:p>
    <w:p w14:paraId="586AF488" w14:textId="49853609" w:rsidR="00C62C7A" w:rsidRPr="00154298" w:rsidRDefault="00C62C7A" w:rsidP="00315C83">
      <w:pPr>
        <w:pStyle w:val="NormalWeb"/>
        <w:spacing w:before="240" w:beforeAutospacing="0" w:after="240" w:afterAutospacing="0" w:line="480" w:lineRule="auto"/>
        <w:jc w:val="both"/>
        <w:rPr>
          <w:color w:val="000000" w:themeColor="text1"/>
        </w:rPr>
      </w:pPr>
      <w:r w:rsidRPr="00154298">
        <w:rPr>
          <w:color w:val="000000" w:themeColor="text1"/>
        </w:rPr>
        <w:t>Cost-Volume-Profit (CVP) analysis provides the greatest strategic value when treated as a dynamic tool for scenario testing and risk management, rather than a static baseline calculation. By continuously adjusting cost, price, and volume variables, corporate financial planners can map out exactly how changing macroeconomic conditions will impact bottom-line profits (</w:t>
      </w:r>
      <w:r w:rsidR="00560BE3" w:rsidRPr="00154298">
        <w:rPr>
          <w:color w:val="000000" w:themeColor="text1"/>
        </w:rPr>
        <w:t>Pietrzak, Wnuk-Pel, &amp; Christauskas, 2020</w:t>
      </w:r>
      <w:r w:rsidRPr="00154298">
        <w:rPr>
          <w:color w:val="000000" w:themeColor="text1"/>
        </w:rPr>
        <w:t xml:space="preserve">). This proactive </w:t>
      </w:r>
      <w:proofErr w:type="spellStart"/>
      <w:r w:rsidRPr="00154298">
        <w:rPr>
          <w:color w:val="000000" w:themeColor="text1"/>
        </w:rPr>
        <w:t>modeling</w:t>
      </w:r>
      <w:proofErr w:type="spellEnd"/>
      <w:r w:rsidRPr="00154298">
        <w:rPr>
          <w:color w:val="000000" w:themeColor="text1"/>
        </w:rPr>
        <w:t xml:space="preserve"> allows organizations to build essential financial safety cushions before market conditions worsen. </w:t>
      </w:r>
    </w:p>
    <w:p w14:paraId="1A33EF5C" w14:textId="77777777" w:rsidR="00C62C7A" w:rsidRPr="00154298" w:rsidRDefault="00C62C7A" w:rsidP="00315C83">
      <w:pPr>
        <w:pStyle w:val="NormalWeb"/>
        <w:spacing w:before="240" w:beforeAutospacing="0" w:after="240" w:afterAutospacing="0" w:line="480" w:lineRule="auto"/>
        <w:jc w:val="both"/>
        <w:rPr>
          <w:color w:val="000000" w:themeColor="text1"/>
        </w:rPr>
      </w:pPr>
      <w:r w:rsidRPr="00154298">
        <w:rPr>
          <w:color w:val="000000" w:themeColor="text1"/>
        </w:rPr>
        <w:t xml:space="preserve">For example, if a firm anticipates a 15% increase in global raw material costs, it can run a targeted sensitivity analysis to determine the exact sales volume increase required to preserve its current net income, or evaluate whether it needs to defensively restructure its baseline retail prices. </w:t>
      </w:r>
    </w:p>
    <w:p w14:paraId="557249C1" w14:textId="77777777" w:rsidR="00C62C7A" w:rsidRPr="00154298" w:rsidRDefault="00C62C7A" w:rsidP="00315C83">
      <w:pPr>
        <w:pStyle w:val="NormalWeb"/>
        <w:spacing w:before="240" w:beforeAutospacing="0" w:after="240" w:afterAutospacing="0" w:line="480" w:lineRule="auto"/>
        <w:jc w:val="both"/>
        <w:rPr>
          <w:color w:val="000000" w:themeColor="text1"/>
        </w:rPr>
      </w:pPr>
      <w:r w:rsidRPr="00154298">
        <w:rPr>
          <w:color w:val="000000" w:themeColor="text1"/>
        </w:rPr>
        <w:t xml:space="preserve">Furthermore, companies can manage risk by actively shifting their cost structures from variable to fixed setups. Organizations often choose to replace volatile variable expenses with predictable fixed costs, such as transitioning from manual assembly </w:t>
      </w:r>
      <w:proofErr w:type="spellStart"/>
      <w:r w:rsidRPr="00154298">
        <w:rPr>
          <w:color w:val="000000" w:themeColor="text1"/>
        </w:rPr>
        <w:t>labor</w:t>
      </w:r>
      <w:proofErr w:type="spellEnd"/>
      <w:r w:rsidRPr="00154298">
        <w:rPr>
          <w:color w:val="000000" w:themeColor="text1"/>
        </w:rPr>
        <w:t xml:space="preserve"> to automated robotic production systems. This type of capital investment permanently alters the firm's cost architecture, lowering variable costs per unit while increasing fixed period commitments. </w:t>
      </w:r>
    </w:p>
    <w:p w14:paraId="1C8446D5" w14:textId="77777777" w:rsidR="00C62C7A" w:rsidRPr="00154298" w:rsidRDefault="00C62C7A" w:rsidP="00315C83">
      <w:pPr>
        <w:pStyle w:val="NormalWeb"/>
        <w:spacing w:before="240" w:beforeAutospacing="0" w:after="240" w:afterAutospacing="0" w:line="480" w:lineRule="auto"/>
        <w:jc w:val="both"/>
        <w:rPr>
          <w:color w:val="000000" w:themeColor="text1"/>
        </w:rPr>
      </w:pPr>
      <w:r w:rsidRPr="00154298">
        <w:rPr>
          <w:color w:val="000000" w:themeColor="text1"/>
        </w:rPr>
        <w:lastRenderedPageBreak/>
        <w:t xml:space="preserve">This structural shift elevates the company's degree of operating leverage. Consequently, once actual sales cross the calculated break-even point, net profits expand at a much faster rate relative to volume growth. CVP analysis acts as the primary tool to map these structural trade-offs, showing executives the precise volume thresholds required to justify a higher fixed cost base while maintaining a healthy margin of safety. </w:t>
      </w:r>
    </w:p>
    <w:p w14:paraId="49556997"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15" w:name="_Toc230292495"/>
      <w:r w:rsidRPr="00154298">
        <w:rPr>
          <w:rFonts w:ascii="Times New Roman" w:hAnsi="Times New Roman" w:cs="Times New Roman"/>
          <w:color w:val="000000" w:themeColor="text1"/>
          <w:sz w:val="24"/>
          <w:szCs w:val="24"/>
        </w:rPr>
        <w:t xml:space="preserve">6.2 Critical Evaluation: Assumptions </w:t>
      </w:r>
      <w:r w:rsidRPr="00154298">
        <w:rPr>
          <w:rFonts w:ascii="Times New Roman" w:hAnsi="Times New Roman" w:cs="Times New Roman"/>
          <w:color w:val="000000" w:themeColor="text1"/>
          <w:sz w:val="24"/>
          <w:szCs w:val="24"/>
        </w:rPr>
        <w:t>vs. Real-World Constraints</w:t>
      </w:r>
      <w:bookmarkEnd w:id="15"/>
    </w:p>
    <w:p w14:paraId="2F9A6939" w14:textId="77777777" w:rsidR="00C62C7A" w:rsidRPr="00154298" w:rsidRDefault="00C62C7A" w:rsidP="00315C83">
      <w:pPr>
        <w:spacing w:before="240" w:after="240"/>
        <w:jc w:val="both"/>
        <w:rPr>
          <w:rFonts w:cs="Times New Roman"/>
          <w:color w:val="000000" w:themeColor="text1"/>
          <w:szCs w:val="24"/>
        </w:rPr>
      </w:pPr>
      <w:r w:rsidRPr="00154298">
        <w:rPr>
          <w:rFonts w:cs="Times New Roman"/>
          <w:color w:val="000000" w:themeColor="text1"/>
          <w:szCs w:val="24"/>
        </w:rPr>
        <w:t xml:space="preserve">Despite these practical benefits, marginal costing and basic CVP models rely on several highly restrictive assumptions that present significant operational challenges within complex corporate environments: </w:t>
      </w:r>
    </w:p>
    <w:p w14:paraId="51C370AB" w14:textId="77777777" w:rsidR="00C62C7A" w:rsidRPr="00154298" w:rsidRDefault="00C62C7A" w:rsidP="00315C83">
      <w:pPr>
        <w:spacing w:before="240" w:after="240"/>
        <w:jc w:val="both"/>
        <w:rPr>
          <w:rFonts w:cs="Times New Roman"/>
          <w:color w:val="000000" w:themeColor="text1"/>
          <w:szCs w:val="24"/>
        </w:rPr>
      </w:pPr>
      <w:r w:rsidRPr="00154298">
        <w:rPr>
          <w:rFonts w:cs="Times New Roman"/>
          <w:color w:val="000000" w:themeColor="text1"/>
          <w:szCs w:val="24"/>
        </w:rPr>
        <w:t>•</w:t>
      </w:r>
      <w:r w:rsidRPr="00154298">
        <w:rPr>
          <w:rFonts w:cs="Times New Roman"/>
          <w:color w:val="000000" w:themeColor="text1"/>
          <w:szCs w:val="24"/>
        </w:rPr>
        <w:tab/>
      </w:r>
      <w:r w:rsidRPr="00154298">
        <w:rPr>
          <w:rFonts w:cs="Times New Roman"/>
          <w:b/>
          <w:bCs/>
          <w:color w:val="000000" w:themeColor="text1"/>
          <w:szCs w:val="24"/>
        </w:rPr>
        <w:t>Assumption of Strict Linearity:</w:t>
      </w:r>
      <w:r w:rsidRPr="00154298">
        <w:rPr>
          <w:rFonts w:cs="Times New Roman"/>
          <w:color w:val="000000" w:themeColor="text1"/>
          <w:szCs w:val="24"/>
        </w:rPr>
        <w:t xml:space="preserve"> The model assumes that selling prices and variable costs per unit remain completely constant across all production scales. In reality, scaling up production often unlocks volume discounts on raw materials, while pushing factory capacity to its limits may require paying premium overtime labor rates, completely warping the assumed linear relationship. </w:t>
      </w:r>
    </w:p>
    <w:p w14:paraId="51C63C77" w14:textId="77777777" w:rsidR="00C62C7A" w:rsidRPr="00154298" w:rsidRDefault="00C62C7A" w:rsidP="00315C83">
      <w:pPr>
        <w:spacing w:before="240" w:after="240"/>
        <w:jc w:val="both"/>
        <w:rPr>
          <w:rFonts w:cs="Times New Roman"/>
          <w:color w:val="000000" w:themeColor="text1"/>
          <w:szCs w:val="24"/>
        </w:rPr>
      </w:pPr>
      <w:r w:rsidRPr="00154298">
        <w:rPr>
          <w:rFonts w:cs="Times New Roman"/>
          <w:color w:val="000000" w:themeColor="text1"/>
          <w:szCs w:val="24"/>
        </w:rPr>
        <w:t>•</w:t>
      </w:r>
      <w:r w:rsidRPr="00154298">
        <w:rPr>
          <w:rFonts w:cs="Times New Roman"/>
          <w:color w:val="000000" w:themeColor="text1"/>
          <w:szCs w:val="24"/>
        </w:rPr>
        <w:tab/>
      </w:r>
      <w:r w:rsidRPr="00154298">
        <w:rPr>
          <w:rFonts w:cs="Times New Roman"/>
          <w:b/>
          <w:bCs/>
          <w:color w:val="000000" w:themeColor="text1"/>
          <w:szCs w:val="24"/>
        </w:rPr>
        <w:t>Constant Sales Mix Simplification:</w:t>
      </w:r>
      <w:r w:rsidRPr="00154298">
        <w:rPr>
          <w:rFonts w:cs="Times New Roman"/>
          <w:color w:val="000000" w:themeColor="text1"/>
          <w:szCs w:val="24"/>
        </w:rPr>
        <w:t xml:space="preserve"> CVP models assume that multi-product firms sell their items in a perfectly stable, unvarying proportion. However, real-world consumer demand fluctuates constantly based on seasonal trends, shifting consumer preferences, and targeted promotional activities, which can quickly invalidate calculations based on an idealized average product mix. </w:t>
      </w:r>
    </w:p>
    <w:p w14:paraId="3D0A9419" w14:textId="77777777" w:rsidR="00C62C7A" w:rsidRPr="00154298" w:rsidRDefault="00C62C7A" w:rsidP="00315C83">
      <w:pPr>
        <w:spacing w:before="240" w:after="240"/>
        <w:jc w:val="both"/>
        <w:rPr>
          <w:rFonts w:cs="Times New Roman"/>
          <w:color w:val="000000" w:themeColor="text1"/>
          <w:szCs w:val="24"/>
        </w:rPr>
      </w:pPr>
      <w:r w:rsidRPr="00154298">
        <w:rPr>
          <w:rFonts w:cs="Times New Roman"/>
          <w:color w:val="000000" w:themeColor="text1"/>
          <w:szCs w:val="24"/>
        </w:rPr>
        <w:t>•</w:t>
      </w:r>
      <w:r w:rsidRPr="00154298">
        <w:rPr>
          <w:rFonts w:cs="Times New Roman"/>
          <w:color w:val="000000" w:themeColor="text1"/>
          <w:szCs w:val="24"/>
        </w:rPr>
        <w:tab/>
      </w:r>
      <w:r w:rsidRPr="00154298">
        <w:rPr>
          <w:rFonts w:cs="Times New Roman"/>
          <w:b/>
          <w:bCs/>
          <w:color w:val="000000" w:themeColor="text1"/>
          <w:szCs w:val="24"/>
        </w:rPr>
        <w:t>The Myth of Static Fixed Costs:</w:t>
      </w:r>
      <w:r w:rsidRPr="00154298">
        <w:rPr>
          <w:rFonts w:cs="Times New Roman"/>
          <w:color w:val="000000" w:themeColor="text1"/>
          <w:szCs w:val="24"/>
        </w:rPr>
        <w:t xml:space="preserve"> The framework treats fixed overhead as entirely immobile regardless of volume. Over longer timelines or large variations in output, fixed costs </w:t>
      </w:r>
      <w:r w:rsidRPr="00154298">
        <w:rPr>
          <w:rFonts w:cs="Times New Roman"/>
          <w:color w:val="000000" w:themeColor="text1"/>
          <w:szCs w:val="24"/>
        </w:rPr>
        <w:lastRenderedPageBreak/>
        <w:t xml:space="preserve">behave like step-costs; expanding operations past certain capacity thresholds forces the business to lease additional warehouse space or hire more administrative staff. </w:t>
      </w:r>
    </w:p>
    <w:p w14:paraId="6CC0A995" w14:textId="59E04804" w:rsidR="008417B5" w:rsidRPr="00154298" w:rsidRDefault="00C62C7A" w:rsidP="00315C83">
      <w:pPr>
        <w:spacing w:before="240" w:after="240"/>
        <w:jc w:val="both"/>
        <w:rPr>
          <w:rFonts w:cs="Times New Roman"/>
          <w:color w:val="000000" w:themeColor="text1"/>
          <w:szCs w:val="24"/>
        </w:rPr>
      </w:pPr>
      <w:r w:rsidRPr="00154298">
        <w:rPr>
          <w:rFonts w:cs="Times New Roman"/>
          <w:color w:val="000000" w:themeColor="text1"/>
          <w:szCs w:val="24"/>
        </w:rPr>
        <w:t>Because of these inherent limitations, relying blindly on marginal cost thresholds for long-term decisions introduces severe risk. If a company continuously prices its products just above variable costs to win short-term orders, it will fail to recover its total fixed overhead over time, leading to structural losses. To counter this, smart organizations use marginal costing primarily for short-term tactical decisions under one year. For long-term planning, product lifecycle evaluations, and strategic market positioning, they shift to comprehensive frameworks like Activity-Based Costing (ABC) or full absorption systems</w:t>
      </w:r>
      <w:r w:rsidR="001D6576" w:rsidRPr="00154298">
        <w:rPr>
          <w:rFonts w:cs="Times New Roman"/>
          <w:color w:val="000000" w:themeColor="text1"/>
          <w:szCs w:val="24"/>
        </w:rPr>
        <w:t>.</w:t>
      </w:r>
    </w:p>
    <w:p w14:paraId="3636B044" w14:textId="77777777" w:rsidR="008417B5" w:rsidRPr="00154298" w:rsidRDefault="001D6576" w:rsidP="00315C83">
      <w:pPr>
        <w:pStyle w:val="Heading1"/>
        <w:spacing w:before="240" w:after="240"/>
        <w:jc w:val="both"/>
        <w:rPr>
          <w:rFonts w:ascii="Times New Roman" w:hAnsi="Times New Roman" w:cs="Times New Roman"/>
          <w:color w:val="000000" w:themeColor="text1"/>
          <w:sz w:val="24"/>
          <w:szCs w:val="24"/>
        </w:rPr>
      </w:pPr>
      <w:bookmarkStart w:id="16" w:name="_Toc230292496"/>
      <w:r w:rsidRPr="00154298">
        <w:rPr>
          <w:rFonts w:ascii="Times New Roman" w:hAnsi="Times New Roman" w:cs="Times New Roman"/>
          <w:color w:val="000000" w:themeColor="text1"/>
          <w:sz w:val="24"/>
          <w:szCs w:val="24"/>
        </w:rPr>
        <w:t>7. CONCLUSION</w:t>
      </w:r>
      <w:bookmarkEnd w:id="16"/>
    </w:p>
    <w:p w14:paraId="6B14F359" w14:textId="57B56012" w:rsidR="008417B5" w:rsidRPr="00154298" w:rsidRDefault="008C6CE2" w:rsidP="00315C83">
      <w:pPr>
        <w:spacing w:before="240" w:after="240"/>
        <w:jc w:val="both"/>
        <w:rPr>
          <w:rFonts w:cs="Times New Roman"/>
          <w:color w:val="000000" w:themeColor="text1"/>
          <w:szCs w:val="24"/>
        </w:rPr>
      </w:pPr>
      <w:r w:rsidRPr="00154298">
        <w:rPr>
          <w:rFonts w:cs="Times New Roman"/>
          <w:color w:val="000000" w:themeColor="text1"/>
          <w:szCs w:val="24"/>
        </w:rPr>
        <w:t>This report explored the concepts and uses of marginal costing, contribution margin measures, and cost-volume-profit (CVP) analysis as key tools used in short-term business decision making. Marginal costing is a flexible approach to costing that divides costs into variable and fixed behaviors, providing a more dynamic alternative to the traditional full absorption costing framework. This will give managers a clear picture of cash contributions, which will prevent the distortions in accounting that can result from inventory changes.</w:t>
      </w:r>
      <w:r w:rsidRPr="00154298">
        <w:rPr>
          <w:rFonts w:cs="Times New Roman"/>
          <w:color w:val="000000" w:themeColor="text1"/>
          <w:szCs w:val="24"/>
        </w:rPr>
        <w:t xml:space="preserve"> </w:t>
      </w:r>
      <w:r w:rsidRPr="00154298">
        <w:rPr>
          <w:rFonts w:cs="Times New Roman"/>
          <w:color w:val="000000" w:themeColor="text1"/>
          <w:szCs w:val="24"/>
        </w:rPr>
        <w:t xml:space="preserve">The short-term incremental cash flow analysis of the practical scenarios analyzed—such as floor price adjustments during market downturns, product mix planning with capacity constraints, make-or-buy decisions, and </w:t>
      </w:r>
      <w:proofErr w:type="gramStart"/>
      <w:r w:rsidRPr="00154298">
        <w:rPr>
          <w:rFonts w:cs="Times New Roman"/>
          <w:color w:val="000000" w:themeColor="text1"/>
          <w:szCs w:val="24"/>
        </w:rPr>
        <w:t>special order</w:t>
      </w:r>
      <w:proofErr w:type="gramEnd"/>
      <w:r w:rsidRPr="00154298">
        <w:rPr>
          <w:rFonts w:cs="Times New Roman"/>
          <w:color w:val="000000" w:themeColor="text1"/>
          <w:szCs w:val="24"/>
        </w:rPr>
        <w:t xml:space="preserve"> appraisals—shows how short-term incremental cash flow analysis can be used to maximize total contribution margin for the company. These models offer a data-driven roadmap for optimization, demonstrating that it is sometimes better for a company to reject business even if it is below full absorption cost, as it can negatively impact the company's financial health.</w:t>
      </w:r>
      <w:r w:rsidRPr="00154298">
        <w:rPr>
          <w:rFonts w:cs="Times New Roman"/>
          <w:color w:val="000000" w:themeColor="text1"/>
          <w:szCs w:val="24"/>
        </w:rPr>
        <w:t xml:space="preserve"> </w:t>
      </w:r>
      <w:r w:rsidRPr="00154298">
        <w:rPr>
          <w:rFonts w:cs="Times New Roman"/>
          <w:color w:val="000000" w:themeColor="text1"/>
          <w:szCs w:val="24"/>
        </w:rPr>
        <w:t xml:space="preserve">But a </w:t>
      </w:r>
      <w:r w:rsidRPr="00154298">
        <w:rPr>
          <w:rFonts w:cs="Times New Roman"/>
          <w:color w:val="000000" w:themeColor="text1"/>
          <w:szCs w:val="24"/>
        </w:rPr>
        <w:lastRenderedPageBreak/>
        <w:t>critical review shows that marginal costing is not a panacea. It is based on assumptions that are not valid in the long term, such as linear cost behavior, fixed sales mixes, and static overhead lines, and therefore should be used with caution in the longer term. A business can easily end up losing its structural fixed overhead costs if it is used inappropriately for permanent pricing strategies.</w:t>
      </w:r>
      <w:r w:rsidRPr="00154298">
        <w:rPr>
          <w:rFonts w:cs="Times New Roman"/>
          <w:color w:val="000000" w:themeColor="text1"/>
          <w:szCs w:val="24"/>
        </w:rPr>
        <w:t xml:space="preserve"> </w:t>
      </w:r>
      <w:r w:rsidRPr="00154298">
        <w:rPr>
          <w:rFonts w:cs="Times New Roman"/>
          <w:color w:val="000000" w:themeColor="text1"/>
          <w:szCs w:val="24"/>
        </w:rPr>
        <w:t>In the end, marginal costing is a valuable short-term tactical planning tool. The management teams should use CVP sensitivity models to navigate short-term operational changes and to manage risks, and use full allocation models for long-term capital investments and strategic pricing design.</w:t>
      </w:r>
    </w:p>
    <w:p w14:paraId="23759B0D" w14:textId="77777777" w:rsidR="008C6CE2" w:rsidRPr="00154298" w:rsidRDefault="008C6CE2" w:rsidP="00315C83">
      <w:pPr>
        <w:spacing w:before="240" w:after="240"/>
        <w:jc w:val="both"/>
        <w:rPr>
          <w:rFonts w:cs="Times New Roman"/>
          <w:b/>
          <w:color w:val="000000" w:themeColor="text1"/>
          <w:szCs w:val="24"/>
        </w:rPr>
      </w:pPr>
      <w:r w:rsidRPr="00154298">
        <w:rPr>
          <w:rFonts w:cs="Times New Roman"/>
          <w:b/>
          <w:color w:val="000000" w:themeColor="text1"/>
          <w:szCs w:val="24"/>
        </w:rPr>
        <w:br w:type="page"/>
      </w:r>
    </w:p>
    <w:p w14:paraId="1DC88496" w14:textId="643369FA" w:rsidR="008417B5" w:rsidRPr="00154298" w:rsidRDefault="001D6576" w:rsidP="00315C83">
      <w:pPr>
        <w:pStyle w:val="Heading1"/>
        <w:spacing w:before="240" w:after="240"/>
        <w:jc w:val="both"/>
        <w:rPr>
          <w:rFonts w:ascii="Times New Roman" w:hAnsi="Times New Roman" w:cs="Times New Roman"/>
          <w:color w:val="000000" w:themeColor="text1"/>
          <w:sz w:val="24"/>
          <w:szCs w:val="24"/>
        </w:rPr>
      </w:pPr>
      <w:bookmarkStart w:id="17" w:name="_Toc230292497"/>
      <w:r w:rsidRPr="00154298">
        <w:rPr>
          <w:rFonts w:ascii="Times New Roman" w:hAnsi="Times New Roman" w:cs="Times New Roman"/>
          <w:color w:val="000000" w:themeColor="text1"/>
          <w:sz w:val="24"/>
          <w:szCs w:val="24"/>
        </w:rPr>
        <w:lastRenderedPageBreak/>
        <w:t>8. REFERENCES</w:t>
      </w:r>
      <w:bookmarkEnd w:id="17"/>
    </w:p>
    <w:p w14:paraId="5BCC077A" w14:textId="77777777" w:rsidR="003033DD" w:rsidRPr="00154298" w:rsidRDefault="003033DD" w:rsidP="00217B0F">
      <w:pPr>
        <w:spacing w:before="240" w:after="240"/>
        <w:ind w:left="720" w:hanging="720"/>
        <w:jc w:val="both"/>
        <w:rPr>
          <w:rFonts w:cs="Times New Roman"/>
          <w:color w:val="000000" w:themeColor="text1"/>
          <w:szCs w:val="24"/>
        </w:rPr>
      </w:pPr>
      <w:r w:rsidRPr="00154298">
        <w:rPr>
          <w:rFonts w:cs="Times New Roman"/>
          <w:color w:val="000000" w:themeColor="text1"/>
          <w:szCs w:val="24"/>
        </w:rPr>
        <w:t>Bhimani, A., Horngren, C. T., Datar, S. M., &amp; Rajan, M. V. (2019). Management and Cost Accounting (7th ed.). Pearson Education.</w:t>
      </w:r>
    </w:p>
    <w:p w14:paraId="3D47CD9B" w14:textId="77777777" w:rsidR="003033DD" w:rsidRPr="006C24CE" w:rsidRDefault="003033DD" w:rsidP="00217B0F">
      <w:pPr>
        <w:spacing w:before="240" w:after="240"/>
        <w:ind w:left="720" w:hanging="720"/>
        <w:jc w:val="both"/>
        <w:rPr>
          <w:rFonts w:eastAsia="Times New Roman" w:cs="Times New Roman"/>
          <w:color w:val="000000" w:themeColor="text1"/>
          <w:szCs w:val="24"/>
          <w:lang w:val="en-IN" w:eastAsia="en-IN"/>
        </w:rPr>
      </w:pPr>
      <w:r w:rsidRPr="00141537">
        <w:rPr>
          <w:rFonts w:eastAsia="Times New Roman" w:cs="Times New Roman"/>
          <w:color w:val="000000" w:themeColor="text1"/>
          <w:szCs w:val="24"/>
          <w:lang w:val="en-IN" w:eastAsia="en-IN"/>
        </w:rPr>
        <w:t xml:space="preserve">Edney, L. C., Lomas, J., </w:t>
      </w:r>
      <w:proofErr w:type="spellStart"/>
      <w:r w:rsidRPr="00141537">
        <w:rPr>
          <w:rFonts w:eastAsia="Times New Roman" w:cs="Times New Roman"/>
          <w:color w:val="000000" w:themeColor="text1"/>
          <w:szCs w:val="24"/>
          <w:lang w:val="en-IN" w:eastAsia="en-IN"/>
        </w:rPr>
        <w:t>Karnon</w:t>
      </w:r>
      <w:proofErr w:type="spellEnd"/>
      <w:r w:rsidRPr="00141537">
        <w:rPr>
          <w:rFonts w:eastAsia="Times New Roman" w:cs="Times New Roman"/>
          <w:color w:val="000000" w:themeColor="text1"/>
          <w:szCs w:val="24"/>
          <w:lang w:val="en-IN" w:eastAsia="en-IN"/>
        </w:rPr>
        <w:t xml:space="preserve">, J., Vallejo-Torres, L., </w:t>
      </w:r>
      <w:proofErr w:type="spellStart"/>
      <w:r w:rsidRPr="00141537">
        <w:rPr>
          <w:rFonts w:eastAsia="Times New Roman" w:cs="Times New Roman"/>
          <w:color w:val="000000" w:themeColor="text1"/>
          <w:szCs w:val="24"/>
          <w:lang w:val="en-IN" w:eastAsia="en-IN"/>
        </w:rPr>
        <w:t>Stadhouders</w:t>
      </w:r>
      <w:proofErr w:type="spellEnd"/>
      <w:r w:rsidRPr="00141537">
        <w:rPr>
          <w:rFonts w:eastAsia="Times New Roman" w:cs="Times New Roman"/>
          <w:color w:val="000000" w:themeColor="text1"/>
          <w:szCs w:val="24"/>
          <w:lang w:val="en-IN" w:eastAsia="en-IN"/>
        </w:rPr>
        <w:t xml:space="preserve">, N., </w:t>
      </w:r>
      <w:proofErr w:type="spellStart"/>
      <w:r w:rsidRPr="00141537">
        <w:rPr>
          <w:rFonts w:eastAsia="Times New Roman" w:cs="Times New Roman"/>
          <w:color w:val="000000" w:themeColor="text1"/>
          <w:szCs w:val="24"/>
          <w:lang w:val="en-IN" w:eastAsia="en-IN"/>
        </w:rPr>
        <w:t>Siverskog</w:t>
      </w:r>
      <w:proofErr w:type="spellEnd"/>
      <w:r w:rsidRPr="00141537">
        <w:rPr>
          <w:rFonts w:eastAsia="Times New Roman" w:cs="Times New Roman"/>
          <w:color w:val="000000" w:themeColor="text1"/>
          <w:szCs w:val="24"/>
          <w:lang w:val="en-IN" w:eastAsia="en-IN"/>
        </w:rPr>
        <w:t xml:space="preserve">, J., Paulden, M., </w:t>
      </w:r>
      <w:proofErr w:type="spellStart"/>
      <w:r w:rsidRPr="00141537">
        <w:rPr>
          <w:rFonts w:eastAsia="Times New Roman" w:cs="Times New Roman"/>
          <w:color w:val="000000" w:themeColor="text1"/>
          <w:szCs w:val="24"/>
          <w:lang w:val="en-IN" w:eastAsia="en-IN"/>
        </w:rPr>
        <w:t>Edoka</w:t>
      </w:r>
      <w:proofErr w:type="spellEnd"/>
      <w:r w:rsidRPr="00141537">
        <w:rPr>
          <w:rFonts w:eastAsia="Times New Roman" w:cs="Times New Roman"/>
          <w:color w:val="000000" w:themeColor="text1"/>
          <w:szCs w:val="24"/>
          <w:lang w:val="en-IN" w:eastAsia="en-IN"/>
        </w:rPr>
        <w:t>, I. P., &amp; Ochalek, J. (2022). Empirical estimates of the marginal cost of health produced by a healthcare system: Methodological considerations from country-level estimates. </w:t>
      </w:r>
      <w:proofErr w:type="spellStart"/>
      <w:r w:rsidRPr="00141537">
        <w:rPr>
          <w:rFonts w:eastAsia="Times New Roman" w:cs="Times New Roman"/>
          <w:i/>
          <w:iCs/>
          <w:color w:val="000000" w:themeColor="text1"/>
          <w:szCs w:val="24"/>
          <w:lang w:val="en-IN" w:eastAsia="en-IN"/>
        </w:rPr>
        <w:t>PharmacoEconomics</w:t>
      </w:r>
      <w:proofErr w:type="spellEnd"/>
      <w:r w:rsidRPr="00141537">
        <w:rPr>
          <w:rFonts w:eastAsia="Times New Roman" w:cs="Times New Roman"/>
          <w:color w:val="000000" w:themeColor="text1"/>
          <w:szCs w:val="24"/>
          <w:lang w:val="en-IN" w:eastAsia="en-IN"/>
        </w:rPr>
        <w:t>, </w:t>
      </w:r>
      <w:r w:rsidRPr="00141537">
        <w:rPr>
          <w:rFonts w:eastAsia="Times New Roman" w:cs="Times New Roman"/>
          <w:i/>
          <w:iCs/>
          <w:color w:val="000000" w:themeColor="text1"/>
          <w:szCs w:val="24"/>
          <w:lang w:val="en-IN" w:eastAsia="en-IN"/>
        </w:rPr>
        <w:t>40</w:t>
      </w:r>
      <w:r w:rsidRPr="00141537">
        <w:rPr>
          <w:rFonts w:eastAsia="Times New Roman" w:cs="Times New Roman"/>
          <w:color w:val="000000" w:themeColor="text1"/>
          <w:szCs w:val="24"/>
          <w:lang w:val="en-IN" w:eastAsia="en-IN"/>
        </w:rPr>
        <w:t xml:space="preserve">(1), 31–43. </w:t>
      </w:r>
      <w:hyperlink r:id="rId8" w:history="1">
        <w:r w:rsidRPr="00141537">
          <w:rPr>
            <w:rStyle w:val="Hyperlink"/>
            <w:rFonts w:eastAsia="Times New Roman" w:cs="Times New Roman"/>
            <w:color w:val="000000" w:themeColor="text1"/>
            <w:szCs w:val="24"/>
            <w:lang w:val="en-IN" w:eastAsia="en-IN"/>
          </w:rPr>
          <w:t>https://doi.org/10.1007/s40273-021-01087-6</w:t>
        </w:r>
      </w:hyperlink>
      <w:r w:rsidRPr="00154298">
        <w:rPr>
          <w:rFonts w:eastAsia="Times New Roman" w:cs="Times New Roman"/>
          <w:color w:val="000000" w:themeColor="text1"/>
          <w:szCs w:val="24"/>
          <w:lang w:val="en-IN" w:eastAsia="en-IN"/>
        </w:rPr>
        <w:t xml:space="preserve"> </w:t>
      </w:r>
    </w:p>
    <w:p w14:paraId="06A77792" w14:textId="77777777" w:rsidR="003033DD" w:rsidRPr="008663CF" w:rsidRDefault="003033DD" w:rsidP="00217B0F">
      <w:pPr>
        <w:spacing w:before="240" w:after="240"/>
        <w:ind w:left="720" w:hanging="720"/>
        <w:jc w:val="both"/>
        <w:rPr>
          <w:rFonts w:eastAsia="Times New Roman" w:cs="Times New Roman"/>
          <w:color w:val="000000" w:themeColor="text1"/>
          <w:szCs w:val="24"/>
          <w:lang w:val="en-IN" w:eastAsia="en-IN"/>
        </w:rPr>
      </w:pPr>
      <w:r w:rsidRPr="008663CF">
        <w:rPr>
          <w:rFonts w:eastAsia="Times New Roman" w:cs="Times New Roman"/>
          <w:color w:val="000000" w:themeColor="text1"/>
          <w:szCs w:val="24"/>
          <w:lang w:val="en-IN" w:eastAsia="en-IN"/>
        </w:rPr>
        <w:t>Lulaj, E., &amp; Iseni, E. (2018). Role of analysis CVP (cost-volume-profit) as important indicator for planning and making decisions in the business environment. </w:t>
      </w:r>
      <w:r w:rsidRPr="008663CF">
        <w:rPr>
          <w:rFonts w:eastAsia="Times New Roman" w:cs="Times New Roman"/>
          <w:i/>
          <w:iCs/>
          <w:color w:val="000000" w:themeColor="text1"/>
          <w:szCs w:val="24"/>
          <w:lang w:val="en-IN" w:eastAsia="en-IN"/>
        </w:rPr>
        <w:t>European Journal of Economics and Business Studies</w:t>
      </w:r>
      <w:r w:rsidRPr="008663CF">
        <w:rPr>
          <w:rFonts w:eastAsia="Times New Roman" w:cs="Times New Roman"/>
          <w:color w:val="000000" w:themeColor="text1"/>
          <w:szCs w:val="24"/>
          <w:lang w:val="en-IN" w:eastAsia="en-IN"/>
        </w:rPr>
        <w:t>, </w:t>
      </w:r>
      <w:r w:rsidRPr="008663CF">
        <w:rPr>
          <w:rFonts w:eastAsia="Times New Roman" w:cs="Times New Roman"/>
          <w:i/>
          <w:iCs/>
          <w:color w:val="000000" w:themeColor="text1"/>
          <w:szCs w:val="24"/>
          <w:lang w:val="en-IN" w:eastAsia="en-IN"/>
        </w:rPr>
        <w:t>4</w:t>
      </w:r>
      <w:r w:rsidRPr="008663CF">
        <w:rPr>
          <w:rFonts w:eastAsia="Times New Roman" w:cs="Times New Roman"/>
          <w:color w:val="000000" w:themeColor="text1"/>
          <w:szCs w:val="24"/>
          <w:lang w:val="en-IN" w:eastAsia="en-IN"/>
        </w:rPr>
        <w:t xml:space="preserve">(2), 99–114. </w:t>
      </w:r>
      <w:hyperlink r:id="rId9" w:history="1">
        <w:r w:rsidRPr="008663CF">
          <w:rPr>
            <w:rStyle w:val="Hyperlink"/>
            <w:rFonts w:eastAsia="Times New Roman" w:cs="Times New Roman"/>
            <w:color w:val="000000" w:themeColor="text1"/>
            <w:szCs w:val="24"/>
            <w:lang w:val="en-IN" w:eastAsia="en-IN"/>
          </w:rPr>
          <w:t>https://doi.org/10.2478/ejes-2018-0043</w:t>
        </w:r>
      </w:hyperlink>
      <w:r w:rsidRPr="00154298">
        <w:rPr>
          <w:rFonts w:eastAsia="Times New Roman" w:cs="Times New Roman"/>
          <w:color w:val="000000" w:themeColor="text1"/>
          <w:szCs w:val="24"/>
          <w:lang w:val="en-IN" w:eastAsia="en-IN"/>
        </w:rPr>
        <w:t xml:space="preserve"> </w:t>
      </w:r>
    </w:p>
    <w:p w14:paraId="61A2E1B8" w14:textId="77777777" w:rsidR="003033DD" w:rsidRPr="00154298" w:rsidRDefault="003033DD" w:rsidP="00217B0F">
      <w:pPr>
        <w:spacing w:before="240" w:after="240"/>
        <w:ind w:left="720" w:hanging="720"/>
        <w:jc w:val="both"/>
        <w:rPr>
          <w:rFonts w:eastAsia="Times New Roman" w:cs="Times New Roman"/>
          <w:color w:val="000000" w:themeColor="text1"/>
          <w:szCs w:val="24"/>
          <w:lang w:val="en-IN" w:eastAsia="en-IN"/>
        </w:rPr>
      </w:pPr>
      <w:r w:rsidRPr="00FC4E6A">
        <w:rPr>
          <w:rFonts w:eastAsia="Times New Roman" w:cs="Times New Roman"/>
          <w:color w:val="000000" w:themeColor="text1"/>
          <w:szCs w:val="24"/>
          <w:lang w:val="en-IN" w:eastAsia="en-IN"/>
        </w:rPr>
        <w:t>Neck, R. (2022). Neoclassical economics: Origins, evolution, and critique. In </w:t>
      </w:r>
      <w:r w:rsidRPr="00FC4E6A">
        <w:rPr>
          <w:rFonts w:eastAsia="Times New Roman" w:cs="Times New Roman"/>
          <w:i/>
          <w:iCs/>
          <w:color w:val="000000" w:themeColor="text1"/>
          <w:szCs w:val="24"/>
          <w:lang w:val="en-IN" w:eastAsia="en-IN"/>
        </w:rPr>
        <w:t>The Palgrave Handbook of the History of Human Sciences</w:t>
      </w:r>
      <w:r w:rsidRPr="00FC4E6A">
        <w:rPr>
          <w:rFonts w:eastAsia="Times New Roman" w:cs="Times New Roman"/>
          <w:color w:val="000000" w:themeColor="text1"/>
          <w:szCs w:val="24"/>
          <w:lang w:val="en-IN" w:eastAsia="en-IN"/>
        </w:rPr>
        <w:t xml:space="preserve"> (pp. 1501–1540). </w:t>
      </w:r>
      <w:hyperlink r:id="rId10" w:history="1">
        <w:r w:rsidRPr="00FC4E6A">
          <w:rPr>
            <w:rStyle w:val="Hyperlink"/>
            <w:rFonts w:eastAsia="Times New Roman" w:cs="Times New Roman"/>
            <w:color w:val="000000" w:themeColor="text1"/>
            <w:szCs w:val="24"/>
            <w:lang w:val="en-IN" w:eastAsia="en-IN"/>
          </w:rPr>
          <w:t>https://doi.org/10.1007/978-981-16-7255-2_5</w:t>
        </w:r>
      </w:hyperlink>
    </w:p>
    <w:p w14:paraId="40BA4D33" w14:textId="77777777" w:rsidR="003033DD" w:rsidRPr="00C10C5E" w:rsidRDefault="003033DD" w:rsidP="00217B0F">
      <w:pPr>
        <w:spacing w:before="240" w:after="240"/>
        <w:ind w:left="720" w:hanging="720"/>
        <w:jc w:val="both"/>
        <w:rPr>
          <w:rFonts w:eastAsia="Times New Roman" w:cs="Times New Roman"/>
          <w:color w:val="000000" w:themeColor="text1"/>
          <w:szCs w:val="24"/>
          <w:lang w:val="en-IN" w:eastAsia="en-IN"/>
        </w:rPr>
      </w:pPr>
      <w:proofErr w:type="spellStart"/>
      <w:r w:rsidRPr="00C10C5E">
        <w:rPr>
          <w:rFonts w:eastAsia="Times New Roman" w:cs="Times New Roman"/>
          <w:color w:val="000000" w:themeColor="text1"/>
          <w:szCs w:val="24"/>
          <w:lang w:val="en-IN" w:eastAsia="en-IN"/>
        </w:rPr>
        <w:t>Parvasi</w:t>
      </w:r>
      <w:proofErr w:type="spellEnd"/>
      <w:r w:rsidRPr="00C10C5E">
        <w:rPr>
          <w:rFonts w:eastAsia="Times New Roman" w:cs="Times New Roman"/>
          <w:color w:val="000000" w:themeColor="text1"/>
          <w:szCs w:val="24"/>
          <w:lang w:val="en-IN" w:eastAsia="en-IN"/>
        </w:rPr>
        <w:t xml:space="preserve">, S. P., </w:t>
      </w:r>
      <w:proofErr w:type="spellStart"/>
      <w:r w:rsidRPr="00C10C5E">
        <w:rPr>
          <w:rFonts w:eastAsia="Times New Roman" w:cs="Times New Roman"/>
          <w:color w:val="000000" w:themeColor="text1"/>
          <w:szCs w:val="24"/>
          <w:lang w:val="en-IN" w:eastAsia="en-IN"/>
        </w:rPr>
        <w:t>Taleizadeh</w:t>
      </w:r>
      <w:proofErr w:type="spellEnd"/>
      <w:r w:rsidRPr="00C10C5E">
        <w:rPr>
          <w:rFonts w:eastAsia="Times New Roman" w:cs="Times New Roman"/>
          <w:color w:val="000000" w:themeColor="text1"/>
          <w:szCs w:val="24"/>
          <w:lang w:val="en-IN" w:eastAsia="en-IN"/>
        </w:rPr>
        <w:t xml:space="preserve">, A. A., &amp; </w:t>
      </w:r>
      <w:proofErr w:type="spellStart"/>
      <w:r w:rsidRPr="00C10C5E">
        <w:rPr>
          <w:rFonts w:eastAsia="Times New Roman" w:cs="Times New Roman"/>
          <w:color w:val="000000" w:themeColor="text1"/>
          <w:szCs w:val="24"/>
          <w:lang w:val="en-IN" w:eastAsia="en-IN"/>
        </w:rPr>
        <w:t>Thaichon</w:t>
      </w:r>
      <w:proofErr w:type="spellEnd"/>
      <w:r w:rsidRPr="00C10C5E">
        <w:rPr>
          <w:rFonts w:eastAsia="Times New Roman" w:cs="Times New Roman"/>
          <w:color w:val="000000" w:themeColor="text1"/>
          <w:szCs w:val="24"/>
          <w:lang w:val="en-IN" w:eastAsia="en-IN"/>
        </w:rPr>
        <w:t>, P. (2025). Price optimization for manufacturers in a competitive retail market: imported products and online crowdfunding option. </w:t>
      </w:r>
      <w:r w:rsidRPr="00C10C5E">
        <w:rPr>
          <w:rFonts w:eastAsia="Times New Roman" w:cs="Times New Roman"/>
          <w:i/>
          <w:iCs/>
          <w:color w:val="000000" w:themeColor="text1"/>
          <w:szCs w:val="24"/>
          <w:lang w:val="en-IN" w:eastAsia="en-IN"/>
        </w:rPr>
        <w:t>Journal of Revenue and Pricing Management</w:t>
      </w:r>
      <w:r w:rsidRPr="00C10C5E">
        <w:rPr>
          <w:rFonts w:eastAsia="Times New Roman" w:cs="Times New Roman"/>
          <w:color w:val="000000" w:themeColor="text1"/>
          <w:szCs w:val="24"/>
          <w:lang w:val="en-IN" w:eastAsia="en-IN"/>
        </w:rPr>
        <w:t>, </w:t>
      </w:r>
      <w:r w:rsidRPr="00C10C5E">
        <w:rPr>
          <w:rFonts w:eastAsia="Times New Roman" w:cs="Times New Roman"/>
          <w:i/>
          <w:iCs/>
          <w:color w:val="000000" w:themeColor="text1"/>
          <w:szCs w:val="24"/>
          <w:lang w:val="en-IN" w:eastAsia="en-IN"/>
        </w:rPr>
        <w:t>24</w:t>
      </w:r>
      <w:r w:rsidRPr="00C10C5E">
        <w:rPr>
          <w:rFonts w:eastAsia="Times New Roman" w:cs="Times New Roman"/>
          <w:color w:val="000000" w:themeColor="text1"/>
          <w:szCs w:val="24"/>
          <w:lang w:val="en-IN" w:eastAsia="en-IN"/>
        </w:rPr>
        <w:t xml:space="preserve">(1), 12–29. </w:t>
      </w:r>
      <w:hyperlink r:id="rId11" w:history="1">
        <w:r w:rsidRPr="00C10C5E">
          <w:rPr>
            <w:rStyle w:val="Hyperlink"/>
            <w:rFonts w:eastAsia="Times New Roman" w:cs="Times New Roman"/>
            <w:color w:val="000000" w:themeColor="text1"/>
            <w:szCs w:val="24"/>
            <w:lang w:val="en-IN" w:eastAsia="en-IN"/>
          </w:rPr>
          <w:t>https://doi.org/10.1057/s41272-023-00471-5</w:t>
        </w:r>
      </w:hyperlink>
      <w:r w:rsidRPr="00154298">
        <w:rPr>
          <w:rFonts w:eastAsia="Times New Roman" w:cs="Times New Roman"/>
          <w:color w:val="000000" w:themeColor="text1"/>
          <w:szCs w:val="24"/>
          <w:lang w:val="en-IN" w:eastAsia="en-IN"/>
        </w:rPr>
        <w:t xml:space="preserve"> </w:t>
      </w:r>
    </w:p>
    <w:p w14:paraId="463072F2" w14:textId="77777777" w:rsidR="003033DD" w:rsidRPr="00154298" w:rsidRDefault="003033DD" w:rsidP="00217B0F">
      <w:pPr>
        <w:spacing w:before="240" w:after="240"/>
        <w:ind w:left="720" w:hanging="720"/>
        <w:jc w:val="both"/>
        <w:rPr>
          <w:rFonts w:eastAsia="Times New Roman" w:cs="Times New Roman"/>
          <w:color w:val="000000" w:themeColor="text1"/>
          <w:szCs w:val="24"/>
          <w:lang w:val="en-IN" w:eastAsia="en-IN"/>
        </w:rPr>
      </w:pPr>
      <w:r w:rsidRPr="00FD501A">
        <w:rPr>
          <w:rFonts w:eastAsia="Times New Roman" w:cs="Times New Roman"/>
          <w:color w:val="000000" w:themeColor="text1"/>
          <w:szCs w:val="24"/>
          <w:lang w:val="en-IN" w:eastAsia="en-IN"/>
        </w:rPr>
        <w:t>Pietrzak, Ż., Wnuk-Pel, T., &amp; Christauskas, C. (2020). Problems with Activity-Based Costing implementation in polish and Lithuanian companies. </w:t>
      </w:r>
      <w:r w:rsidRPr="00FD501A">
        <w:rPr>
          <w:rFonts w:eastAsia="Times New Roman" w:cs="Times New Roman"/>
          <w:i/>
          <w:iCs/>
          <w:color w:val="000000" w:themeColor="text1"/>
          <w:szCs w:val="24"/>
          <w:lang w:val="en-IN" w:eastAsia="en-IN"/>
        </w:rPr>
        <w:t>Engineering Economics</w:t>
      </w:r>
      <w:r w:rsidRPr="00FD501A">
        <w:rPr>
          <w:rFonts w:eastAsia="Times New Roman" w:cs="Times New Roman"/>
          <w:color w:val="000000" w:themeColor="text1"/>
          <w:szCs w:val="24"/>
          <w:lang w:val="en-IN" w:eastAsia="en-IN"/>
        </w:rPr>
        <w:t>, </w:t>
      </w:r>
      <w:r w:rsidRPr="00FD501A">
        <w:rPr>
          <w:rFonts w:eastAsia="Times New Roman" w:cs="Times New Roman"/>
          <w:i/>
          <w:iCs/>
          <w:color w:val="000000" w:themeColor="text1"/>
          <w:szCs w:val="24"/>
          <w:lang w:val="en-IN" w:eastAsia="en-IN"/>
        </w:rPr>
        <w:t>31</w:t>
      </w:r>
      <w:r w:rsidRPr="00FD501A">
        <w:rPr>
          <w:rFonts w:eastAsia="Times New Roman" w:cs="Times New Roman"/>
          <w:color w:val="000000" w:themeColor="text1"/>
          <w:szCs w:val="24"/>
          <w:lang w:val="en-IN" w:eastAsia="en-IN"/>
        </w:rPr>
        <w:t xml:space="preserve">(1), 26–38. </w:t>
      </w:r>
      <w:hyperlink r:id="rId12" w:history="1">
        <w:r w:rsidRPr="00FD501A">
          <w:rPr>
            <w:rStyle w:val="Hyperlink"/>
            <w:rFonts w:eastAsia="Times New Roman" w:cs="Times New Roman"/>
            <w:color w:val="000000" w:themeColor="text1"/>
            <w:szCs w:val="24"/>
            <w:lang w:val="en-IN" w:eastAsia="en-IN"/>
          </w:rPr>
          <w:t>https://doi.org/10.5755/j01.ee.31.1.24339</w:t>
        </w:r>
      </w:hyperlink>
      <w:r w:rsidRPr="00154298">
        <w:rPr>
          <w:rFonts w:eastAsia="Times New Roman" w:cs="Times New Roman"/>
          <w:color w:val="000000" w:themeColor="text1"/>
          <w:szCs w:val="24"/>
          <w:lang w:val="en-IN" w:eastAsia="en-IN"/>
        </w:rPr>
        <w:t xml:space="preserve"> </w:t>
      </w:r>
    </w:p>
    <w:p w14:paraId="4BB68A73" w14:textId="77777777" w:rsidR="003033DD" w:rsidRPr="00154298" w:rsidRDefault="003033DD" w:rsidP="00217B0F">
      <w:pPr>
        <w:spacing w:before="240" w:after="240"/>
        <w:ind w:left="720" w:hanging="720"/>
        <w:jc w:val="both"/>
        <w:rPr>
          <w:rFonts w:eastAsia="Times New Roman" w:cs="Times New Roman"/>
          <w:color w:val="000000" w:themeColor="text1"/>
          <w:szCs w:val="24"/>
          <w:lang w:val="en-IN" w:eastAsia="en-IN"/>
        </w:rPr>
      </w:pPr>
      <w:proofErr w:type="spellStart"/>
      <w:r w:rsidRPr="006C24CE">
        <w:rPr>
          <w:rFonts w:eastAsia="Times New Roman" w:cs="Times New Roman"/>
          <w:color w:val="000000" w:themeColor="text1"/>
          <w:szCs w:val="24"/>
          <w:lang w:val="en-IN" w:eastAsia="en-IN"/>
        </w:rPr>
        <w:lastRenderedPageBreak/>
        <w:t>Roffia</w:t>
      </w:r>
      <w:proofErr w:type="spellEnd"/>
      <w:r w:rsidRPr="006C24CE">
        <w:rPr>
          <w:rFonts w:eastAsia="Times New Roman" w:cs="Times New Roman"/>
          <w:color w:val="000000" w:themeColor="text1"/>
          <w:szCs w:val="24"/>
          <w:lang w:val="en-IN" w:eastAsia="en-IN"/>
        </w:rPr>
        <w:t xml:space="preserve">, P., Benavides, M. M., &amp; </w:t>
      </w:r>
      <w:proofErr w:type="spellStart"/>
      <w:r w:rsidRPr="006C24CE">
        <w:rPr>
          <w:rFonts w:eastAsia="Times New Roman" w:cs="Times New Roman"/>
          <w:color w:val="000000" w:themeColor="text1"/>
          <w:szCs w:val="24"/>
          <w:lang w:val="en-IN" w:eastAsia="en-IN"/>
        </w:rPr>
        <w:t>Carrilero</w:t>
      </w:r>
      <w:proofErr w:type="spellEnd"/>
      <w:r w:rsidRPr="006C24CE">
        <w:rPr>
          <w:rFonts w:eastAsia="Times New Roman" w:cs="Times New Roman"/>
          <w:color w:val="000000" w:themeColor="text1"/>
          <w:szCs w:val="24"/>
          <w:lang w:val="en-IN" w:eastAsia="en-IN"/>
        </w:rPr>
        <w:t>, A. (2024). Cost accounting practices in SMEs: liability of age and other factors that hinder or burst its implementation in turbulent years. </w:t>
      </w:r>
      <w:r w:rsidRPr="006C24CE">
        <w:rPr>
          <w:rFonts w:eastAsia="Times New Roman" w:cs="Times New Roman"/>
          <w:i/>
          <w:iCs/>
          <w:color w:val="000000" w:themeColor="text1"/>
          <w:szCs w:val="24"/>
          <w:lang w:val="en-IN" w:eastAsia="en-IN"/>
        </w:rPr>
        <w:t>International Entrepreneurship and Management Journal</w:t>
      </w:r>
      <w:r w:rsidRPr="006C24CE">
        <w:rPr>
          <w:rFonts w:eastAsia="Times New Roman" w:cs="Times New Roman"/>
          <w:color w:val="000000" w:themeColor="text1"/>
          <w:szCs w:val="24"/>
          <w:lang w:val="en-IN" w:eastAsia="en-IN"/>
        </w:rPr>
        <w:t>, </w:t>
      </w:r>
      <w:r w:rsidRPr="006C24CE">
        <w:rPr>
          <w:rFonts w:eastAsia="Times New Roman" w:cs="Times New Roman"/>
          <w:i/>
          <w:iCs/>
          <w:color w:val="000000" w:themeColor="text1"/>
          <w:szCs w:val="24"/>
          <w:lang w:val="en-IN" w:eastAsia="en-IN"/>
        </w:rPr>
        <w:t>20</w:t>
      </w:r>
      <w:r w:rsidRPr="006C24CE">
        <w:rPr>
          <w:rFonts w:eastAsia="Times New Roman" w:cs="Times New Roman"/>
          <w:color w:val="000000" w:themeColor="text1"/>
          <w:szCs w:val="24"/>
          <w:lang w:val="en-IN" w:eastAsia="en-IN"/>
        </w:rPr>
        <w:t xml:space="preserve">(1), 115–139. </w:t>
      </w:r>
      <w:hyperlink r:id="rId13" w:history="1">
        <w:r w:rsidRPr="006C24CE">
          <w:rPr>
            <w:rStyle w:val="Hyperlink"/>
            <w:rFonts w:eastAsia="Times New Roman" w:cs="Times New Roman"/>
            <w:color w:val="000000" w:themeColor="text1"/>
            <w:szCs w:val="24"/>
            <w:lang w:val="en-IN" w:eastAsia="en-IN"/>
          </w:rPr>
          <w:t>https://doi.org/10.1007/s11365-023-00938-2</w:t>
        </w:r>
      </w:hyperlink>
    </w:p>
    <w:p w14:paraId="34EA4421" w14:textId="77777777" w:rsidR="003033DD" w:rsidRPr="00154298" w:rsidRDefault="003033DD" w:rsidP="00217B0F">
      <w:pPr>
        <w:spacing w:before="240" w:after="240"/>
        <w:ind w:left="720" w:hanging="720"/>
        <w:jc w:val="both"/>
        <w:rPr>
          <w:rFonts w:eastAsia="Times New Roman" w:cs="Times New Roman"/>
          <w:color w:val="000000" w:themeColor="text1"/>
          <w:szCs w:val="24"/>
          <w:lang w:val="en-IN" w:eastAsia="en-IN"/>
        </w:rPr>
      </w:pPr>
      <w:proofErr w:type="spellStart"/>
      <w:r w:rsidRPr="00482AFD">
        <w:rPr>
          <w:rFonts w:eastAsia="Times New Roman" w:cs="Times New Roman"/>
          <w:color w:val="000000" w:themeColor="text1"/>
          <w:szCs w:val="24"/>
          <w:lang w:val="en-IN" w:eastAsia="en-IN"/>
        </w:rPr>
        <w:t>Roffia</w:t>
      </w:r>
      <w:proofErr w:type="spellEnd"/>
      <w:r w:rsidRPr="00482AFD">
        <w:rPr>
          <w:rFonts w:eastAsia="Times New Roman" w:cs="Times New Roman"/>
          <w:color w:val="000000" w:themeColor="text1"/>
          <w:szCs w:val="24"/>
          <w:lang w:val="en-IN" w:eastAsia="en-IN"/>
        </w:rPr>
        <w:t xml:space="preserve">, P., Benavides, M. M., &amp; </w:t>
      </w:r>
      <w:proofErr w:type="spellStart"/>
      <w:r w:rsidRPr="00482AFD">
        <w:rPr>
          <w:rFonts w:eastAsia="Times New Roman" w:cs="Times New Roman"/>
          <w:color w:val="000000" w:themeColor="text1"/>
          <w:szCs w:val="24"/>
          <w:lang w:val="en-IN" w:eastAsia="en-IN"/>
        </w:rPr>
        <w:t>Carrilero</w:t>
      </w:r>
      <w:proofErr w:type="spellEnd"/>
      <w:r w:rsidRPr="00482AFD">
        <w:rPr>
          <w:rFonts w:eastAsia="Times New Roman" w:cs="Times New Roman"/>
          <w:color w:val="000000" w:themeColor="text1"/>
          <w:szCs w:val="24"/>
          <w:lang w:val="en-IN" w:eastAsia="en-IN"/>
        </w:rPr>
        <w:t>, A. (2024). Cost accounting practices in SMEs: liability of age and other factors that hinder or burst its implementation in turbulent years. </w:t>
      </w:r>
      <w:r w:rsidRPr="00482AFD">
        <w:rPr>
          <w:rFonts w:eastAsia="Times New Roman" w:cs="Times New Roman"/>
          <w:i/>
          <w:iCs/>
          <w:color w:val="000000" w:themeColor="text1"/>
          <w:szCs w:val="24"/>
          <w:lang w:val="en-IN" w:eastAsia="en-IN"/>
        </w:rPr>
        <w:t>International Entrepreneurship and Management Journal</w:t>
      </w:r>
      <w:r w:rsidRPr="00482AFD">
        <w:rPr>
          <w:rFonts w:eastAsia="Times New Roman" w:cs="Times New Roman"/>
          <w:color w:val="000000" w:themeColor="text1"/>
          <w:szCs w:val="24"/>
          <w:lang w:val="en-IN" w:eastAsia="en-IN"/>
        </w:rPr>
        <w:t>, </w:t>
      </w:r>
      <w:r w:rsidRPr="00482AFD">
        <w:rPr>
          <w:rFonts w:eastAsia="Times New Roman" w:cs="Times New Roman"/>
          <w:i/>
          <w:iCs/>
          <w:color w:val="000000" w:themeColor="text1"/>
          <w:szCs w:val="24"/>
          <w:lang w:val="en-IN" w:eastAsia="en-IN"/>
        </w:rPr>
        <w:t>20</w:t>
      </w:r>
      <w:r w:rsidRPr="00482AFD">
        <w:rPr>
          <w:rFonts w:eastAsia="Times New Roman" w:cs="Times New Roman"/>
          <w:color w:val="000000" w:themeColor="text1"/>
          <w:szCs w:val="24"/>
          <w:lang w:val="en-IN" w:eastAsia="en-IN"/>
        </w:rPr>
        <w:t xml:space="preserve">(1), 115–139. </w:t>
      </w:r>
      <w:hyperlink r:id="rId14" w:history="1">
        <w:r w:rsidRPr="00482AFD">
          <w:rPr>
            <w:rStyle w:val="Hyperlink"/>
            <w:rFonts w:eastAsia="Times New Roman" w:cs="Times New Roman"/>
            <w:color w:val="000000" w:themeColor="text1"/>
            <w:szCs w:val="24"/>
            <w:lang w:val="en-IN" w:eastAsia="en-IN"/>
          </w:rPr>
          <w:t>https://doi.org/10.1007/s11365-023-00938-2</w:t>
        </w:r>
      </w:hyperlink>
    </w:p>
    <w:p w14:paraId="1A44847A" w14:textId="77777777" w:rsidR="003033DD" w:rsidRPr="00154298" w:rsidRDefault="003033DD" w:rsidP="00217B0F">
      <w:pPr>
        <w:spacing w:before="240" w:after="240"/>
        <w:ind w:left="720" w:hanging="720"/>
        <w:jc w:val="both"/>
        <w:rPr>
          <w:rFonts w:eastAsia="Times New Roman" w:cs="Times New Roman"/>
          <w:color w:val="000000" w:themeColor="text1"/>
          <w:szCs w:val="24"/>
          <w:lang w:val="en-IN" w:eastAsia="en-IN"/>
        </w:rPr>
      </w:pPr>
      <w:proofErr w:type="spellStart"/>
      <w:r w:rsidRPr="006538F9">
        <w:rPr>
          <w:rFonts w:eastAsia="Times New Roman" w:cs="Times New Roman"/>
          <w:color w:val="000000" w:themeColor="text1"/>
          <w:szCs w:val="24"/>
          <w:lang w:val="en-IN" w:eastAsia="en-IN"/>
        </w:rPr>
        <w:t>Uchegbu</w:t>
      </w:r>
      <w:proofErr w:type="spellEnd"/>
      <w:r w:rsidRPr="006538F9">
        <w:rPr>
          <w:rFonts w:eastAsia="Times New Roman" w:cs="Times New Roman"/>
          <w:color w:val="000000" w:themeColor="text1"/>
          <w:szCs w:val="24"/>
          <w:lang w:val="en-IN" w:eastAsia="en-IN"/>
        </w:rPr>
        <w:t xml:space="preserve">, C. U., Okoye, C. B., &amp; </w:t>
      </w:r>
      <w:proofErr w:type="spellStart"/>
      <w:r w:rsidRPr="006538F9">
        <w:rPr>
          <w:rFonts w:eastAsia="Times New Roman" w:cs="Times New Roman"/>
          <w:color w:val="000000" w:themeColor="text1"/>
          <w:szCs w:val="24"/>
          <w:lang w:val="en-IN" w:eastAsia="en-IN"/>
        </w:rPr>
        <w:t>Umenzekwe</w:t>
      </w:r>
      <w:proofErr w:type="spellEnd"/>
      <w:r w:rsidRPr="006538F9">
        <w:rPr>
          <w:rFonts w:eastAsia="Times New Roman" w:cs="Times New Roman"/>
          <w:color w:val="000000" w:themeColor="text1"/>
          <w:szCs w:val="24"/>
          <w:lang w:val="en-IN" w:eastAsia="en-IN"/>
        </w:rPr>
        <w:t>, P. C. (2025). </w:t>
      </w:r>
      <w:r w:rsidRPr="006538F9">
        <w:rPr>
          <w:rFonts w:eastAsia="Times New Roman" w:cs="Times New Roman"/>
          <w:i/>
          <w:iCs/>
          <w:color w:val="000000" w:themeColor="text1"/>
          <w:szCs w:val="24"/>
          <w:lang w:val="en-IN" w:eastAsia="en-IN"/>
        </w:rPr>
        <w:t>Cost Volume Profit analysis as a management tool for decision making in SMEs in Anambra State</w:t>
      </w:r>
      <w:r w:rsidRPr="006538F9">
        <w:rPr>
          <w:rFonts w:eastAsia="Times New Roman" w:cs="Times New Roman"/>
          <w:color w:val="000000" w:themeColor="text1"/>
          <w:szCs w:val="24"/>
          <w:lang w:val="en-IN" w:eastAsia="en-IN"/>
        </w:rPr>
        <w:t xml:space="preserve">. </w:t>
      </w:r>
      <w:hyperlink r:id="rId15" w:history="1">
        <w:r w:rsidRPr="006538F9">
          <w:rPr>
            <w:rStyle w:val="Hyperlink"/>
            <w:rFonts w:eastAsia="Times New Roman" w:cs="Times New Roman"/>
            <w:color w:val="000000" w:themeColor="text1"/>
            <w:szCs w:val="24"/>
            <w:lang w:val="en-IN" w:eastAsia="en-IN"/>
          </w:rPr>
          <w:t>https://doi.org/10.5281/ZENODO.15387975</w:t>
        </w:r>
      </w:hyperlink>
    </w:p>
    <w:p w14:paraId="519AF1AB" w14:textId="77777777" w:rsidR="003033DD" w:rsidRPr="00154298" w:rsidRDefault="003033DD" w:rsidP="00217B0F">
      <w:pPr>
        <w:spacing w:before="240" w:after="240"/>
        <w:ind w:left="720" w:hanging="720"/>
        <w:jc w:val="both"/>
        <w:rPr>
          <w:rFonts w:eastAsia="Times New Roman" w:cs="Times New Roman"/>
          <w:color w:val="000000" w:themeColor="text1"/>
          <w:szCs w:val="24"/>
          <w:lang w:val="en-IN" w:eastAsia="en-IN"/>
        </w:rPr>
      </w:pPr>
      <w:proofErr w:type="spellStart"/>
      <w:r w:rsidRPr="00B464B5">
        <w:rPr>
          <w:rFonts w:eastAsia="Times New Roman" w:cs="Times New Roman"/>
          <w:color w:val="000000" w:themeColor="text1"/>
          <w:szCs w:val="24"/>
          <w:lang w:val="en-IN" w:eastAsia="en-IN"/>
        </w:rPr>
        <w:t>Usul</w:t>
      </w:r>
      <w:proofErr w:type="spellEnd"/>
      <w:r w:rsidRPr="00B464B5">
        <w:rPr>
          <w:rFonts w:eastAsia="Times New Roman" w:cs="Times New Roman"/>
          <w:color w:val="000000" w:themeColor="text1"/>
          <w:szCs w:val="24"/>
          <w:lang w:val="en-IN" w:eastAsia="en-IN"/>
        </w:rPr>
        <w:t>, H., &amp; Olgun, E. B. (2025). An analysis of material flow cost accounting in companies using different cost accounting systems. </w:t>
      </w:r>
      <w:proofErr w:type="spellStart"/>
      <w:r w:rsidRPr="00B464B5">
        <w:rPr>
          <w:rFonts w:eastAsia="Times New Roman" w:cs="Times New Roman"/>
          <w:i/>
          <w:iCs/>
          <w:color w:val="000000" w:themeColor="text1"/>
          <w:szCs w:val="24"/>
          <w:lang w:val="en-IN" w:eastAsia="en-IN"/>
        </w:rPr>
        <w:t>Heliyon</w:t>
      </w:r>
      <w:proofErr w:type="spellEnd"/>
      <w:r w:rsidRPr="00B464B5">
        <w:rPr>
          <w:rFonts w:eastAsia="Times New Roman" w:cs="Times New Roman"/>
          <w:color w:val="000000" w:themeColor="text1"/>
          <w:szCs w:val="24"/>
          <w:lang w:val="en-IN" w:eastAsia="en-IN"/>
        </w:rPr>
        <w:t>, </w:t>
      </w:r>
      <w:r w:rsidRPr="00B464B5">
        <w:rPr>
          <w:rFonts w:eastAsia="Times New Roman" w:cs="Times New Roman"/>
          <w:i/>
          <w:iCs/>
          <w:color w:val="000000" w:themeColor="text1"/>
          <w:szCs w:val="24"/>
          <w:lang w:val="en-IN" w:eastAsia="en-IN"/>
        </w:rPr>
        <w:t>11</w:t>
      </w:r>
      <w:r w:rsidRPr="00B464B5">
        <w:rPr>
          <w:rFonts w:eastAsia="Times New Roman" w:cs="Times New Roman"/>
          <w:color w:val="000000" w:themeColor="text1"/>
          <w:szCs w:val="24"/>
          <w:lang w:val="en-IN" w:eastAsia="en-IN"/>
        </w:rPr>
        <w:t xml:space="preserve">(4), e42555. </w:t>
      </w:r>
      <w:hyperlink r:id="rId16" w:history="1">
        <w:r w:rsidRPr="00B464B5">
          <w:rPr>
            <w:rStyle w:val="Hyperlink"/>
            <w:rFonts w:eastAsia="Times New Roman" w:cs="Times New Roman"/>
            <w:color w:val="000000" w:themeColor="text1"/>
            <w:szCs w:val="24"/>
            <w:lang w:val="en-IN" w:eastAsia="en-IN"/>
          </w:rPr>
          <w:t>https://doi.org/10.1016/j.heliyon.2025.e42555</w:t>
        </w:r>
      </w:hyperlink>
    </w:p>
    <w:p w14:paraId="6C6E9A6B" w14:textId="77777777" w:rsidR="006538F9" w:rsidRPr="006538F9" w:rsidRDefault="006538F9" w:rsidP="00315C83">
      <w:pPr>
        <w:spacing w:before="240" w:after="240"/>
        <w:jc w:val="both"/>
        <w:rPr>
          <w:rFonts w:eastAsia="Times New Roman" w:cs="Times New Roman"/>
          <w:color w:val="000000" w:themeColor="text1"/>
          <w:szCs w:val="24"/>
          <w:lang w:val="en-IN" w:eastAsia="en-IN"/>
        </w:rPr>
      </w:pPr>
    </w:p>
    <w:p w14:paraId="1942773C" w14:textId="77777777" w:rsidR="00FC4E6A" w:rsidRPr="00FC4E6A" w:rsidRDefault="00FC4E6A" w:rsidP="00315C83">
      <w:pPr>
        <w:spacing w:before="240" w:after="240"/>
        <w:jc w:val="both"/>
        <w:rPr>
          <w:rFonts w:eastAsia="Times New Roman" w:cs="Times New Roman"/>
          <w:color w:val="000000" w:themeColor="text1"/>
          <w:szCs w:val="24"/>
          <w:lang w:val="en-IN" w:eastAsia="en-IN"/>
        </w:rPr>
      </w:pPr>
    </w:p>
    <w:p w14:paraId="529670C7" w14:textId="50E4E19B" w:rsidR="00A36724" w:rsidRPr="00154298" w:rsidRDefault="00A36724" w:rsidP="00315C83">
      <w:pPr>
        <w:spacing w:before="240" w:after="240"/>
        <w:jc w:val="both"/>
        <w:rPr>
          <w:rFonts w:cs="Times New Roman"/>
          <w:color w:val="000000" w:themeColor="text1"/>
          <w:szCs w:val="24"/>
        </w:rPr>
      </w:pPr>
    </w:p>
    <w:p w14:paraId="41903A3C" w14:textId="77777777" w:rsidR="00E24D15" w:rsidRDefault="00E24D15">
      <w:pPr>
        <w:spacing w:after="200" w:line="276" w:lineRule="auto"/>
        <w:rPr>
          <w:rFonts w:eastAsiaTheme="majorEastAsia" w:cs="Times New Roman"/>
          <w:b/>
          <w:bCs/>
          <w:color w:val="000000" w:themeColor="text1"/>
          <w:szCs w:val="24"/>
        </w:rPr>
      </w:pPr>
      <w:bookmarkStart w:id="18" w:name="_Toc230292498"/>
      <w:r>
        <w:rPr>
          <w:rFonts w:cs="Times New Roman"/>
          <w:color w:val="000000" w:themeColor="text1"/>
          <w:szCs w:val="24"/>
        </w:rPr>
        <w:br w:type="page"/>
      </w:r>
    </w:p>
    <w:p w14:paraId="3CBF8BDE" w14:textId="6664BC14" w:rsidR="008417B5" w:rsidRPr="00154298" w:rsidRDefault="001D6576" w:rsidP="00315C83">
      <w:pPr>
        <w:pStyle w:val="Heading1"/>
        <w:spacing w:before="240" w:after="240"/>
        <w:jc w:val="both"/>
        <w:rPr>
          <w:rFonts w:ascii="Times New Roman" w:hAnsi="Times New Roman" w:cs="Times New Roman"/>
          <w:color w:val="000000" w:themeColor="text1"/>
          <w:sz w:val="24"/>
          <w:szCs w:val="24"/>
        </w:rPr>
      </w:pPr>
      <w:r w:rsidRPr="00154298">
        <w:rPr>
          <w:rFonts w:ascii="Times New Roman" w:hAnsi="Times New Roman" w:cs="Times New Roman"/>
          <w:color w:val="000000" w:themeColor="text1"/>
          <w:sz w:val="24"/>
          <w:szCs w:val="24"/>
        </w:rPr>
        <w:lastRenderedPageBreak/>
        <w:t>9. APPENDICES</w:t>
      </w:r>
      <w:bookmarkEnd w:id="18"/>
    </w:p>
    <w:p w14:paraId="1B6596BF"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19" w:name="_Toc230292499"/>
      <w:r w:rsidRPr="00154298">
        <w:rPr>
          <w:rFonts w:ascii="Times New Roman" w:hAnsi="Times New Roman" w:cs="Times New Roman"/>
          <w:color w:val="000000" w:themeColor="text1"/>
          <w:sz w:val="24"/>
          <w:szCs w:val="24"/>
        </w:rPr>
        <w:t>Appendix A: Summary of Cost-Volume-Profit Formulas</w:t>
      </w:r>
      <w:bookmarkEnd w:id="19"/>
    </w:p>
    <w:p w14:paraId="2354E1B9"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1. Contribution Margin per Unit = Selling Price per Unit - Vari</w:t>
      </w:r>
      <w:r w:rsidRPr="00154298">
        <w:rPr>
          <w:rFonts w:cs="Times New Roman"/>
          <w:color w:val="000000" w:themeColor="text1"/>
          <w:szCs w:val="24"/>
        </w:rPr>
        <w:t>able Cost per Unit</w:t>
      </w:r>
    </w:p>
    <w:p w14:paraId="0A6442DD"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2. Profit-Volume (P/V) Ratio = (Contribution Margin per Unit / Selling Price per Unit) * 100%</w:t>
      </w:r>
    </w:p>
    <w:p w14:paraId="4365C4CB"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3. Break-Even Point (Units) = Total Fixed Costs / Contribution Margin per Unit</w:t>
      </w:r>
    </w:p>
    <w:p w14:paraId="323B758A"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 xml:space="preserve">4. Break-Even Point (Sales Value) = Total Fixed Costs / P/V </w:t>
      </w:r>
      <w:r w:rsidRPr="00154298">
        <w:rPr>
          <w:rFonts w:cs="Times New Roman"/>
          <w:color w:val="000000" w:themeColor="text1"/>
          <w:szCs w:val="24"/>
        </w:rPr>
        <w:t>Ratio</w:t>
      </w:r>
    </w:p>
    <w:p w14:paraId="2E190826"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5. Required Sales Value for Target Profit = (Total Fixed Costs + Target Profit) / P/V Ratio</w:t>
      </w:r>
    </w:p>
    <w:p w14:paraId="115A6B8E"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6. Margin of Safety (Value) = Actual or Budgeted Sales Value - Break-Even Sales Value</w:t>
      </w:r>
    </w:p>
    <w:p w14:paraId="54DCE094" w14:textId="77777777" w:rsidR="008417B5" w:rsidRPr="00154298" w:rsidRDefault="001D6576" w:rsidP="00315C83">
      <w:pPr>
        <w:spacing w:before="240" w:after="240"/>
        <w:jc w:val="both"/>
        <w:rPr>
          <w:rFonts w:cs="Times New Roman"/>
          <w:color w:val="000000" w:themeColor="text1"/>
          <w:szCs w:val="24"/>
        </w:rPr>
      </w:pPr>
      <w:r w:rsidRPr="00154298">
        <w:rPr>
          <w:rFonts w:cs="Times New Roman"/>
          <w:color w:val="000000" w:themeColor="text1"/>
          <w:szCs w:val="24"/>
        </w:rPr>
        <w:t>7. Margin of Safety (%) = ((Actual or Budgeted Sales - Break-Even Sales)</w:t>
      </w:r>
      <w:r w:rsidRPr="00154298">
        <w:rPr>
          <w:rFonts w:cs="Times New Roman"/>
          <w:color w:val="000000" w:themeColor="text1"/>
          <w:szCs w:val="24"/>
        </w:rPr>
        <w:t xml:space="preserve"> / Actual or Budgeted Sales) * 100%</w:t>
      </w:r>
    </w:p>
    <w:p w14:paraId="38A07E3C" w14:textId="77777777" w:rsidR="008417B5" w:rsidRPr="00154298" w:rsidRDefault="001D6576" w:rsidP="00315C83">
      <w:pPr>
        <w:pStyle w:val="Heading2"/>
        <w:spacing w:before="240" w:after="240"/>
        <w:jc w:val="both"/>
        <w:rPr>
          <w:rFonts w:ascii="Times New Roman" w:hAnsi="Times New Roman" w:cs="Times New Roman"/>
          <w:color w:val="000000" w:themeColor="text1"/>
          <w:sz w:val="24"/>
          <w:szCs w:val="24"/>
        </w:rPr>
      </w:pPr>
      <w:bookmarkStart w:id="20" w:name="_Toc230292500"/>
      <w:r w:rsidRPr="00154298">
        <w:rPr>
          <w:rFonts w:ascii="Times New Roman" w:hAnsi="Times New Roman" w:cs="Times New Roman"/>
          <w:color w:val="000000" w:themeColor="text1"/>
          <w:sz w:val="24"/>
          <w:szCs w:val="24"/>
        </w:rPr>
        <w:t>Appendix B: Step-By-Step Mathematical Solutions for Multi-Product Constraints</w:t>
      </w:r>
      <w:bookmarkEnd w:id="20"/>
    </w:p>
    <w:p w14:paraId="00178FEE" w14:textId="77777777" w:rsidR="008417B5" w:rsidRPr="00154298" w:rsidRDefault="001D6576" w:rsidP="009357FA">
      <w:pPr>
        <w:spacing w:before="240" w:after="240"/>
        <w:rPr>
          <w:rFonts w:cs="Times New Roman"/>
          <w:color w:val="000000" w:themeColor="text1"/>
          <w:szCs w:val="24"/>
        </w:rPr>
      </w:pPr>
      <w:r w:rsidRPr="00154298">
        <w:rPr>
          <w:rFonts w:cs="Times New Roman"/>
          <w:color w:val="000000" w:themeColor="text1"/>
          <w:szCs w:val="24"/>
        </w:rPr>
        <w:t>To determine the optimal product mix for Component Alpha and Component Beta under a 4,000-hour assembly constraint:</w:t>
      </w:r>
      <w:r w:rsidRPr="00154298">
        <w:rPr>
          <w:rFonts w:cs="Times New Roman"/>
          <w:color w:val="000000" w:themeColor="text1"/>
          <w:szCs w:val="24"/>
        </w:rPr>
        <w:br/>
      </w:r>
      <w:r w:rsidRPr="00154298">
        <w:rPr>
          <w:rFonts w:cs="Times New Roman"/>
          <w:color w:val="000000" w:themeColor="text1"/>
          <w:szCs w:val="24"/>
        </w:rPr>
        <w:br/>
        <w:t>Step 1: Calculate the uni</w:t>
      </w:r>
      <w:r w:rsidRPr="00154298">
        <w:rPr>
          <w:rFonts w:cs="Times New Roman"/>
          <w:color w:val="000000" w:themeColor="text1"/>
          <w:szCs w:val="24"/>
        </w:rPr>
        <w:t>t contribution margin for each product.</w:t>
      </w:r>
      <w:r w:rsidRPr="00154298">
        <w:rPr>
          <w:rFonts w:cs="Times New Roman"/>
          <w:color w:val="000000" w:themeColor="text1"/>
          <w:szCs w:val="24"/>
        </w:rPr>
        <w:br/>
        <w:t>• Component Alpha: $150.00 - $90.00 = $60.00</w:t>
      </w:r>
      <w:r w:rsidRPr="00154298">
        <w:rPr>
          <w:rFonts w:cs="Times New Roman"/>
          <w:color w:val="000000" w:themeColor="text1"/>
          <w:szCs w:val="24"/>
        </w:rPr>
        <w:br/>
        <w:t>• Component Beta: $220.00 - $140.00 = $80.00</w:t>
      </w:r>
      <w:r w:rsidRPr="00154298">
        <w:rPr>
          <w:rFonts w:cs="Times New Roman"/>
          <w:color w:val="000000" w:themeColor="text1"/>
          <w:szCs w:val="24"/>
        </w:rPr>
        <w:br/>
      </w:r>
      <w:r w:rsidRPr="00154298">
        <w:rPr>
          <w:rFonts w:cs="Times New Roman"/>
          <w:color w:val="000000" w:themeColor="text1"/>
          <w:szCs w:val="24"/>
        </w:rPr>
        <w:br/>
        <w:t>Step 2: Identify resource requirements.</w:t>
      </w:r>
      <w:r w:rsidRPr="00154298">
        <w:rPr>
          <w:rFonts w:cs="Times New Roman"/>
          <w:color w:val="000000" w:themeColor="text1"/>
          <w:szCs w:val="24"/>
        </w:rPr>
        <w:br/>
      </w:r>
      <w:r w:rsidRPr="00154298">
        <w:rPr>
          <w:rFonts w:cs="Times New Roman"/>
          <w:color w:val="000000" w:themeColor="text1"/>
          <w:szCs w:val="24"/>
        </w:rPr>
        <w:lastRenderedPageBreak/>
        <w:t>• Component Alpha requires 2 hours of robotic processing per unit.</w:t>
      </w:r>
      <w:r w:rsidRPr="00154298">
        <w:rPr>
          <w:rFonts w:cs="Times New Roman"/>
          <w:color w:val="000000" w:themeColor="text1"/>
          <w:szCs w:val="24"/>
        </w:rPr>
        <w:br/>
        <w:t>• Component Beta r</w:t>
      </w:r>
      <w:r w:rsidRPr="00154298">
        <w:rPr>
          <w:rFonts w:cs="Times New Roman"/>
          <w:color w:val="000000" w:themeColor="text1"/>
          <w:szCs w:val="24"/>
        </w:rPr>
        <w:t>equires 4 hours of robotic processing per unit.</w:t>
      </w:r>
      <w:r w:rsidRPr="00154298">
        <w:rPr>
          <w:rFonts w:cs="Times New Roman"/>
          <w:color w:val="000000" w:themeColor="text1"/>
          <w:szCs w:val="24"/>
        </w:rPr>
        <w:br/>
      </w:r>
      <w:r w:rsidRPr="00154298">
        <w:rPr>
          <w:rFonts w:cs="Times New Roman"/>
          <w:color w:val="000000" w:themeColor="text1"/>
          <w:szCs w:val="24"/>
        </w:rPr>
        <w:br/>
        <w:t>Step 3: Calculate the contribution margin generated per unit of the scarce resource.</w:t>
      </w:r>
      <w:r w:rsidRPr="00154298">
        <w:rPr>
          <w:rFonts w:cs="Times New Roman"/>
          <w:color w:val="000000" w:themeColor="text1"/>
          <w:szCs w:val="24"/>
        </w:rPr>
        <w:br/>
        <w:t>• Component Alpha: $60.00 / 2 hours = $30.00 per hour</w:t>
      </w:r>
      <w:r w:rsidRPr="00154298">
        <w:rPr>
          <w:rFonts w:cs="Times New Roman"/>
          <w:color w:val="000000" w:themeColor="text1"/>
          <w:szCs w:val="24"/>
        </w:rPr>
        <w:br/>
        <w:t>• Component Beta: $80.00 / 4 hours = $20.00 per hour</w:t>
      </w:r>
      <w:r w:rsidRPr="00154298">
        <w:rPr>
          <w:rFonts w:cs="Times New Roman"/>
          <w:color w:val="000000" w:themeColor="text1"/>
          <w:szCs w:val="24"/>
        </w:rPr>
        <w:br/>
      </w:r>
      <w:r w:rsidRPr="00154298">
        <w:rPr>
          <w:rFonts w:cs="Times New Roman"/>
          <w:color w:val="000000" w:themeColor="text1"/>
          <w:szCs w:val="24"/>
        </w:rPr>
        <w:br/>
        <w:t>Step 4: Rank p</w:t>
      </w:r>
      <w:r w:rsidRPr="00154298">
        <w:rPr>
          <w:rFonts w:cs="Times New Roman"/>
          <w:color w:val="000000" w:themeColor="text1"/>
          <w:szCs w:val="24"/>
        </w:rPr>
        <w:t>roducts based on resource efficiency.</w:t>
      </w:r>
      <w:r w:rsidRPr="00154298">
        <w:rPr>
          <w:rFonts w:cs="Times New Roman"/>
          <w:color w:val="000000" w:themeColor="text1"/>
          <w:szCs w:val="24"/>
        </w:rPr>
        <w:br/>
        <w:t>1. Rank 1: Component Alpha ($30.00/hour)</w:t>
      </w:r>
      <w:r w:rsidRPr="00154298">
        <w:rPr>
          <w:rFonts w:cs="Times New Roman"/>
          <w:color w:val="000000" w:themeColor="text1"/>
          <w:szCs w:val="24"/>
        </w:rPr>
        <w:br/>
        <w:t>2. Rank 2: Component Beta ($20.00/hour)</w:t>
      </w:r>
      <w:r w:rsidRPr="00154298">
        <w:rPr>
          <w:rFonts w:cs="Times New Roman"/>
          <w:color w:val="000000" w:themeColor="text1"/>
          <w:szCs w:val="24"/>
        </w:rPr>
        <w:br/>
      </w:r>
      <w:r w:rsidRPr="00154298">
        <w:rPr>
          <w:rFonts w:cs="Times New Roman"/>
          <w:color w:val="000000" w:themeColor="text1"/>
          <w:szCs w:val="24"/>
        </w:rPr>
        <w:br/>
        <w:t>Step 5: Resource Allocation Plan</w:t>
      </w:r>
      <w:r w:rsidRPr="00154298">
        <w:rPr>
          <w:rFonts w:cs="Times New Roman"/>
          <w:color w:val="000000" w:themeColor="text1"/>
          <w:szCs w:val="24"/>
        </w:rPr>
        <w:br/>
        <w:t>• Management should prioritize filling all market demand for Component Alpha first.</w:t>
      </w:r>
      <w:r w:rsidRPr="00154298">
        <w:rPr>
          <w:rFonts w:cs="Times New Roman"/>
          <w:color w:val="000000" w:themeColor="text1"/>
          <w:szCs w:val="24"/>
        </w:rPr>
        <w:br/>
        <w:t>• If total market d</w:t>
      </w:r>
      <w:r w:rsidRPr="00154298">
        <w:rPr>
          <w:rFonts w:cs="Times New Roman"/>
          <w:color w:val="000000" w:themeColor="text1"/>
          <w:szCs w:val="24"/>
        </w:rPr>
        <w:t>emand for Component Alpha is 1,500 units, production requires: 1,500 units * 2 hours/unit = 3,000 hours.</w:t>
      </w:r>
      <w:r w:rsidRPr="00154298">
        <w:rPr>
          <w:rFonts w:cs="Times New Roman"/>
          <w:color w:val="000000" w:themeColor="text1"/>
          <w:szCs w:val="24"/>
        </w:rPr>
        <w:br/>
        <w:t>• The remaining production capacity is allocated to Component Beta: 4,000 total hours - 3,000 allocated hours = 1,000 hours remaining.</w:t>
      </w:r>
      <w:r w:rsidRPr="00154298">
        <w:rPr>
          <w:rFonts w:cs="Times New Roman"/>
          <w:color w:val="000000" w:themeColor="text1"/>
          <w:szCs w:val="24"/>
        </w:rPr>
        <w:br/>
        <w:t>• The maximum pr</w:t>
      </w:r>
      <w:r w:rsidRPr="00154298">
        <w:rPr>
          <w:rFonts w:cs="Times New Roman"/>
          <w:color w:val="000000" w:themeColor="text1"/>
          <w:szCs w:val="24"/>
        </w:rPr>
        <w:t>oduction volume for Component Beta within these remaining hours is: 1,000 hours / 4 hours/unit = 250 units.</w:t>
      </w:r>
      <w:r w:rsidRPr="00154298">
        <w:rPr>
          <w:rFonts w:cs="Times New Roman"/>
          <w:color w:val="000000" w:themeColor="text1"/>
          <w:szCs w:val="24"/>
        </w:rPr>
        <w:br/>
      </w:r>
      <w:r w:rsidRPr="00154298">
        <w:rPr>
          <w:rFonts w:cs="Times New Roman"/>
          <w:color w:val="000000" w:themeColor="text1"/>
          <w:szCs w:val="24"/>
        </w:rPr>
        <w:br/>
        <w:t>Optimal Production Target Mix: 1,500 units of Component Alpha and 250 units of Component Beta.</w:t>
      </w:r>
    </w:p>
    <w:sectPr w:rsidR="008417B5" w:rsidRPr="00154298" w:rsidSect="000346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1E2F5" w14:textId="77777777" w:rsidR="001D6576" w:rsidRDefault="001D6576" w:rsidP="009357FA">
      <w:pPr>
        <w:spacing w:after="0" w:line="240" w:lineRule="auto"/>
      </w:pPr>
      <w:r>
        <w:separator/>
      </w:r>
    </w:p>
  </w:endnote>
  <w:endnote w:type="continuationSeparator" w:id="0">
    <w:p w14:paraId="6703133F" w14:textId="77777777" w:rsidR="001D6576" w:rsidRDefault="001D6576" w:rsidP="00935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26040"/>
      <w:docPartObj>
        <w:docPartGallery w:val="Page Numbers (Bottom of Page)"/>
        <w:docPartUnique/>
      </w:docPartObj>
    </w:sdtPr>
    <w:sdtEndPr>
      <w:rPr>
        <w:noProof/>
      </w:rPr>
    </w:sdtEndPr>
    <w:sdtContent>
      <w:p w14:paraId="1D153B31" w14:textId="761E5AB7" w:rsidR="009357FA" w:rsidRDefault="009357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CE73FC" w14:textId="77777777" w:rsidR="009357FA" w:rsidRDefault="009357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3498F" w14:textId="77777777" w:rsidR="001D6576" w:rsidRDefault="001D6576" w:rsidP="009357FA">
      <w:pPr>
        <w:spacing w:after="0" w:line="240" w:lineRule="auto"/>
      </w:pPr>
      <w:r>
        <w:separator/>
      </w:r>
    </w:p>
  </w:footnote>
  <w:footnote w:type="continuationSeparator" w:id="0">
    <w:p w14:paraId="5ADD215A" w14:textId="77777777" w:rsidR="001D6576" w:rsidRDefault="001D6576" w:rsidP="009357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5EC400D"/>
    <w:multiLevelType w:val="multilevel"/>
    <w:tmpl w:val="CA82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64C6"/>
    <w:rsid w:val="0006063C"/>
    <w:rsid w:val="000C0E16"/>
    <w:rsid w:val="000E72AB"/>
    <w:rsid w:val="00132747"/>
    <w:rsid w:val="00136D7B"/>
    <w:rsid w:val="00140E5A"/>
    <w:rsid w:val="00141537"/>
    <w:rsid w:val="0015074B"/>
    <w:rsid w:val="00154298"/>
    <w:rsid w:val="001D6576"/>
    <w:rsid w:val="001E5C5E"/>
    <w:rsid w:val="00217B0F"/>
    <w:rsid w:val="00245454"/>
    <w:rsid w:val="002650CA"/>
    <w:rsid w:val="0029639D"/>
    <w:rsid w:val="002A7ED6"/>
    <w:rsid w:val="003033DD"/>
    <w:rsid w:val="00303B9B"/>
    <w:rsid w:val="00315C83"/>
    <w:rsid w:val="00326F90"/>
    <w:rsid w:val="00336173"/>
    <w:rsid w:val="00371118"/>
    <w:rsid w:val="00383FA6"/>
    <w:rsid w:val="00446EFE"/>
    <w:rsid w:val="00482AFD"/>
    <w:rsid w:val="004839FC"/>
    <w:rsid w:val="00485012"/>
    <w:rsid w:val="004B2BFD"/>
    <w:rsid w:val="004D10B6"/>
    <w:rsid w:val="004D1A88"/>
    <w:rsid w:val="00502E02"/>
    <w:rsid w:val="00560BE3"/>
    <w:rsid w:val="00587FCA"/>
    <w:rsid w:val="005D28FC"/>
    <w:rsid w:val="005D3143"/>
    <w:rsid w:val="005D6AF5"/>
    <w:rsid w:val="00603DB2"/>
    <w:rsid w:val="006538F9"/>
    <w:rsid w:val="0069605E"/>
    <w:rsid w:val="006C24CE"/>
    <w:rsid w:val="006F1638"/>
    <w:rsid w:val="006F22B3"/>
    <w:rsid w:val="006F251B"/>
    <w:rsid w:val="00727DD2"/>
    <w:rsid w:val="00753692"/>
    <w:rsid w:val="00780121"/>
    <w:rsid w:val="007E41C9"/>
    <w:rsid w:val="007F4017"/>
    <w:rsid w:val="008417B5"/>
    <w:rsid w:val="008663CF"/>
    <w:rsid w:val="00877599"/>
    <w:rsid w:val="008C6CE2"/>
    <w:rsid w:val="008E5228"/>
    <w:rsid w:val="008E5439"/>
    <w:rsid w:val="00904D8D"/>
    <w:rsid w:val="009357FA"/>
    <w:rsid w:val="00950EC6"/>
    <w:rsid w:val="00991E6A"/>
    <w:rsid w:val="009D56AE"/>
    <w:rsid w:val="009E5142"/>
    <w:rsid w:val="00A26DB0"/>
    <w:rsid w:val="00A36724"/>
    <w:rsid w:val="00A54252"/>
    <w:rsid w:val="00A61DED"/>
    <w:rsid w:val="00A84442"/>
    <w:rsid w:val="00AA1D8D"/>
    <w:rsid w:val="00AE1AF9"/>
    <w:rsid w:val="00AF0E57"/>
    <w:rsid w:val="00AF227B"/>
    <w:rsid w:val="00AF3BF5"/>
    <w:rsid w:val="00B05230"/>
    <w:rsid w:val="00B464B5"/>
    <w:rsid w:val="00B47730"/>
    <w:rsid w:val="00B6366A"/>
    <w:rsid w:val="00B85531"/>
    <w:rsid w:val="00BD75EF"/>
    <w:rsid w:val="00C10C5E"/>
    <w:rsid w:val="00C3788A"/>
    <w:rsid w:val="00C62C7A"/>
    <w:rsid w:val="00CA5653"/>
    <w:rsid w:val="00CB0664"/>
    <w:rsid w:val="00D07EC1"/>
    <w:rsid w:val="00DC79BE"/>
    <w:rsid w:val="00E162BC"/>
    <w:rsid w:val="00E24D15"/>
    <w:rsid w:val="00E3193F"/>
    <w:rsid w:val="00E37FCC"/>
    <w:rsid w:val="00E73897"/>
    <w:rsid w:val="00E81450"/>
    <w:rsid w:val="00EF042C"/>
    <w:rsid w:val="00F17A2A"/>
    <w:rsid w:val="00F4103C"/>
    <w:rsid w:val="00FA68D5"/>
    <w:rsid w:val="00FB71AE"/>
    <w:rsid w:val="00FC4E6A"/>
    <w:rsid w:val="00FC693F"/>
    <w:rsid w:val="00FD501A"/>
    <w:rsid w:val="00FE0A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07F6DD"/>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C62C7A"/>
    <w:pPr>
      <w:spacing w:before="100" w:beforeAutospacing="1" w:after="100" w:afterAutospacing="1" w:line="240" w:lineRule="auto"/>
    </w:pPr>
    <w:rPr>
      <w:rFonts w:eastAsia="Times New Roman" w:cs="Times New Roman"/>
      <w:szCs w:val="24"/>
      <w:lang w:val="en-IN" w:eastAsia="en-IN"/>
    </w:rPr>
  </w:style>
  <w:style w:type="character" w:styleId="Hyperlink">
    <w:name w:val="Hyperlink"/>
    <w:basedOn w:val="DefaultParagraphFont"/>
    <w:uiPriority w:val="99"/>
    <w:unhideWhenUsed/>
    <w:rsid w:val="006C24CE"/>
    <w:rPr>
      <w:color w:val="0000FF" w:themeColor="hyperlink"/>
      <w:u w:val="single"/>
    </w:rPr>
  </w:style>
  <w:style w:type="character" w:styleId="UnresolvedMention">
    <w:name w:val="Unresolved Mention"/>
    <w:basedOn w:val="DefaultParagraphFont"/>
    <w:uiPriority w:val="99"/>
    <w:semiHidden/>
    <w:unhideWhenUsed/>
    <w:rsid w:val="006C24CE"/>
    <w:rPr>
      <w:color w:val="605E5C"/>
      <w:shd w:val="clear" w:color="auto" w:fill="E1DFDD"/>
    </w:rPr>
  </w:style>
  <w:style w:type="paragraph" w:styleId="TOC1">
    <w:name w:val="toc 1"/>
    <w:basedOn w:val="Normal"/>
    <w:next w:val="Normal"/>
    <w:autoRedefine/>
    <w:uiPriority w:val="39"/>
    <w:unhideWhenUsed/>
    <w:rsid w:val="00315C83"/>
    <w:pPr>
      <w:spacing w:after="100"/>
    </w:pPr>
  </w:style>
  <w:style w:type="paragraph" w:styleId="TOC2">
    <w:name w:val="toc 2"/>
    <w:basedOn w:val="Normal"/>
    <w:next w:val="Normal"/>
    <w:autoRedefine/>
    <w:uiPriority w:val="39"/>
    <w:unhideWhenUsed/>
    <w:rsid w:val="00315C8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33281">
      <w:bodyDiv w:val="1"/>
      <w:marLeft w:val="0"/>
      <w:marRight w:val="0"/>
      <w:marTop w:val="0"/>
      <w:marBottom w:val="0"/>
      <w:divBdr>
        <w:top w:val="none" w:sz="0" w:space="0" w:color="auto"/>
        <w:left w:val="none" w:sz="0" w:space="0" w:color="auto"/>
        <w:bottom w:val="none" w:sz="0" w:space="0" w:color="auto"/>
        <w:right w:val="none" w:sz="0" w:space="0" w:color="auto"/>
      </w:divBdr>
    </w:div>
    <w:div w:id="324018424">
      <w:bodyDiv w:val="1"/>
      <w:marLeft w:val="0"/>
      <w:marRight w:val="0"/>
      <w:marTop w:val="0"/>
      <w:marBottom w:val="0"/>
      <w:divBdr>
        <w:top w:val="none" w:sz="0" w:space="0" w:color="auto"/>
        <w:left w:val="none" w:sz="0" w:space="0" w:color="auto"/>
        <w:bottom w:val="none" w:sz="0" w:space="0" w:color="auto"/>
        <w:right w:val="none" w:sz="0" w:space="0" w:color="auto"/>
      </w:divBdr>
    </w:div>
    <w:div w:id="532840010">
      <w:bodyDiv w:val="1"/>
      <w:marLeft w:val="0"/>
      <w:marRight w:val="0"/>
      <w:marTop w:val="0"/>
      <w:marBottom w:val="0"/>
      <w:divBdr>
        <w:top w:val="none" w:sz="0" w:space="0" w:color="auto"/>
        <w:left w:val="none" w:sz="0" w:space="0" w:color="auto"/>
        <w:bottom w:val="none" w:sz="0" w:space="0" w:color="auto"/>
        <w:right w:val="none" w:sz="0" w:space="0" w:color="auto"/>
      </w:divBdr>
    </w:div>
    <w:div w:id="564343101">
      <w:bodyDiv w:val="1"/>
      <w:marLeft w:val="0"/>
      <w:marRight w:val="0"/>
      <w:marTop w:val="0"/>
      <w:marBottom w:val="0"/>
      <w:divBdr>
        <w:top w:val="none" w:sz="0" w:space="0" w:color="auto"/>
        <w:left w:val="none" w:sz="0" w:space="0" w:color="auto"/>
        <w:bottom w:val="none" w:sz="0" w:space="0" w:color="auto"/>
        <w:right w:val="none" w:sz="0" w:space="0" w:color="auto"/>
      </w:divBdr>
    </w:div>
    <w:div w:id="572853761">
      <w:bodyDiv w:val="1"/>
      <w:marLeft w:val="0"/>
      <w:marRight w:val="0"/>
      <w:marTop w:val="0"/>
      <w:marBottom w:val="0"/>
      <w:divBdr>
        <w:top w:val="none" w:sz="0" w:space="0" w:color="auto"/>
        <w:left w:val="none" w:sz="0" w:space="0" w:color="auto"/>
        <w:bottom w:val="none" w:sz="0" w:space="0" w:color="auto"/>
        <w:right w:val="none" w:sz="0" w:space="0" w:color="auto"/>
      </w:divBdr>
    </w:div>
    <w:div w:id="682782866">
      <w:bodyDiv w:val="1"/>
      <w:marLeft w:val="0"/>
      <w:marRight w:val="0"/>
      <w:marTop w:val="0"/>
      <w:marBottom w:val="0"/>
      <w:divBdr>
        <w:top w:val="none" w:sz="0" w:space="0" w:color="auto"/>
        <w:left w:val="none" w:sz="0" w:space="0" w:color="auto"/>
        <w:bottom w:val="none" w:sz="0" w:space="0" w:color="auto"/>
        <w:right w:val="none" w:sz="0" w:space="0" w:color="auto"/>
      </w:divBdr>
    </w:div>
    <w:div w:id="704065365">
      <w:bodyDiv w:val="1"/>
      <w:marLeft w:val="0"/>
      <w:marRight w:val="0"/>
      <w:marTop w:val="0"/>
      <w:marBottom w:val="0"/>
      <w:divBdr>
        <w:top w:val="none" w:sz="0" w:space="0" w:color="auto"/>
        <w:left w:val="none" w:sz="0" w:space="0" w:color="auto"/>
        <w:bottom w:val="none" w:sz="0" w:space="0" w:color="auto"/>
        <w:right w:val="none" w:sz="0" w:space="0" w:color="auto"/>
      </w:divBdr>
    </w:div>
    <w:div w:id="800222126">
      <w:bodyDiv w:val="1"/>
      <w:marLeft w:val="0"/>
      <w:marRight w:val="0"/>
      <w:marTop w:val="0"/>
      <w:marBottom w:val="0"/>
      <w:divBdr>
        <w:top w:val="none" w:sz="0" w:space="0" w:color="auto"/>
        <w:left w:val="none" w:sz="0" w:space="0" w:color="auto"/>
        <w:bottom w:val="none" w:sz="0" w:space="0" w:color="auto"/>
        <w:right w:val="none" w:sz="0" w:space="0" w:color="auto"/>
      </w:divBdr>
    </w:div>
    <w:div w:id="1230773453">
      <w:bodyDiv w:val="1"/>
      <w:marLeft w:val="0"/>
      <w:marRight w:val="0"/>
      <w:marTop w:val="0"/>
      <w:marBottom w:val="0"/>
      <w:divBdr>
        <w:top w:val="none" w:sz="0" w:space="0" w:color="auto"/>
        <w:left w:val="none" w:sz="0" w:space="0" w:color="auto"/>
        <w:bottom w:val="none" w:sz="0" w:space="0" w:color="auto"/>
        <w:right w:val="none" w:sz="0" w:space="0" w:color="auto"/>
      </w:divBdr>
    </w:div>
    <w:div w:id="1619875162">
      <w:bodyDiv w:val="1"/>
      <w:marLeft w:val="0"/>
      <w:marRight w:val="0"/>
      <w:marTop w:val="0"/>
      <w:marBottom w:val="0"/>
      <w:divBdr>
        <w:top w:val="none" w:sz="0" w:space="0" w:color="auto"/>
        <w:left w:val="none" w:sz="0" w:space="0" w:color="auto"/>
        <w:bottom w:val="none" w:sz="0" w:space="0" w:color="auto"/>
        <w:right w:val="none" w:sz="0" w:space="0" w:color="auto"/>
      </w:divBdr>
    </w:div>
    <w:div w:id="17096023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40273-021-01087-6" TargetMode="External"/><Relationship Id="rId13" Type="http://schemas.openxmlformats.org/officeDocument/2006/relationships/hyperlink" Target="https://doi.org/10.1007/s11365-023-00938-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755/j01.ee.31.1.2433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heliyon.2025.e425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57/s41272-023-00471-5" TargetMode="External"/><Relationship Id="rId5" Type="http://schemas.openxmlformats.org/officeDocument/2006/relationships/webSettings" Target="webSettings.xml"/><Relationship Id="rId15" Type="http://schemas.openxmlformats.org/officeDocument/2006/relationships/hyperlink" Target="https://doi.org/10.5281/ZENODO.15387975" TargetMode="External"/><Relationship Id="rId10" Type="http://schemas.openxmlformats.org/officeDocument/2006/relationships/hyperlink" Target="https://doi.org/10.1007/978-981-16-7255-2_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2478/ejes-2018-0043" TargetMode="External"/><Relationship Id="rId14" Type="http://schemas.openxmlformats.org/officeDocument/2006/relationships/hyperlink" Target="https://doi.org/10.1007/s11365-023-0093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4889</Words>
  <Characters>27873</Characters>
  <Application>Microsoft Office Word</Application>
  <DocSecurity>0</DocSecurity>
  <Lines>232</Lines>
  <Paragraphs>65</Paragraphs>
  <ScaleCrop>false</ScaleCrop>
  <Manager/>
  <Company/>
  <LinksUpToDate>false</LinksUpToDate>
  <CharactersWithSpaces>32697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2026-05-21T16:22:00Z</dcterms:created>
  <dcterms:modified xsi:type="dcterms:W3CDTF">2026-05-21T16:22:00Z</dcterms:modified>
  <cp:category/>
</cp:coreProperties>
</file>