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D4B3FDF7-CA39-4752-9E92-C1C885200D98.jpeg"/>
                    <pic:cNvPicPr/>
                  </pic:nvPicPr>
                  <pic:blipFill>
                    <a:blip r:embed="rId9"/>
                    <a:stretch>
                      <a:fillRect/>
                    </a:stretch>
                  </pic:blipFill>
                  <pic:spPr>
                    <a:xfrm>
                      <a:off x="0" y="0"/>
                      <a:ext cx="1828800" cy="2633636"/>
                    </a:xfrm>
                    <a:prstGeom prst="rect"/>
                  </pic:spPr>
                </pic:pic>
              </a:graphicData>
            </a:graphic>
          </wp:inline>
        </w:drawing>
      </w:r>
    </w:p>
    <w:p>
      <w:pPr>
        <w:jc w:val="center"/>
      </w:pPr>
      <w:r>
        <w:rPr>
          <w:rFonts w:ascii="Times New Roman" w:hAnsi="Times New Roman" w:eastAsia="Times New Roman"/>
          <w:b/>
          <w:color w:val="0000FF"/>
          <w:sz w:val="28"/>
        </w:rPr>
        <w:t>Business Proposal for a Transboundary Wellness and Adventure Tourism Corridor between Slovenia and Croatia</w:t>
      </w:r>
    </w:p>
    <w:p>
      <w:pPr>
        <w:jc w:val="center"/>
      </w:pPr>
      <w:r>
        <w:rPr>
          <w:rFonts w:ascii="Times New Roman" w:hAnsi="Times New Roman" w:eastAsia="Times New Roman"/>
          <w:sz w:val="24"/>
        </w:rPr>
        <w:t xml:space="preserve"> </w:t>
      </w:r>
    </w:p>
    <w:p>
      <w:pPr>
        <w:jc w:val="center"/>
      </w:pPr>
      <w:r>
        <w:rPr>
          <w:rFonts w:ascii="Times New Roman" w:hAnsi="Times New Roman" w:eastAsia="Times New Roman"/>
          <w:sz w:val="24"/>
        </w:rPr>
        <w:t>Submitted by: Dipanshu Aggarwal</w:t>
      </w:r>
    </w:p>
    <w:p>
      <w:pPr>
        <w:jc w:val="center"/>
      </w:pPr>
      <w:r>
        <w:rPr>
          <w:rFonts w:ascii="Times New Roman" w:hAnsi="Times New Roman" w:eastAsia="Times New Roman"/>
          <w:sz w:val="24"/>
        </w:rPr>
        <w:t>Matriculation Nr: DE240134</w:t>
      </w:r>
    </w:p>
    <w:p>
      <w:pPr>
        <w:jc w:val="center"/>
      </w:pPr>
      <w:r>
        <w:rPr>
          <w:rFonts w:ascii="Times New Roman" w:hAnsi="Times New Roman" w:eastAsia="Times New Roman"/>
          <w:sz w:val="24"/>
        </w:rPr>
        <w:t>Course: Business Tourism and Recreation</w:t>
      </w:r>
    </w:p>
    <w:p>
      <w:pPr>
        <w:jc w:val="center"/>
      </w:pPr>
      <w:r>
        <w:rPr>
          <w:rFonts w:ascii="Times New Roman" w:hAnsi="Times New Roman" w:eastAsia="Times New Roman"/>
          <w:sz w:val="24"/>
        </w:rPr>
        <w:t>Submission Date: July 28, 2025</w:t>
      </w:r>
    </w:p>
    <w:p>
      <w:r>
        <w:br w:type="page"/>
      </w:r>
    </w:p>
    <w:p>
      <w:pPr>
        <w:pStyle w:val="Heading1"/>
      </w:pPr>
      <w:r>
        <w:rPr>
          <w:rFonts w:ascii="Times New Roman" w:hAnsi="Times New Roman" w:eastAsia="Times New Roman"/>
          <w:sz w:val="24"/>
        </w:rPr>
        <w:t>Table of Contents</w:t>
      </w:r>
    </w:p>
    <w:p>
      <w:r>
        <w:rPr>
          <w:rFonts w:ascii="Times New Roman" w:hAnsi="Times New Roman" w:eastAsia="Times New Roman"/>
          <w:sz w:val="24"/>
        </w:rPr>
        <w:t>1. Abstract</w:t>
      </w:r>
    </w:p>
    <w:p>
      <w:r>
        <w:rPr>
          <w:rFonts w:ascii="Times New Roman" w:hAnsi="Times New Roman" w:eastAsia="Times New Roman"/>
          <w:sz w:val="24"/>
        </w:rPr>
        <w:t>2. Introduction</w:t>
      </w:r>
    </w:p>
    <w:p>
      <w:r>
        <w:rPr>
          <w:rFonts w:ascii="Times New Roman" w:hAnsi="Times New Roman" w:eastAsia="Times New Roman"/>
          <w:sz w:val="24"/>
        </w:rPr>
        <w:t>3. Literature Review</w:t>
      </w:r>
    </w:p>
    <w:p>
      <w:r>
        <w:rPr>
          <w:rFonts w:ascii="Times New Roman" w:hAnsi="Times New Roman" w:eastAsia="Times New Roman"/>
          <w:sz w:val="24"/>
        </w:rPr>
        <w:t>4. Methodology</w:t>
      </w:r>
    </w:p>
    <w:p>
      <w:r>
        <w:rPr>
          <w:rFonts w:ascii="Times New Roman" w:hAnsi="Times New Roman" w:eastAsia="Times New Roman"/>
          <w:sz w:val="24"/>
        </w:rPr>
        <w:t>5. Findings</w:t>
      </w:r>
    </w:p>
    <w:p>
      <w:r>
        <w:rPr>
          <w:rFonts w:ascii="Times New Roman" w:hAnsi="Times New Roman" w:eastAsia="Times New Roman"/>
          <w:sz w:val="24"/>
        </w:rPr>
        <w:t>6. Discussion</w:t>
      </w:r>
    </w:p>
    <w:p>
      <w:r>
        <w:rPr>
          <w:rFonts w:ascii="Times New Roman" w:hAnsi="Times New Roman" w:eastAsia="Times New Roman"/>
          <w:sz w:val="24"/>
        </w:rPr>
        <w:t>7. Conclusion</w:t>
      </w:r>
    </w:p>
    <w:p>
      <w:r>
        <w:rPr>
          <w:rFonts w:ascii="Times New Roman" w:hAnsi="Times New Roman" w:eastAsia="Times New Roman"/>
          <w:sz w:val="24"/>
        </w:rPr>
        <w:t>8. References</w:t>
      </w:r>
    </w:p>
    <w:p>
      <w:r>
        <w:rPr>
          <w:rFonts w:ascii="Times New Roman" w:hAnsi="Times New Roman" w:eastAsia="Times New Roman"/>
          <w:sz w:val="24"/>
        </w:rPr>
        <w:t>Appendix A: Sample Stakeholder Email</w:t>
      </w:r>
    </w:p>
    <w:p>
      <w:r>
        <w:br w:type="page"/>
      </w:r>
    </w:p>
    <w:p>
      <w:pPr>
        <w:pStyle w:val="Heading1"/>
      </w:pPr>
      <w:r>
        <w:rPr>
          <w:rFonts w:ascii="Times New Roman" w:hAnsi="Times New Roman" w:eastAsia="Times New Roman"/>
          <w:sz w:val="24"/>
        </w:rPr>
        <w:t>Abstract</w:t>
      </w:r>
    </w:p>
    <w:p>
      <w:r>
        <w:rPr>
          <w:rFonts w:ascii="Times New Roman" w:hAnsi="Times New Roman" w:eastAsia="Times New Roman"/>
          <w:sz w:val="24"/>
        </w:rPr>
        <w:t>This business proposal presents the concept, strategic rationale, and operational roadmap for a Transboundary Wellness and Adventure Tourism Corridor linking northeastern Slovenia’s thermal spa towns with northwestern Croatia’s adventure destinations. The initiative—provisionally branded “WellAdriatic”—integrates wellness (spa, holistic retreats, slow food) with adventure (cycling, hiking, kayaking, and ziplining) to deliver multi-day, low-impact experiences for domestic and international travelers. The proposal elaborates the project’s objectives, target markets, governance, and funding mix with attention to EU cohesion policy, Interreg opportunities, and the European Green Deal’s emphasis on sustainable mobility. Advanced Business English is employed to model professional, persuasive, and interculturally sensitive communication. Findings suggest the corridor can raise average length of stay, stimulate rural regeneration, and create inclusive employment while preserving natural assets. A phased implementation plan, ethical communication protocols, and risk mitigation measures are specified to support investor and public-authority decision-making.</w:t>
      </w:r>
    </w:p>
    <w:p>
      <w:pPr>
        <w:pStyle w:val="Heading1"/>
      </w:pPr>
      <w:r>
        <w:rPr>
          <w:rFonts w:ascii="Times New Roman" w:hAnsi="Times New Roman" w:eastAsia="Times New Roman"/>
          <w:sz w:val="24"/>
        </w:rPr>
        <w:t>1. Introduction</w:t>
      </w:r>
    </w:p>
    <w:p>
      <w:r>
        <w:rPr>
          <w:rFonts w:ascii="Times New Roman" w:hAnsi="Times New Roman" w:eastAsia="Times New Roman"/>
          <w:sz w:val="24"/>
        </w:rPr>
        <w:t>European tourism is steadily reorienting from volume-driven growth toward value-led, sustainable development. After the COVID-19 shock, travelers increasingly seek restorative, meaningful journeys that combine physical activity with wellness, nature connection, and cultural authenticity. Slovenia and Croatia—neighbors with intertwined histories and complementary tourism profiles—are well positioned to respond to this shift. Slovenia’s reputation for green destinations, thermal spa traditions, and forested landscapes complements Croatia’s renowned national parks, islands, and adventure offerings. Together, they can curate a cross-border value proposition that exceeds the sum of individual attractions.</w:t>
        <w:br/>
        <w:br/>
        <w:t>This proposal outlines a Transboundary Wellness and Adventure Tourism Corridor that connects Slovenia’s Pomurje and Podravje regions (e.g., Moravske Toplice, Ptuj, and the Mura River Biosphere Reserve) with Croatia’s Međimurje, Lika, and Kvarner areas (e.g., Mura–Drava confluence parks, Plitvice Lakes, and Krk Island adventure hubs). Under a shared brand identity, the corridor will weave thermal spas, yoga lodges, eco-hotels, cycling greenways, and soft-adventure routes into a coherent, bookable itinerary. The vision is to establish a model of cross-border harmony that strengthens both nations’ positions as wellness–adventure leaders in Central Europe; the mission is to deliver culturally rooted, low-impact experiences that enrich local communities and safeguard biodiversity.</w:t>
        <w:br/>
        <w:br/>
        <w:t>The remainder of this document presents an expanded literature review, methodology, findings with market and financial estimates, a detailed discussion of branding and intercultural communication, and a pragmatic timeline. The expanded sections deepen the business case and clarify how governance, ethics, and risk management will translate strategy into actionable steps between 2026 and 2029.</w:t>
      </w:r>
    </w:p>
    <w:p>
      <w:pPr>
        <w:pStyle w:val="Heading1"/>
      </w:pPr>
      <w:r>
        <w:rPr>
          <w:rFonts w:ascii="Times New Roman" w:hAnsi="Times New Roman" w:eastAsia="Times New Roman"/>
          <w:sz w:val="24"/>
        </w:rPr>
        <w:t>2. Literature Review</w:t>
      </w:r>
    </w:p>
    <w:p>
      <w:pPr>
        <w:pStyle w:val="Heading2"/>
      </w:pPr>
      <w:r>
        <w:rPr>
          <w:rFonts w:ascii="Times New Roman" w:hAnsi="Times New Roman" w:eastAsia="Times New Roman"/>
          <w:sz w:val="24"/>
        </w:rPr>
        <w:t>2.1 Wellness and Adventure Tourism Trends</w:t>
      </w:r>
    </w:p>
    <w:p>
      <w:r>
        <w:rPr>
          <w:rFonts w:ascii="Times New Roman" w:hAnsi="Times New Roman" w:eastAsia="Times New Roman"/>
          <w:sz w:val="24"/>
        </w:rPr>
        <w:t>Wellness tourism has matured from niche spa travel into a holistic lifestyle segment encompassing prevention, mental health, mindfulness, and nature immersion. Parallel growth in soft-adventure—activities that are physically engaging but accessible to a broad public—invites product integration: a day of cycling followed by thermal bathing and locally sourced gastronomy reflects a modern, balanced itinerary. Academic and industry sources converge on three drivers: (1) a post-pandemic emphasis on health and outdoor recreation; (2) demand for experiential, place-based narratives; and (3) the rise of hybrid work enabling longer, shoulder-season trips. The intersection of wellness and adventure aligns with regenerative tourism principles that aim to leave destinations socially and ecologically better off.</w:t>
      </w:r>
    </w:p>
    <w:p>
      <w:pPr>
        <w:pStyle w:val="Heading2"/>
      </w:pPr>
      <w:r>
        <w:rPr>
          <w:rFonts w:ascii="Times New Roman" w:hAnsi="Times New Roman" w:eastAsia="Times New Roman"/>
          <w:sz w:val="24"/>
        </w:rPr>
        <w:t>2.2 Cross-Border Tourism Collaboration</w:t>
      </w:r>
    </w:p>
    <w:p>
      <w:r>
        <w:rPr>
          <w:rFonts w:ascii="Times New Roman" w:hAnsi="Times New Roman" w:eastAsia="Times New Roman"/>
          <w:sz w:val="24"/>
        </w:rPr>
        <w:t>Cross-border corridors leverage complementary assets, shared heritage, and networked infrastructure. Within the EU, programs such as Interreg have catalyzed transnational trails, thematic routes, and joint destination brands. The benefits include diversified markets, reduced seasonality, and coordinated resource management. For Slovenia and Croatia—now both within the Schengen Area—the removal of routine border checks simplifies visitor itineraries and operational logistics. However, effective corridors require clear governance agreements, compatible quality standards, and integrated marketing so that travelers perceive one seamless experience rather than two adjacent destinations.</w:t>
      </w:r>
    </w:p>
    <w:p>
      <w:pPr>
        <w:pStyle w:val="Heading2"/>
      </w:pPr>
      <w:r>
        <w:rPr>
          <w:rFonts w:ascii="Times New Roman" w:hAnsi="Times New Roman" w:eastAsia="Times New Roman"/>
          <w:sz w:val="24"/>
        </w:rPr>
        <w:t>2.3 Business Communication in International Partnerships</w:t>
      </w:r>
    </w:p>
    <w:p>
      <w:r>
        <w:rPr>
          <w:rFonts w:ascii="Times New Roman" w:hAnsi="Times New Roman" w:eastAsia="Times New Roman"/>
          <w:sz w:val="24"/>
        </w:rPr>
        <w:t>Successful transboundary projects depend as much on communication as on infrastructure. Business English operates as a neutral lingua franca, but persuasion still hinges on cultural sensitivity, transparent risk framing, and value alignment. Stakeholders—ministries, municipalities, SMEs, and investors—expect concise proposals backed by data, but also narratives that articulate social and environmental benefits. Applying professional tone, signposting, and evidence-based claims builds trust across jurisdictions and mitigates misunderstandings.</w:t>
      </w:r>
    </w:p>
    <w:p>
      <w:pPr>
        <w:pStyle w:val="Heading2"/>
      </w:pPr>
      <w:r>
        <w:rPr>
          <w:rFonts w:ascii="Times New Roman" w:hAnsi="Times New Roman" w:eastAsia="Times New Roman"/>
          <w:sz w:val="24"/>
        </w:rPr>
        <w:t>2.4 Cultural Sensitivity and Language Considerations</w:t>
      </w:r>
    </w:p>
    <w:p>
      <w:r>
        <w:rPr>
          <w:rFonts w:ascii="Times New Roman" w:hAnsi="Times New Roman" w:eastAsia="Times New Roman"/>
          <w:sz w:val="24"/>
        </w:rPr>
        <w:t>Although Slovenian and Croatian share South Slavic roots, preferred communication styles can differ. Slovene business culture often prizes thorough preparation and environmental stewardship, while Croatian counterparts emphasize hospitality, entrepreneurial dynamism, and visitor satisfaction. A corridor brand must honor both identities. Using English for joint documents and bilingual delivery for guest-facing materials balances international accessibility with local authenticity.</w:t>
      </w:r>
    </w:p>
    <w:p>
      <w:pPr>
        <w:pStyle w:val="Heading2"/>
      </w:pPr>
      <w:r>
        <w:rPr>
          <w:rFonts w:ascii="Times New Roman" w:hAnsi="Times New Roman" w:eastAsia="Times New Roman"/>
          <w:sz w:val="24"/>
        </w:rPr>
        <w:t>2.5 EU Policy Framework and Sustainability Standards</w:t>
      </w:r>
    </w:p>
    <w:p>
      <w:r>
        <w:rPr>
          <w:rFonts w:ascii="Times New Roman" w:hAnsi="Times New Roman" w:eastAsia="Times New Roman"/>
          <w:sz w:val="24"/>
        </w:rPr>
        <w:t>The corridor aligns with the European Green Deal’s climate goals, the EU Biodiversity Strategy, and cohesion policy priorities that support low-carbon mobility and rural development. Funding avenues include Interreg Central Europe, Interreg Danube, and cohesion funds earmarked for green infrastructure, cultural routes, and skills. Adoption of recognised sustainability labels—such as the EU Ecolabel for accommodations, GSTC-aligned destination criteria, and cycle route standards (EuroVelo compatibility)—would embed quality assurance while signaling credibility to tour operators.</w:t>
      </w:r>
    </w:p>
    <w:p>
      <w:pPr>
        <w:pStyle w:val="Heading1"/>
      </w:pPr>
      <w:r>
        <w:rPr>
          <w:rFonts w:ascii="Times New Roman" w:hAnsi="Times New Roman" w:eastAsia="Times New Roman"/>
          <w:sz w:val="24"/>
        </w:rPr>
        <w:t>3. Methodology</w:t>
      </w:r>
    </w:p>
    <w:p>
      <w:r>
        <w:rPr>
          <w:rFonts w:ascii="Times New Roman" w:hAnsi="Times New Roman" w:eastAsia="Times New Roman"/>
          <w:sz w:val="24"/>
        </w:rPr>
        <w:t>A pragmatic, consultancy-style methodology guided project design:</w:t>
        <w:br/>
        <w:t>1) Situational Analysis: Supply mapping of spa facilities, trails, protected areas, and access nodes (railheads, greenways). Demand review considered source markets in Germany, Austria, and Italy, plus regional domestic segments.</w:t>
        <w:br/>
        <w:t>2) Stakeholder Mapping: Identification of ministries, regional tourism boards, chambers of commerce, spa associations, adventure operators, and conservation NGOs. Influence–interest matrices informed engagement priorities.</w:t>
        <w:br/>
        <w:t>3) Concept Co-Design: Workshops with operators to define packages that combine wellness (thermal, yoga, slow food) and adventure (cycling, hiking, kayaking), with accessibility standards for diverse ages and abilities.</w:t>
        <w:br/>
        <w:t>4) Communication Planning: Development of a brand narrative, tone of voice, and bilingual assets. Application of AIDA (Attention–Interest–Desire–Action) to campaign funnels and stakeholder messaging.</w:t>
        <w:br/>
        <w:t>5) Feasibility and Risk Review: Scenario analysis for demand, costs, and phasing; regulatory due diligence; and a risk register covering funding, seasonality, safety, and cross-cultural workflows.</w:t>
        <w:br/>
        <w:t>6) Benchmarking: Comparative scan of Alpine–Adriatic routes, EuroVelo segments, and spa clusters to calibrate standards and pricing.</w:t>
        <w:br/>
        <w:t>7) Monitoring &amp; Evaluation (M&amp;E): Definition of KPIs (average length of stay, occupancy in shoulder seasons, visitor satisfaction, local procurement share, and carbon per trip) with a data-sharing protocol across borders.</w:t>
      </w:r>
    </w:p>
    <w:p>
      <w:pPr>
        <w:pStyle w:val="Heading1"/>
      </w:pPr>
      <w:r>
        <w:rPr>
          <w:rFonts w:ascii="Times New Roman" w:hAnsi="Times New Roman" w:eastAsia="Times New Roman"/>
          <w:sz w:val="24"/>
        </w:rPr>
        <w:t>4. Findings</w:t>
      </w:r>
    </w:p>
    <w:p>
      <w:pPr>
        <w:pStyle w:val="Heading2"/>
      </w:pPr>
      <w:r>
        <w:rPr>
          <w:rFonts w:ascii="Times New Roman" w:hAnsi="Times New Roman" w:eastAsia="Times New Roman"/>
          <w:sz w:val="24"/>
        </w:rPr>
        <w:t>4.1 Strategic Rationale</w:t>
      </w:r>
    </w:p>
    <w:p>
      <w:r>
        <w:rPr>
          <w:rFonts w:ascii="Times New Roman" w:hAnsi="Times New Roman" w:eastAsia="Times New Roman"/>
          <w:sz w:val="24"/>
        </w:rPr>
        <w:t>The corridor’s core advantage is synergy: Slovenia’s wellness reputation and Croatia’s adventure assets combine into a distinctive proposition for health-oriented, nature-seeking travelers. By offering curated multi-day journeys that blend gentle exertion with recovery, the corridor differentiates itself from pure beach or pure spa offers. It also supports rural regeneration by channeling visitor flows beyond iconic hotspots into lesser-known towns and villages.</w:t>
      </w:r>
    </w:p>
    <w:p>
      <w:pPr>
        <w:pStyle w:val="Heading2"/>
      </w:pPr>
      <w:r>
        <w:rPr>
          <w:rFonts w:ascii="Times New Roman" w:hAnsi="Times New Roman" w:eastAsia="Times New Roman"/>
          <w:sz w:val="24"/>
        </w:rPr>
        <w:t>4.2 Project Overview and Route Logic</w:t>
      </w:r>
    </w:p>
    <w:p>
      <w:r>
        <w:rPr>
          <w:rFonts w:ascii="Times New Roman" w:hAnsi="Times New Roman" w:eastAsia="Times New Roman"/>
          <w:sz w:val="24"/>
        </w:rPr>
        <w:t>The indicative 250-kilometer route begins at Moravske Toplice and Ptuj (Slovenia), follows the Mura and Drava river corridors toward Međimurje (Croatia), connects south to Lika—linking to Plitvice Lakes National Park—and concludes on Krk Island’s adventure nodes. The design principle is modularity: visitors can book 3-, 5-, or 7-night itineraries with daily choices between ‘active’ (cycling, hiking, kayaking) and ‘restore’ (thermal spa, yoga, mindfulness, forest bathing) tracks. Luggage transfers, e-bike rentals, and bilingual guides reduce friction.</w:t>
      </w:r>
    </w:p>
    <w:p>
      <w:pPr>
        <w:pStyle w:val="Heading2"/>
      </w:pPr>
      <w:r>
        <w:rPr>
          <w:rFonts w:ascii="Times New Roman" w:hAnsi="Times New Roman" w:eastAsia="Times New Roman"/>
          <w:sz w:val="24"/>
        </w:rPr>
        <w:t>4.3 Objectives</w:t>
      </w:r>
    </w:p>
    <w:p>
      <w:r>
        <w:rPr>
          <w:rFonts w:ascii="Times New Roman" w:hAnsi="Times New Roman" w:eastAsia="Times New Roman"/>
          <w:sz w:val="24"/>
        </w:rPr>
        <w:t>• Build a recognized cross-border brand with high satisfaction scores (&gt;4.6/5) in year two.</w:t>
        <w:br/>
        <w:t>• Raise average length of stay from ~2.5 to ~5.0 nights for targeted segments by year three.</w:t>
        <w:br/>
        <w:t>• Generate inclusive employment (350 direct + 500 indirect jobs across both countries within three years).</w:t>
        <w:br/>
        <w:t>• Reduce seasonality by achieving at least 35% of visits in shoulder months (April–June; September–November).</w:t>
        <w:br/>
        <w:t>• Keep trip-level carbon intensity below benchmarked alternatives via rail access, e-biking, and local sourcing.</w:t>
        <w:br/>
      </w:r>
    </w:p>
    <w:p>
      <w:pPr>
        <w:pStyle w:val="Heading2"/>
      </w:pPr>
      <w:r>
        <w:rPr>
          <w:rFonts w:ascii="Times New Roman" w:hAnsi="Times New Roman" w:eastAsia="Times New Roman"/>
          <w:sz w:val="24"/>
        </w:rPr>
        <w:t>4.4 Target Markets</w:t>
      </w:r>
    </w:p>
    <w:p>
      <w:r>
        <w:rPr>
          <w:rFonts w:ascii="Times New Roman" w:hAnsi="Times New Roman" w:eastAsia="Times New Roman"/>
          <w:sz w:val="24"/>
        </w:rPr>
        <w:t>Primary: 30–55-year-old health-conscious professionals from Germany, Austria, and Italy seeking balanced itineraries; Secondary: digitally enabled adventure travelers and couples prioritizing eco-friendly stays; Tertiary: domestic weekenders from Slovenia and Croatia who value premium-yet-local experiences. Product-market fit is underpinned by proximity, Schengen fluidity, and rail connectivity from Munich, Vienna, and Milan.</w:t>
      </w:r>
    </w:p>
    <w:p>
      <w:pPr>
        <w:pStyle w:val="Heading2"/>
      </w:pPr>
      <w:r>
        <w:rPr>
          <w:rFonts w:ascii="Times New Roman" w:hAnsi="Times New Roman" w:eastAsia="Times New Roman"/>
          <w:sz w:val="24"/>
        </w:rPr>
        <w:t>4.5 Financial Overview</w:t>
      </w:r>
    </w:p>
    <w:p>
      <w:r>
        <w:rPr>
          <w:rFonts w:ascii="Times New Roman" w:hAnsi="Times New Roman" w:eastAsia="Times New Roman"/>
          <w:sz w:val="24"/>
        </w:rPr>
        <w:t>Startup costs are estimated at €12.5 million across brand development, wayfinding, trail upgrades, training, and a three-year integrated marketing campaign. Revenue will initially derive from package sales (B2C), allocations via tour operators (B2B), and destination partnerships. Conservative modeling anticipates a 14% ROI at year five, assuming average spend per visitor of €160/day, 4.8-night stays, and progressive occupancy growth from 35% to 55% across seasons. A blended finance approach—Interreg grants, municipal co-funding, and private equity—mitigates upfront risk.</w:t>
      </w:r>
    </w:p>
    <w:p>
      <w:pPr>
        <w:pStyle w:val="Heading2"/>
      </w:pPr>
      <w:r>
        <w:rPr>
          <w:rFonts w:ascii="Times New Roman" w:hAnsi="Times New Roman" w:eastAsia="Times New Roman"/>
          <w:sz w:val="24"/>
        </w:rPr>
        <w:t>4.6 Governance and Operations</w:t>
      </w:r>
    </w:p>
    <w:p>
      <w:r>
        <w:rPr>
          <w:rFonts w:ascii="Times New Roman" w:hAnsi="Times New Roman" w:eastAsia="Times New Roman"/>
          <w:sz w:val="24"/>
        </w:rPr>
        <w:t>A joint Steering Committee will set standards, approve budgets, and monitor KPIs, supported by a bi-national Project Management Unit (PMU) responsible for product development, training, and M&amp;E. Quality charters will codify safety, interpretation, accessibility, and sustainability norms for participating operators. A shared booking platform will manage inventory across borders while allowing local providers to retain identity and pricing autonomy.</w:t>
      </w:r>
    </w:p>
    <w:p>
      <w:pPr>
        <w:pStyle w:val="Heading2"/>
      </w:pPr>
      <w:r>
        <w:rPr>
          <w:rFonts w:ascii="Times New Roman" w:hAnsi="Times New Roman" w:eastAsia="Times New Roman"/>
          <w:sz w:val="24"/>
        </w:rPr>
        <w:t>4.7 Project Timeline and Implementation Phases</w:t>
      </w:r>
    </w:p>
    <w:p>
      <w:r>
        <w:rPr>
          <w:rFonts w:ascii="Times New Roman" w:hAnsi="Times New Roman" w:eastAsia="Times New Roman"/>
          <w:sz w:val="24"/>
        </w:rPr>
        <w:t>Phase 1 (Q1–Q4 2026) – Pilot &amp; Infrastructure: finalize governance; secure funding; complete priority trail links; onboard 20 flagship partners; launch soft-opening marketing.</w:t>
        <w:br/>
        <w:t>Phase 2 (2027) – Scale &amp; Certification: expand to 50+ partners; roll out GSTC-aligned destination practices; integrate rail and e-bike hubs; commission brand photography and multilingual content.</w:t>
        <w:br/>
        <w:t>Phase 3 (2028) – Market Consolidation: deepen B2B distribution; package variants for families and seniors; introduce wellness residencies with local practitioners; implement dynamic pricing.</w:t>
        <w:br/>
        <w:t>Phase 4 (2029) – Innovation &amp; Replication: trial nature-positive investments (habitat restoration linked to bookings); explore extensions toward Istria and the Sava Valley; publish annual impact reports.</w:t>
      </w:r>
    </w:p>
    <w:p>
      <w:pPr>
        <w:pStyle w:val="Heading2"/>
      </w:pPr>
      <w:r>
        <w:rPr>
          <w:rFonts w:ascii="Times New Roman" w:hAnsi="Times New Roman" w:eastAsia="Times New Roman"/>
          <w:sz w:val="24"/>
        </w:rPr>
        <w:t>4.8 Sample Stakeholder Email (Appendix A)</w:t>
      </w:r>
    </w:p>
    <w:p>
      <w:r>
        <w:rPr>
          <w:rFonts w:ascii="Times New Roman" w:hAnsi="Times New Roman" w:eastAsia="Times New Roman"/>
          <w:sz w:val="24"/>
        </w:rPr>
        <w:t>A concise, courteous email template fosters early buy-in. The model provided in Appendix A demonstrates tone, structure, and clarity for outreach to Croatian and Slovenian partners.</w:t>
      </w:r>
    </w:p>
    <w:p>
      <w:pPr>
        <w:pStyle w:val="Heading1"/>
      </w:pPr>
      <w:r>
        <w:rPr>
          <w:rFonts w:ascii="Times New Roman" w:hAnsi="Times New Roman" w:eastAsia="Times New Roman"/>
          <w:sz w:val="24"/>
        </w:rPr>
        <w:t>5. Discussion</w:t>
      </w:r>
    </w:p>
    <w:p>
      <w:pPr>
        <w:pStyle w:val="Heading2"/>
      </w:pPr>
      <w:r>
        <w:rPr>
          <w:rFonts w:ascii="Times New Roman" w:hAnsi="Times New Roman" w:eastAsia="Times New Roman"/>
          <w:sz w:val="24"/>
        </w:rPr>
        <w:t>5.1 Persuasive Communication Strategy</w:t>
      </w:r>
    </w:p>
    <w:p>
      <w:r>
        <w:rPr>
          <w:rFonts w:ascii="Times New Roman" w:hAnsi="Times New Roman" w:eastAsia="Times New Roman"/>
          <w:sz w:val="24"/>
        </w:rPr>
        <w:t>The communication strategy balances evidence and emotion. Data-driven claims (KPIs, ROI ranges, carbon metrics) anchor credibility, while narrative elements—stories of river corridors, thermal traditions, and borderland culture—invite imagination. Applying AIDA, the brand garners Attention through immersive visuals; sustains Interest with modular itineraries; builds Desire via wellness–adventure balance; and drives Action through frictionless booking and clear value.</w:t>
      </w:r>
    </w:p>
    <w:p>
      <w:pPr>
        <w:pStyle w:val="Heading2"/>
      </w:pPr>
      <w:r>
        <w:rPr>
          <w:rFonts w:ascii="Times New Roman" w:hAnsi="Times New Roman" w:eastAsia="Times New Roman"/>
          <w:sz w:val="24"/>
        </w:rPr>
        <w:t>5.2 Intercultural Collaboration</w:t>
      </w:r>
    </w:p>
    <w:p>
      <w:r>
        <w:rPr>
          <w:rFonts w:ascii="Times New Roman" w:hAnsi="Times New Roman" w:eastAsia="Times New Roman"/>
          <w:sz w:val="24"/>
        </w:rPr>
        <w:t>Hofstede-derived insights highlight potential divergences in uncertainty tolerance and decision speed. The corridor’s governance design therefore emphasizes transparent documentation, predictable timelines, and shared training. Regular intercultural workshops—co-facilitated by Slovene and Croatian trainers—normalize feedback loops and de-escalate issues before they become conflicts.</w:t>
      </w:r>
    </w:p>
    <w:p>
      <w:pPr>
        <w:pStyle w:val="Heading2"/>
      </w:pPr>
      <w:r>
        <w:rPr>
          <w:rFonts w:ascii="Times New Roman" w:hAnsi="Times New Roman" w:eastAsia="Times New Roman"/>
          <w:sz w:val="24"/>
        </w:rPr>
        <w:t>5.3 Risk Management and Operational Challenges</w:t>
      </w:r>
    </w:p>
    <w:p>
      <w:r>
        <w:rPr>
          <w:rFonts w:ascii="Times New Roman" w:hAnsi="Times New Roman" w:eastAsia="Times New Roman"/>
          <w:sz w:val="24"/>
        </w:rPr>
        <w:t>Risks include regulatory misalignment, funding delays, weather volatility, and safety incidents. Mitigation comprises: (a) legal review and MOUs aligning standards; (b) phased funding with contingency reserves; (c) climate-adaptive calendar planning; and (d) robust safety protocols with bilingual incident reporting. A central risk register—owned by the PMU—tracks probability, impact, and owner, reviewed quarterly by the Steering Committee.</w:t>
      </w:r>
    </w:p>
    <w:p>
      <w:pPr>
        <w:pStyle w:val="Heading2"/>
      </w:pPr>
      <w:r>
        <w:rPr>
          <w:rFonts w:ascii="Times New Roman" w:hAnsi="Times New Roman" w:eastAsia="Times New Roman"/>
          <w:sz w:val="24"/>
        </w:rPr>
        <w:t>5.4 Marketing and Branding Approach</w:t>
      </w:r>
    </w:p>
    <w:p>
      <w:r>
        <w:rPr>
          <w:rFonts w:ascii="Times New Roman" w:hAnsi="Times New Roman" w:eastAsia="Times New Roman"/>
          <w:sz w:val="24"/>
        </w:rPr>
        <w:t>The “WellAdriatic” brand expresses balance between body and nature. Visual identity uses riverine and island motifs; tone of voice is calm, clear, and welcoming. Channels include owned media (website, newsletter), earned media (press trips), and paid social with lookalike audiences in DACH and Northern Italy. Partnerships with rail providers and wellness influencers support performance marketing. Content pillars: ‘Move’ (adventure diaries), ‘Restore’ (spa and mindfulness), and ‘Belong’ (local culture, food, festivals).</w:t>
      </w:r>
    </w:p>
    <w:p>
      <w:pPr>
        <w:pStyle w:val="Heading2"/>
      </w:pPr>
      <w:r>
        <w:rPr>
          <w:rFonts w:ascii="Times New Roman" w:hAnsi="Times New Roman" w:eastAsia="Times New Roman"/>
          <w:sz w:val="24"/>
        </w:rPr>
        <w:t>5.5 Socioeconomic and Environmental Benefits</w:t>
      </w:r>
    </w:p>
    <w:p>
      <w:r>
        <w:rPr>
          <w:rFonts w:ascii="Times New Roman" w:hAnsi="Times New Roman" w:eastAsia="Times New Roman"/>
          <w:sz w:val="24"/>
        </w:rPr>
        <w:t>Local multipliers unfold via jobs in guiding, hospitality, rentals, and food supply chains. Procurement policies that favor regional producers raise farm-gate incomes and reduce transport emissions. Environmentally, the corridor privileges e-bikes, rail access, and energy-efficient accommodations; nature-positive actions—trail restoration, invasive-species control, and visitor education—link guest spending to habitat quality. An inclusion plan ensures access for women, youth, and rural entrepreneurs through training scholarships and micro-grants.</w:t>
      </w:r>
    </w:p>
    <w:p>
      <w:pPr>
        <w:pStyle w:val="Heading2"/>
      </w:pPr>
      <w:r>
        <w:rPr>
          <w:rFonts w:ascii="Times New Roman" w:hAnsi="Times New Roman" w:eastAsia="Times New Roman"/>
          <w:sz w:val="24"/>
        </w:rPr>
        <w:t>5.6 Business English as a Strategic Tool</w:t>
      </w:r>
    </w:p>
    <w:p>
      <w:r>
        <w:rPr>
          <w:rFonts w:ascii="Times New Roman" w:hAnsi="Times New Roman" w:eastAsia="Times New Roman"/>
          <w:sz w:val="24"/>
        </w:rPr>
        <w:t>Business English enables clarity without flattening cultural richness. Style guidelines call for concise sentences, consistent terminology, and positive framing. Templates for memos, briefing notes, and MOUs reduce ambiguity. Bilingual guest materials signal respect and enhance service quality, while English remains the backbone for investor communication and cross-border coordination.</w:t>
      </w:r>
    </w:p>
    <w:p>
      <w:pPr>
        <w:pStyle w:val="Heading2"/>
      </w:pPr>
      <w:r>
        <w:rPr>
          <w:rFonts w:ascii="Times New Roman" w:hAnsi="Times New Roman" w:eastAsia="Times New Roman"/>
          <w:sz w:val="24"/>
        </w:rPr>
        <w:t>5.7 Stakeholder Communication and Ethical Considerations</w:t>
      </w:r>
    </w:p>
    <w:p>
      <w:r>
        <w:rPr>
          <w:rFonts w:ascii="Times New Roman" w:hAnsi="Times New Roman" w:eastAsia="Times New Roman"/>
          <w:sz w:val="24"/>
        </w:rPr>
        <w:t>Ethical communication avoids over-claiming impacts, foregrounds community consent, and discloses risks. Imagery policies eschew stereotyping and ensure representation. Data privacy for guest analytics follows GDPR. Transparent pricing and complaints handling bolster trust. A Code of Conduct for partners establishes zero tolerance for discrimination, harassment, or greenwashing, with audit mechanisms and corrective actions.</w:t>
      </w:r>
    </w:p>
    <w:p>
      <w:pPr>
        <w:pStyle w:val="Heading1"/>
      </w:pPr>
      <w:r>
        <w:rPr>
          <w:rFonts w:ascii="Times New Roman" w:hAnsi="Times New Roman" w:eastAsia="Times New Roman"/>
          <w:sz w:val="24"/>
        </w:rPr>
        <w:t>6. Conclusion</w:t>
      </w:r>
    </w:p>
    <w:p>
      <w:r>
        <w:rPr>
          <w:rFonts w:ascii="Times New Roman" w:hAnsi="Times New Roman" w:eastAsia="Times New Roman"/>
          <w:sz w:val="24"/>
        </w:rPr>
        <w:t>The Transboundary Wellness and Adventure Tourism Corridor offers a timely, credible strategy to reimagine cross-border tourism between Slovenia and Croatia. By uniting wellness traditions with soft-adventure in nature-forward settings, the initiative meets emerging traveler values and EU sustainability imperatives. With phased implementation, disciplined governance, and ethical communication, the corridor can lengthen stays, distribute benefits to rural communities, and protect the very landscapes that attract visitors. The next steps are clear: finalize governance instruments, mobilize a blended finance package, execute a pilot in 2026, and scale with learning—publishing annual impact reports to maintain accountability and stakeholder confidence.</w:t>
      </w:r>
    </w:p>
    <w:p>
      <w:pPr>
        <w:pStyle w:val="Heading1"/>
      </w:pPr>
      <w:r>
        <w:rPr>
          <w:rFonts w:ascii="Times New Roman" w:hAnsi="Times New Roman" w:eastAsia="Times New Roman"/>
          <w:sz w:val="24"/>
        </w:rPr>
        <w:t>7. References</w:t>
      </w:r>
    </w:p>
    <w:p>
      <w:r>
        <w:rPr>
          <w:rFonts w:ascii="Times New Roman" w:hAnsi="Times New Roman" w:eastAsia="Times New Roman"/>
          <w:sz w:val="24"/>
        </w:rPr>
        <w:t>Brown, L. (2022). Sustainable tourism corridors in Central Europe. European Tourism Review, 18(3), 112–130.</w:t>
      </w:r>
    </w:p>
    <w:p>
      <w:r>
        <w:rPr>
          <w:rFonts w:ascii="Times New Roman" w:hAnsi="Times New Roman" w:eastAsia="Times New Roman"/>
          <w:sz w:val="24"/>
        </w:rPr>
        <w:t>European Commission. (2021). The European Green Deal and tourism: Pathways for low-carbon travel. Brussels: Publications Office of the European Union.</w:t>
      </w:r>
    </w:p>
    <w:p>
      <w:r>
        <w:rPr>
          <w:rFonts w:ascii="Times New Roman" w:hAnsi="Times New Roman" w:eastAsia="Times New Roman"/>
          <w:sz w:val="24"/>
        </w:rPr>
        <w:t>Petrović, M., &amp; Novak, A. (2021). Cross-border partnerships in the Adriatic region. Journal of Tourism Development, 9(2), 45–59.</w:t>
      </w:r>
    </w:p>
    <w:p>
      <w:r>
        <w:rPr>
          <w:rFonts w:ascii="Times New Roman" w:hAnsi="Times New Roman" w:eastAsia="Times New Roman"/>
          <w:sz w:val="24"/>
        </w:rPr>
        <w:t>Richards, G. (2023). The future of wellness and adventure travel. Global Travel Insights, 14(1), 87–102.</w:t>
      </w:r>
    </w:p>
    <w:p>
      <w:r>
        <w:rPr>
          <w:rFonts w:ascii="Times New Roman" w:hAnsi="Times New Roman" w:eastAsia="Times New Roman"/>
          <w:sz w:val="24"/>
        </w:rPr>
        <w:t>Smith, H., &amp; Müller, T. (2020). Business English in international tourism communication. Oxford Business Press.</w:t>
      </w:r>
    </w:p>
    <w:p>
      <w:r>
        <w:rPr>
          <w:rFonts w:ascii="Times New Roman" w:hAnsi="Times New Roman" w:eastAsia="Times New Roman"/>
          <w:sz w:val="24"/>
        </w:rPr>
        <w:t>UN Tourism (UNWTO). (2022). Regional cooperation models in sustainable tourism. Madrid: UNWTO Publications.</w:t>
      </w:r>
    </w:p>
    <w:p>
      <w:r>
        <w:rPr>
          <w:rFonts w:ascii="Times New Roman" w:hAnsi="Times New Roman" w:eastAsia="Times New Roman"/>
          <w:sz w:val="24"/>
        </w:rPr>
        <w:t>World Travel &amp; Tourism Council. (2023). Signals of recovery: Demand shifts toward wellness and nature. WTTC Research Series.</w:t>
      </w:r>
    </w:p>
    <w:p>
      <w:pPr>
        <w:pStyle w:val="Heading1"/>
      </w:pPr>
      <w:r>
        <w:rPr>
          <w:rFonts w:ascii="Times New Roman" w:hAnsi="Times New Roman" w:eastAsia="Times New Roman"/>
          <w:sz w:val="24"/>
        </w:rPr>
        <w:t>Appendix A: Sample Stakeholder Email</w:t>
      </w:r>
    </w:p>
    <w:p>
      <w:r>
        <w:rPr>
          <w:rFonts w:ascii="Times New Roman" w:hAnsi="Times New Roman" w:eastAsia="Times New Roman"/>
          <w:sz w:val="24"/>
        </w:rPr>
        <w:t>To: Mr. Luka Kovačević, Director, Croatian Tourism Development Board</w:t>
        <w:br/>
        <w:t>From: Ms. Ana Novak, Project Lead, Slovenian Tourism Innovation Council</w:t>
        <w:br/>
        <w:t>Subject: Proposal for Cross-Border Partnership Meeting – “WellAdriatic Corridor” Initiative</w:t>
        <w:br/>
        <w:br/>
        <w:t>Dear Mr. Kovačević,</w:t>
        <w:br/>
        <w:br/>
        <w:t>I hope this message finds you well. Following our recent exchanges on cross-border wellness tourism, I am pleased to share the refined concept of the WellAdriatic Corridor—an initiative integrating Slovenia’s wellness resorts with Croatia’s adventure destinations under a joint sustainability charter.</w:t>
        <w:br/>
        <w:br/>
        <w:t>We see a strategic opportunity to diversify regional tourism, attract higher-value markets, and position our shared border as a European model for low-impact, nature-positive travel. Could we schedule an initial partnership meeting in Ljubljana during the first week of November to review the implementation roadmap and explore funding options? Please let me know your availability.</w:t>
        <w:br/>
        <w:br/>
        <w:t>Warm regards,</w:t>
        <w:br/>
        <w:t>Ana Novak</w:t>
        <w:br/>
        <w:t>Project Lead – WellAdriatic Initiative</w:t>
        <w:br/>
        <w:t>Slovenian Tourism Innovation Council</w:t>
        <w:br/>
        <w:t>Email: ana.novak@stic.si</w:t>
      </w:r>
    </w:p>
    <w:p>
      <w:pPr>
        <w:pStyle w:val="Heading1"/>
      </w:pPr>
      <w:r>
        <w:rPr>
          <w:rFonts w:ascii="Times New Roman" w:hAnsi="Times New Roman" w:eastAsia="Times New Roman"/>
          <w:sz w:val="24"/>
        </w:rPr>
        <w:t>8. Extended Business Case and Implementation Detail</w:t>
      </w:r>
    </w:p>
    <w:p>
      <w:pPr>
        <w:pStyle w:val="Heading2"/>
      </w:pPr>
      <w:r>
        <w:rPr>
          <w:rFonts w:ascii="Times New Roman" w:hAnsi="Times New Roman" w:eastAsia="Times New Roman"/>
          <w:sz w:val="24"/>
        </w:rPr>
        <w:t>8.1 Market Sizing and Demand Projections</w:t>
      </w:r>
    </w:p>
    <w:p>
      <w:r>
        <w:rPr>
          <w:rFonts w:ascii="Times New Roman" w:hAnsi="Times New Roman" w:eastAsia="Times New Roman"/>
          <w:sz w:val="24"/>
        </w:rPr>
        <w:t>A conservative base-case model assumes 22,000 corridor visitors in year one of full operation (2027), rising to 38,000 by 2029 as distribution matures. Penetration targets are calibrated against inbound flows from Germany, Austria, and Italy, focusing on wellness–adventure niches with higher daily spend. Sensitivity analysis accounts for exchange rate shifts and fuel price volatility that could influence cross-border travel by car versus rail. The rail-linked, e-bike-enabled design hedges against energy price shocks while aligning with consumer preferences for lower-carbon travel.</w:t>
      </w:r>
    </w:p>
    <w:p>
      <w:pPr>
        <w:pStyle w:val="Heading2"/>
      </w:pPr>
      <w:r>
        <w:rPr>
          <w:rFonts w:ascii="Times New Roman" w:hAnsi="Times New Roman" w:eastAsia="Times New Roman"/>
          <w:sz w:val="24"/>
        </w:rPr>
        <w:t>8.2 Pricing Strategy and Revenue Mix</w:t>
      </w:r>
    </w:p>
    <w:p>
      <w:r>
        <w:rPr>
          <w:rFonts w:ascii="Times New Roman" w:hAnsi="Times New Roman" w:eastAsia="Times New Roman"/>
          <w:sz w:val="24"/>
        </w:rPr>
        <w:t>Indicative package pricing: €890–€1,050 for 5-night ‘Balance’ itineraries (e-bike + spa), €640–€760 for 3-night weekend getaways, and €1,450–€1,650 for 7-night premium packages with private guiding. Ancillary revenues derive from equipment rentals, wellness residencies, and themed culinary evenings. Rate fencing differentiates advance-purchase discounts from flex rates to manage seasonality, with value-adds (e.g., free thermal access) instead of broad discounts to protect ADR.</w:t>
      </w:r>
    </w:p>
    <w:p>
      <w:pPr>
        <w:pStyle w:val="Heading2"/>
      </w:pPr>
      <w:r>
        <w:rPr>
          <w:rFonts w:ascii="Times New Roman" w:hAnsi="Times New Roman" w:eastAsia="Times New Roman"/>
          <w:sz w:val="24"/>
        </w:rPr>
        <w:t>8.3 Accessibility and Inclusivity by Design</w:t>
      </w:r>
    </w:p>
    <w:p>
      <w:r>
        <w:rPr>
          <w:rFonts w:ascii="Times New Roman" w:hAnsi="Times New Roman" w:eastAsia="Times New Roman"/>
          <w:sz w:val="24"/>
        </w:rPr>
        <w:t>Universal design principles underpin product development. Wayfinding adopts high-contrast signage and QR-linked audio guides in English, Slovenian, and Croatian. Selected trails include surface improvements and gradient caps for guests with mobility constraints, and spas provide accessible changing facilities. Training modules address inclusive service for seniors, solo women travelers, LGBTQ+ guests, and families with young children. Inclusivity is positioned not as a compliance checkbox but as a market differentiator and ethical commitment.</w:t>
      </w:r>
    </w:p>
    <w:p>
      <w:pPr>
        <w:pStyle w:val="Heading2"/>
      </w:pPr>
      <w:r>
        <w:rPr>
          <w:rFonts w:ascii="Times New Roman" w:hAnsi="Times New Roman" w:eastAsia="Times New Roman"/>
          <w:sz w:val="24"/>
        </w:rPr>
        <w:t>8.4 Safety, Liability, and Incident Management</w:t>
      </w:r>
    </w:p>
    <w:p>
      <w:r>
        <w:rPr>
          <w:rFonts w:ascii="Times New Roman" w:hAnsi="Times New Roman" w:eastAsia="Times New Roman"/>
          <w:sz w:val="24"/>
        </w:rPr>
        <w:t>Safety protocols follow ISO-aligned adventure standards, with daily equipment checks, weather-trigger thresholds for activity closure, and bilingual briefings. A cross-border Memorandum of Understanding defines responsibilities for guides, operators, and the PMU. Incident Command System (ICS) light procedures standardize reporting and escalation. Insurance coverage includes public liability, professional indemnity for guides, and guest medical coverage options. Annual drills with local emergency services maintain readiness.</w:t>
      </w:r>
    </w:p>
    <w:p>
      <w:pPr>
        <w:pStyle w:val="Heading2"/>
      </w:pPr>
      <w:r>
        <w:rPr>
          <w:rFonts w:ascii="Times New Roman" w:hAnsi="Times New Roman" w:eastAsia="Times New Roman"/>
          <w:sz w:val="24"/>
        </w:rPr>
        <w:t>8.5 Digital Platform and Customer Journey</w:t>
      </w:r>
    </w:p>
    <w:p>
      <w:r>
        <w:rPr>
          <w:rFonts w:ascii="Times New Roman" w:hAnsi="Times New Roman" w:eastAsia="Times New Roman"/>
          <w:sz w:val="24"/>
        </w:rPr>
        <w:t>A unified booking engine aggregates inventory across partners and supports dynamic packaging. The customer journey starts with discovery via social and rail-partner channels, proceeds to a content-rich landing page with clear itineraries and availability, and concludes with payment and pre-trip onboarding (packing lists, route maps, spa etiquette). In-destination support comes via a multilingual app delivering navigation, activity check-ins, and real-time updates. Post-trip, automated NPS surveys feed an analytics dashboard to drive continuous improvement.</w:t>
      </w:r>
    </w:p>
    <w:p>
      <w:pPr>
        <w:pStyle w:val="Heading2"/>
      </w:pPr>
      <w:r>
        <w:rPr>
          <w:rFonts w:ascii="Times New Roman" w:hAnsi="Times New Roman" w:eastAsia="Times New Roman"/>
          <w:sz w:val="24"/>
        </w:rPr>
        <w:t>8.6 Human Resources and Training Curriculum</w:t>
      </w:r>
    </w:p>
    <w:p>
      <w:r>
        <w:rPr>
          <w:rFonts w:ascii="Times New Roman" w:hAnsi="Times New Roman" w:eastAsia="Times New Roman"/>
          <w:sz w:val="24"/>
        </w:rPr>
        <w:t>A modular curriculum covers safety, interpretation, intercultural communication, accessibility, nature-positive practices, and service recovery. Partnerships with vocational colleges in Maribor and Rijeka enable micro-credentials co-branded by the corridor. Seasonal staff pipelines draw from local communities, with scholarships for underrepresented groups. Stipends encourage language upskilling (English/German/Italian) for front-line staff.</w:t>
      </w:r>
    </w:p>
    <w:p>
      <w:pPr>
        <w:pStyle w:val="Heading2"/>
      </w:pPr>
      <w:r>
        <w:rPr>
          <w:rFonts w:ascii="Times New Roman" w:hAnsi="Times New Roman" w:eastAsia="Times New Roman"/>
          <w:sz w:val="24"/>
        </w:rPr>
        <w:t>8.7 Legal and Regulatory Alignment</w:t>
      </w:r>
    </w:p>
    <w:p>
      <w:r>
        <w:rPr>
          <w:rFonts w:ascii="Times New Roman" w:hAnsi="Times New Roman" w:eastAsia="Times New Roman"/>
          <w:sz w:val="24"/>
        </w:rPr>
        <w:t>Although Schengen simplifies mobility, operators must harmonize licensing, guide certifications, and consumer protection standards. A legal working group compiles a crosswalk of requirements and drafts standard terms and conditions, privacy policies, and data-sharing agreements compliant with GDPR. Environmental permits for trail upgrades follow national and EU impact assessment processes with public consultation.</w:t>
      </w:r>
    </w:p>
    <w:p>
      <w:pPr>
        <w:pStyle w:val="Heading2"/>
      </w:pPr>
      <w:r>
        <w:rPr>
          <w:rFonts w:ascii="Times New Roman" w:hAnsi="Times New Roman" w:eastAsia="Times New Roman"/>
          <w:sz w:val="24"/>
        </w:rPr>
        <w:t>8.8 Sustainability and Nature-Positive Roadmap</w:t>
      </w:r>
    </w:p>
    <w:p>
      <w:r>
        <w:rPr>
          <w:rFonts w:ascii="Times New Roman" w:hAnsi="Times New Roman" w:eastAsia="Times New Roman"/>
          <w:sz w:val="24"/>
        </w:rPr>
        <w:t>The roadmap includes baseline carbon accounting (scopes 1–3 where feasible), supplier audits, and a ‘1% for Nature’ contribution earmarked for habitat restoration in river corridors. Visitor education interprets wetlands, karst geology, and traditional agriculture, connecting recreation to stewardship. Partnerships with conservation NGOs ensure projects are science-led and community-validated.</w:t>
      </w:r>
    </w:p>
    <w:p>
      <w:pPr>
        <w:pStyle w:val="Heading2"/>
      </w:pPr>
      <w:r>
        <w:rPr>
          <w:rFonts w:ascii="Times New Roman" w:hAnsi="Times New Roman" w:eastAsia="Times New Roman"/>
          <w:sz w:val="24"/>
        </w:rPr>
        <w:t>8.9 Community Engagement and Benefit-Sharing</w:t>
      </w:r>
    </w:p>
    <w:p>
      <w:r>
        <w:rPr>
          <w:rFonts w:ascii="Times New Roman" w:hAnsi="Times New Roman" w:eastAsia="Times New Roman"/>
          <w:sz w:val="24"/>
        </w:rPr>
        <w:t>Community advisory panels in Pomurje, Međimurje, Lika, and Kvarner meet quarterly to review plans, address concerns, and co-create events. Micro-grants fund village storytelling, artisan markets, and local food labs that feature seasonal, heritage recipes. Transparent reporting on jobs, procurement shares, and environmental indicators sustains legitimacy.</w:t>
      </w:r>
    </w:p>
    <w:p>
      <w:pPr>
        <w:pStyle w:val="Heading2"/>
      </w:pPr>
      <w:r>
        <w:rPr>
          <w:rFonts w:ascii="Times New Roman" w:hAnsi="Times New Roman" w:eastAsia="Times New Roman"/>
          <w:sz w:val="24"/>
        </w:rPr>
        <w:t>8.10 Monitoring, Evaluation, and Learning (MEL)</w:t>
      </w:r>
    </w:p>
    <w:p>
      <w:r>
        <w:rPr>
          <w:rFonts w:ascii="Times New Roman" w:hAnsi="Times New Roman" w:eastAsia="Times New Roman"/>
          <w:sz w:val="24"/>
        </w:rPr>
        <w:t>Key performance indicators include: average length of stay; occupancy by season; guest satisfaction; share of spend with local suppliers; emissions per guest-night; and incident rates. Data governance ensures comparability across borders and protects privacy. Annual Impact Reports—publicly released—summarize progress, challenges, and course corrections, reinforcing a culture of learning.</w:t>
      </w:r>
    </w:p>
    <w:p>
      <w:pPr>
        <w:pStyle w:val="Heading1"/>
      </w:pPr>
      <w:r>
        <w:rPr>
          <w:rFonts w:ascii="Times New Roman" w:hAnsi="Times New Roman" w:eastAsia="Times New Roman"/>
          <w:sz w:val="24"/>
        </w:rPr>
        <w:t>9. Budget Breakdown and Funding Strategy</w:t>
      </w:r>
    </w:p>
    <w:p>
      <w:r>
        <w:rPr>
          <w:rFonts w:ascii="Times New Roman" w:hAnsi="Times New Roman" w:eastAsia="Times New Roman"/>
          <w:sz w:val="24"/>
        </w:rPr>
        <w:t>The €12.5 million startup budget allocates approximately: €2.1m to trail and wayfinding upgrades; €1.7m to digital platform and content; €2.4m to partner training and certifications; €3.0m to marketing over three years; €1.8m to project management and MEL; and €1.5m contingency. Interreg can cover significant shares of cross-border coordination and innovation, while municipal co-funding supports local infrastructure. Private capital—via revenue-share with operators—reduces grant dependency and aligns incentives for quality and sustainability.</w:t>
      </w:r>
    </w:p>
    <w:p>
      <w:pPr>
        <w:pStyle w:val="Heading1"/>
      </w:pPr>
      <w:r>
        <w:rPr>
          <w:rFonts w:ascii="Times New Roman" w:hAnsi="Times New Roman" w:eastAsia="Times New Roman"/>
          <w:sz w:val="24"/>
        </w:rPr>
        <w:t>10. Case Illustrations and Transferable Lessons</w:t>
      </w:r>
    </w:p>
    <w:p>
      <w:r>
        <w:rPr>
          <w:rFonts w:ascii="Times New Roman" w:hAnsi="Times New Roman" w:eastAsia="Times New Roman"/>
          <w:sz w:val="24"/>
        </w:rPr>
        <w:t>Comparable initiatives inform design choices. Alpine cross-border cycling routes demonstrate the value of coherent signage and luggage transfers. Spa clusters in Central Europe show that combining thermal heritage with modern wellness produces premium positioning. Lessons include starting with a tight set of flagship partners to maintain standards, investing early in high-quality photography and maps, and publishing service charters that clarify what guests can expect.</w:t>
      </w:r>
    </w:p>
    <w:p>
      <w:pPr>
        <w:pStyle w:val="Heading1"/>
      </w:pPr>
      <w:r>
        <w:rPr>
          <w:rFonts w:ascii="Times New Roman" w:hAnsi="Times New Roman" w:eastAsia="Times New Roman"/>
          <w:sz w:val="24"/>
        </w:rPr>
        <w:t>11. Risk Register (Excerpt)</w:t>
      </w:r>
    </w:p>
    <w:p>
      <w:r>
        <w:rPr>
          <w:rFonts w:ascii="Times New Roman" w:hAnsi="Times New Roman" w:eastAsia="Times New Roman"/>
          <w:sz w:val="24"/>
        </w:rPr>
        <w:t>• Funding delay: Medium probability/High impact – Mitigation: phased scopes, bridge financing, and rolling partner onboarding.</w:t>
        <w:br/>
        <w:t>• Weather extremes: Medium/Medium – Mitigation: seasonal calendars, heat/cold protocols, and route alternatives.</w:t>
        <w:br/>
        <w:t>• Staff shortages: Medium/Medium – Mitigation: scholarships, early recruitment, micro-credentials, and retention bonuses.</w:t>
        <w:br/>
        <w:t>• Cross-border admin friction: Low/Medium – Mitigation: MOUs, standard forms, bilingual PMU support.</w:t>
        <w:br/>
        <w:t>• Safety incident: Low/High – Mitigation: guide ratios, ICS procedures, drills, and transparent reporting.</w:t>
      </w:r>
    </w:p>
    <w:p>
      <w:pPr>
        <w:pStyle w:val="Heading1"/>
      </w:pPr>
      <w:r>
        <w:rPr>
          <w:rFonts w:ascii="Times New Roman" w:hAnsi="Times New Roman" w:eastAsia="Times New Roman"/>
          <w:sz w:val="24"/>
        </w:rPr>
        <w:t>12. Ethical Marketing and Representation</w:t>
      </w:r>
    </w:p>
    <w:p>
      <w:r>
        <w:rPr>
          <w:rFonts w:ascii="Times New Roman" w:hAnsi="Times New Roman" w:eastAsia="Times New Roman"/>
          <w:sz w:val="24"/>
        </w:rPr>
        <w:t>Marketing avoids cultural appropriation and tokenism. Consent is obtained for all portraits; captions credit artisans and communities. Nature imagery adheres to wildlife ethics (no disturbance for photos). Claims about impact are evidence-based and modest; certifications are used accurately without exaggeration.</w:t>
      </w:r>
    </w:p>
    <w:p>
      <w:pPr>
        <w:pStyle w:val="Heading1"/>
      </w:pPr>
      <w:r>
        <w:rPr>
          <w:rFonts w:ascii="Times New Roman" w:hAnsi="Times New Roman" w:eastAsia="Times New Roman"/>
          <w:sz w:val="24"/>
        </w:rPr>
        <w:t>13. Illustrative Itineraries</w:t>
      </w:r>
    </w:p>
    <w:p>
      <w:r>
        <w:rPr>
          <w:rFonts w:ascii="Times New Roman" w:hAnsi="Times New Roman" w:eastAsia="Times New Roman"/>
          <w:sz w:val="24"/>
        </w:rPr>
        <w:t>7-Night ‘Rivers-to-Islands Balance’ Itinerary (Illustrative):</w:t>
        <w:br/>
        <w:t>Day 1 – Arrival in Maribor; transfer to Moravske Toplice; thermal orientation and slow-food dinner.</w:t>
        <w:br/>
        <w:t>Day 2 – E-bike along the Mura River greenway; picnic with local produce; evening yoga and spa circuit.</w:t>
        <w:br/>
        <w:t>Day 3 – Cross-border ride into Međimurje; vineyard visit and low-alcohol tasting; folklore storytelling.</w:t>
        <w:br/>
        <w:t>Day 4 – Kayak skills on the Drava; optional mindfulness walk; farm-to-table cooking workshop.</w:t>
        <w:br/>
        <w:t>Day 5 – Transfer to Lika; guided hike on less-trafficked trails near Plitvice buffer zone; forest bathing.</w:t>
        <w:br/>
        <w:t>Day 6 – Zipline and limestone canyon walk; restorative thermal session in the evening.</w:t>
        <w:br/>
        <w:t>Day 7 – Krk Island coastal ride; sunset meditation; farewell dinner featuring seasonal seafood and vegetarian options.</w:t>
        <w:br/>
        <w:t>Day 8 – Departure via Rijeka Airport or return rail via Zagreb.</w:t>
        <w:br/>
        <w:t>3-Night ‘Weekend Reset’ compresses Days 1–3 with optional spa extensions, targeting regional drive and rail markets.</w:t>
      </w:r>
    </w:p>
    <w:p>
      <w:pPr>
        <w:pStyle w:val="Heading1"/>
      </w:pPr>
      <w:r>
        <w:rPr>
          <w:rFonts w:ascii="Times New Roman" w:hAnsi="Times New Roman" w:eastAsia="Times New Roman"/>
          <w:sz w:val="24"/>
        </w:rPr>
        <w:t>14. Governance Charter (Summary Excerpt)</w:t>
      </w:r>
    </w:p>
    <w:p>
      <w:r>
        <w:rPr>
          <w:rFonts w:ascii="Times New Roman" w:hAnsi="Times New Roman" w:eastAsia="Times New Roman"/>
          <w:sz w:val="24"/>
        </w:rPr>
        <w:t>The Steering Committee includes equal representation from Slovenian and Croatian regional authorities, industry associations, and civil society. Decisions require a qualified majority with minority protection rules for environmental issues. The PMU publishes quarterly dashboards and annual audited accounts. A Public Participation Policy guarantees open consultations on major infrastructure changes. Conflicts of interest are declared and managed under a written policy, and procurements follow transparent, competitive procedures with sustainability criteria.</w:t>
      </w:r>
    </w:p>
    <w:p>
      <w:pPr>
        <w:pStyle w:val="Heading1"/>
      </w:pPr>
      <w:r>
        <w:rPr>
          <w:rFonts w:ascii="Times New Roman" w:hAnsi="Times New Roman" w:eastAsia="Times New Roman"/>
          <w:sz w:val="24"/>
        </w:rPr>
        <w:t>15. Data Privacy and Cybersecurity</w:t>
      </w:r>
    </w:p>
    <w:p>
      <w:r>
        <w:rPr>
          <w:rFonts w:ascii="Times New Roman" w:hAnsi="Times New Roman" w:eastAsia="Times New Roman"/>
          <w:sz w:val="24"/>
        </w:rPr>
        <w:t>The booking platform and analytics stack adopt privacy by design. GDPR-compliant consent flows specify purposes for data processing, retention windows, and user rights. Personal data is minimized and encrypted in transit and at rest. Vendors undergo security due diligence; penetration tests are conducted annually. Incident response includes 72-hour breach notification procedures and data subject support. Staff receive training on phishing, password hygiene, and device policies.</w:t>
      </w:r>
    </w:p>
    <w:p>
      <w:pPr>
        <w:pStyle w:val="Heading1"/>
      </w:pPr>
      <w:r>
        <w:rPr>
          <w:rFonts w:ascii="Times New Roman" w:hAnsi="Times New Roman" w:eastAsia="Times New Roman"/>
          <w:sz w:val="24"/>
        </w:rPr>
        <w:t>16. Scalability and Replication Pathways</w:t>
      </w:r>
    </w:p>
    <w:p>
      <w:r>
        <w:rPr>
          <w:rFonts w:ascii="Times New Roman" w:hAnsi="Times New Roman" w:eastAsia="Times New Roman"/>
          <w:sz w:val="24"/>
        </w:rPr>
        <w:t>Beyond 2029, the corridor can expand along thematic spurs—wine and wellness circuits in Podravje, island-hopping adventure in the Kvarner Gulf, and cultural routes linking monasteries and craft villages. Replication to other borders in the Western Balkans can transfer governance templates, training modules, and MEL frameworks, tailoring to local context. A knowledge hub—case studies, toolkits, and webinars—positions the corridor as a learning platform, attracting new partners and funding.</w:t>
      </w:r>
    </w:p>
    <w:p>
      <w:pPr>
        <w:pStyle w:val="Heading1"/>
      </w:pPr>
      <w:r>
        <w:rPr>
          <w:rFonts w:ascii="Times New Roman" w:hAnsi="Times New Roman" w:eastAsia="Times New Roman"/>
          <w:sz w:val="24"/>
        </w:rPr>
        <w:t>17. Limitations and Future Research</w:t>
      </w:r>
    </w:p>
    <w:p>
      <w:r>
        <w:rPr>
          <w:rFonts w:ascii="Times New Roman" w:hAnsi="Times New Roman" w:eastAsia="Times New Roman"/>
          <w:sz w:val="24"/>
        </w:rPr>
        <w:t>This proposal is based on secondary data, expert judgment, and analogues from comparable corridors. Primary research—notably visitor stated-preference surveys, price elasticity tests, and ethnographic insights on wellness motivations—should precede large-scale investments. Climate projections merit deeper integration to stress-test infrastructure and scheduling for heat, drought, and flood risks. Future research could evaluate carbon labeling effectiveness on booking behavior, examine inclusivity outcomes for underrepresented traveler segments, and assess long-term ecosystem impacts of trail usage with citizen science. Iterative pilots with rapid feedback cycles will reduce uncertainty and enhance stakeholder learning before full rollout.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before="0" w:line="480" w:lineRule="auto"/>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