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137249BB" w14:textId="77777777" w:rsidR="00607429" w:rsidRPr="00607429" w:rsidRDefault="00607429" w:rsidP="00607429">
      <w:pPr>
        <w:spacing w:line="276" w:lineRule="auto"/>
        <w:rPr>
          <w:lang w:val="en-GB"/>
        </w:rPr>
      </w:pPr>
      <w:r w:rsidRPr="00607429">
        <w:rPr>
          <w:lang w:val="en-GB"/>
        </w:rPr>
        <w:lastRenderedPageBreak/>
        <w:t>The Global Code of Ethics for Tourism (GCET), issued in 1999, provides a comprehensive framework for the responsible and sustainable development of global tourism (</w:t>
      </w:r>
      <w:proofErr w:type="spellStart"/>
      <w:r w:rsidRPr="00607429">
        <w:rPr>
          <w:lang w:val="en-GB"/>
        </w:rPr>
        <w:t>Nurjaya</w:t>
      </w:r>
      <w:proofErr w:type="spellEnd"/>
      <w:r w:rsidRPr="00607429">
        <w:rPr>
          <w:lang w:val="en-GB"/>
        </w:rPr>
        <w:t>, 2022). While the Code is a "soft law" document and thus not legally obligatory, its practical implementation by national governments provides major paths to socioeconomic empowerment, environmental conservation, and human rights protection (</w:t>
      </w:r>
      <w:proofErr w:type="spellStart"/>
      <w:r w:rsidRPr="00607429">
        <w:rPr>
          <w:lang w:val="en-GB"/>
        </w:rPr>
        <w:t>Dharmawan</w:t>
      </w:r>
      <w:proofErr w:type="spellEnd"/>
      <w:r w:rsidRPr="00607429">
        <w:rPr>
          <w:lang w:val="en-GB"/>
        </w:rPr>
        <w:t xml:space="preserve">, 2012). By incorporating these ten ideas into national policy, countries can turn tourism from a purely extractive business to a catalyst for overall national progress. </w:t>
      </w:r>
      <w:r w:rsidRPr="00607429">
        <w:rPr>
          <w:lang w:val="en-GB"/>
        </w:rPr>
        <w:br/>
        <w:t xml:space="preserve">One of the key advantages of adopting the GCET is the socioeconomic rehabilitation of local communities. Article 5 underlines the need of including </w:t>
      </w:r>
      <w:proofErr w:type="gramStart"/>
      <w:r w:rsidRPr="00607429">
        <w:rPr>
          <w:lang w:val="en-GB"/>
        </w:rPr>
        <w:t>local residents</w:t>
      </w:r>
      <w:proofErr w:type="gramEnd"/>
      <w:r w:rsidRPr="00607429">
        <w:rPr>
          <w:lang w:val="en-GB"/>
        </w:rPr>
        <w:t xml:space="preserve"> in tourism operations and ensuring equitable distribution of the economic advantages (</w:t>
      </w:r>
      <w:proofErr w:type="spellStart"/>
      <w:r w:rsidRPr="00607429">
        <w:rPr>
          <w:lang w:val="en-GB"/>
        </w:rPr>
        <w:t>Wiryawan</w:t>
      </w:r>
      <w:proofErr w:type="spellEnd"/>
      <w:r w:rsidRPr="00607429">
        <w:rPr>
          <w:lang w:val="en-GB"/>
        </w:rPr>
        <w:t xml:space="preserve"> &amp; Jaelani, 2024). In practice, this pushes governments to move away from "mass tourism" approaches, which frequently result in leakages when earnings leave the host country. Instead, the Code encourages community-based tourism (CBT), which allows communities to participate in decision-making and ensures the creation of both direct and indirect jobs (Dangi and Jamal, 2016). This localized approach </w:t>
      </w:r>
      <w:proofErr w:type="spellStart"/>
      <w:r w:rsidRPr="00607429">
        <w:rPr>
          <w:lang w:val="en-GB"/>
        </w:rPr>
        <w:t>instills</w:t>
      </w:r>
      <w:proofErr w:type="spellEnd"/>
      <w:r w:rsidRPr="00607429">
        <w:rPr>
          <w:lang w:val="en-GB"/>
        </w:rPr>
        <w:t xml:space="preserve"> a sense of guardianship in communities, making them into active protectors of their own cultural and ecological heritage (</w:t>
      </w:r>
      <w:proofErr w:type="spellStart"/>
      <w:r w:rsidRPr="00607429">
        <w:rPr>
          <w:lang w:val="en-GB"/>
        </w:rPr>
        <w:t>Boșca</w:t>
      </w:r>
      <w:proofErr w:type="spellEnd"/>
      <w:r w:rsidRPr="00607429">
        <w:rPr>
          <w:lang w:val="en-GB"/>
        </w:rPr>
        <w:t xml:space="preserve"> &amp; Emilian, 2024). </w:t>
      </w:r>
      <w:r w:rsidRPr="00607429">
        <w:rPr>
          <w:lang w:val="en-GB"/>
        </w:rPr>
        <w:br/>
        <w:t xml:space="preserve">Furthermore, the GCET establishes an important foundation for environmental stewardship. Article 3 emphasizes tourism as a driver of sustainable development, pushing stakeholders to protect the environment </w:t>
      </w:r>
      <w:proofErr w:type="gramStart"/>
      <w:r w:rsidRPr="00607429">
        <w:rPr>
          <w:lang w:val="en-GB"/>
        </w:rPr>
        <w:t>in order to</w:t>
      </w:r>
      <w:proofErr w:type="gramEnd"/>
      <w:r w:rsidRPr="00607429">
        <w:rPr>
          <w:lang w:val="en-GB"/>
        </w:rPr>
        <w:t xml:space="preserve"> achieve long-term economic growth (</w:t>
      </w:r>
      <w:proofErr w:type="spellStart"/>
      <w:r w:rsidRPr="00607429">
        <w:rPr>
          <w:lang w:val="en-GB"/>
        </w:rPr>
        <w:t>Nurjaya</w:t>
      </w:r>
      <w:proofErr w:type="spellEnd"/>
      <w:r w:rsidRPr="00607429">
        <w:rPr>
          <w:lang w:val="en-GB"/>
        </w:rPr>
        <w:t xml:space="preserve">, 2022). In many developed and developing countries, practical applications include harnessing renewable energy, creating waste reduction systems, and managing natural resources to reduce the industry's environmental impact (Dias et al., 2021). Countries that adhere to these ethical norms can maintain biodiversity while also boosting their brand image, attracting a growing cohort of "environmentally conscious" travellers (Alexakis &amp; Rice, 2016). </w:t>
      </w:r>
      <w:r w:rsidRPr="00607429">
        <w:rPr>
          <w:lang w:val="en-GB"/>
        </w:rPr>
        <w:br/>
        <w:t>Finally, the Code is a weapon for international diplomacy and human rights. It encourages mutual respect between tourists and host communities, regarding travel as a "right" to be practiced with consideration for the dignity of others (</w:t>
      </w:r>
      <w:proofErr w:type="spellStart"/>
      <w:r w:rsidRPr="00607429">
        <w:rPr>
          <w:lang w:val="en-GB"/>
        </w:rPr>
        <w:t>Schänzel</w:t>
      </w:r>
      <w:proofErr w:type="spellEnd"/>
      <w:r w:rsidRPr="00607429">
        <w:rPr>
          <w:lang w:val="en-GB"/>
        </w:rPr>
        <w:t xml:space="preserve"> &amp; Apollo, 2023). In practice, this entails enacting legislation that prevent the exploitation of vulnerable people and respect indigenous rights (</w:t>
      </w:r>
      <w:proofErr w:type="spellStart"/>
      <w:r w:rsidRPr="00607429">
        <w:rPr>
          <w:lang w:val="en-GB"/>
        </w:rPr>
        <w:t>Wiryawan</w:t>
      </w:r>
      <w:proofErr w:type="spellEnd"/>
      <w:r w:rsidRPr="00607429">
        <w:rPr>
          <w:lang w:val="en-GB"/>
        </w:rPr>
        <w:t xml:space="preserve"> &amp; Jaelani, 2024). Finally, when governments transform the GCET from a theoretical blueprint to a real policy guide, they ensure long-term sustainability that balances visitors' "hedonistic joy" with the enduring well-being of the host society (</w:t>
      </w:r>
      <w:proofErr w:type="spellStart"/>
      <w:r w:rsidRPr="00607429">
        <w:rPr>
          <w:lang w:val="en-GB"/>
        </w:rPr>
        <w:t>Schänzel</w:t>
      </w:r>
      <w:proofErr w:type="spellEnd"/>
      <w:r w:rsidRPr="00607429">
        <w:rPr>
          <w:lang w:val="en-GB"/>
        </w:rPr>
        <w:t xml:space="preserve"> &amp; Apollo, 2023).</w:t>
      </w:r>
    </w:p>
    <w:p w14:paraId="7CA7D036" w14:textId="77777777" w:rsidR="008A684E" w:rsidRDefault="008A684E" w:rsidP="008A684E">
      <w:pPr>
        <w:spacing w:line="276" w:lineRule="auto"/>
        <w:rPr>
          <w:b/>
          <w:bCs/>
          <w:lang w:val="en-GB"/>
        </w:rPr>
      </w:pPr>
    </w:p>
    <w:p w14:paraId="1D4CB87A" w14:textId="77777777" w:rsidR="00607429" w:rsidRDefault="00607429" w:rsidP="008A684E">
      <w:pPr>
        <w:spacing w:line="276" w:lineRule="auto"/>
        <w:rPr>
          <w:b/>
          <w:bCs/>
          <w:lang w:val="en-GB"/>
        </w:rPr>
      </w:pPr>
    </w:p>
    <w:p w14:paraId="7FB3FD62" w14:textId="77777777" w:rsidR="00607429" w:rsidRDefault="00607429" w:rsidP="008A684E">
      <w:pPr>
        <w:spacing w:line="276" w:lineRule="auto"/>
        <w:rPr>
          <w:b/>
          <w:bCs/>
          <w:lang w:val="en-GB"/>
        </w:rPr>
      </w:pPr>
    </w:p>
    <w:p w14:paraId="7AEFB5C1" w14:textId="77777777" w:rsidR="00607429" w:rsidRDefault="00607429" w:rsidP="008A684E">
      <w:pPr>
        <w:spacing w:line="276" w:lineRule="auto"/>
        <w:rPr>
          <w:b/>
          <w:bCs/>
          <w:lang w:val="en-GB"/>
        </w:rPr>
      </w:pPr>
    </w:p>
    <w:p w14:paraId="38D0952D" w14:textId="77777777" w:rsidR="00607429" w:rsidRDefault="00607429" w:rsidP="008A684E">
      <w:pPr>
        <w:spacing w:line="276" w:lineRule="auto"/>
        <w:rPr>
          <w:b/>
          <w:bCs/>
          <w:lang w:val="en-GB"/>
        </w:rPr>
      </w:pPr>
    </w:p>
    <w:p w14:paraId="1CB96CEF" w14:textId="77777777" w:rsidR="00607429" w:rsidRDefault="00607429" w:rsidP="008A684E">
      <w:pPr>
        <w:spacing w:line="276" w:lineRule="auto"/>
        <w:rPr>
          <w:b/>
          <w:bCs/>
          <w:lang w:val="en-GB"/>
        </w:rPr>
      </w:pPr>
    </w:p>
    <w:p w14:paraId="04F1534D" w14:textId="77777777" w:rsidR="008A684E" w:rsidRDefault="008A684E" w:rsidP="008A684E">
      <w:pPr>
        <w:spacing w:line="276" w:lineRule="auto"/>
        <w:rPr>
          <w:b/>
          <w:bCs/>
          <w:lang w:val="en-GB"/>
        </w:rPr>
      </w:pPr>
    </w:p>
    <w:p w14:paraId="067EAD26" w14:textId="77777777" w:rsidR="008A684E" w:rsidRDefault="008A684E" w:rsidP="008A684E">
      <w:pPr>
        <w:spacing w:line="276" w:lineRule="auto"/>
        <w:rPr>
          <w:b/>
          <w:bCs/>
          <w:lang w:val="en-GB"/>
        </w:rPr>
      </w:pPr>
    </w:p>
    <w:p w14:paraId="5EA839AE" w14:textId="77777777" w:rsidR="008A684E" w:rsidRPr="008A684E" w:rsidRDefault="008A684E" w:rsidP="008A684E">
      <w:pPr>
        <w:spacing w:line="276" w:lineRule="auto"/>
        <w:rPr>
          <w:b/>
          <w:bCs/>
          <w:lang w:val="en-GB"/>
        </w:rPr>
      </w:pPr>
    </w:p>
    <w:p w14:paraId="4F0823AC" w14:textId="77777777" w:rsidR="008A684E" w:rsidRPr="008A684E" w:rsidRDefault="008A684E" w:rsidP="008A684E">
      <w:pPr>
        <w:spacing w:line="276" w:lineRule="auto"/>
        <w:rPr>
          <w:b/>
          <w:bCs/>
          <w:lang w:val="en-GB"/>
        </w:rPr>
      </w:pPr>
      <w:r w:rsidRPr="008A684E">
        <w:rPr>
          <w:b/>
          <w:bCs/>
          <w:lang w:val="en-GB"/>
        </w:rPr>
        <w:lastRenderedPageBreak/>
        <w:t>References</w:t>
      </w:r>
    </w:p>
    <w:p w14:paraId="064D5C7F" w14:textId="77777777" w:rsidR="008A684E" w:rsidRPr="008A684E" w:rsidRDefault="008A684E" w:rsidP="008A684E">
      <w:pPr>
        <w:spacing w:line="276" w:lineRule="auto"/>
        <w:rPr>
          <w:b/>
          <w:bCs/>
          <w:lang w:val="en-GB"/>
        </w:rPr>
      </w:pPr>
      <w:r w:rsidRPr="008A684E">
        <w:rPr>
          <w:b/>
          <w:bCs/>
          <w:lang w:val="en-GB"/>
        </w:rPr>
        <w:t xml:space="preserve">Alexakis, G., &amp; Rice, L. (2016). Applying the holistic conceptual conservation framework for sustainable tourism. </w:t>
      </w:r>
      <w:r w:rsidRPr="008A684E">
        <w:rPr>
          <w:b/>
          <w:bCs/>
          <w:i/>
          <w:iCs/>
          <w:lang w:val="en-GB"/>
        </w:rPr>
        <w:t>Journal of Tourism Insights</w:t>
      </w:r>
      <w:r w:rsidRPr="008A684E">
        <w:rPr>
          <w:b/>
          <w:bCs/>
          <w:lang w:val="en-GB"/>
        </w:rPr>
        <w:t xml:space="preserve">, </w:t>
      </w:r>
      <w:r w:rsidRPr="008A684E">
        <w:rPr>
          <w:b/>
          <w:bCs/>
          <w:i/>
          <w:iCs/>
          <w:lang w:val="en-GB"/>
        </w:rPr>
        <w:t>7</w:t>
      </w:r>
      <w:r w:rsidRPr="008A684E">
        <w:rPr>
          <w:b/>
          <w:bCs/>
          <w:lang w:val="en-GB"/>
        </w:rPr>
        <w:t xml:space="preserve">(1). </w:t>
      </w:r>
      <w:hyperlink r:id="rId6" w:tgtFrame="_blank" w:history="1">
        <w:r w:rsidRPr="008A684E">
          <w:rPr>
            <w:rStyle w:val="Hyperlink"/>
            <w:b/>
            <w:bCs/>
            <w:lang w:val="en-GB"/>
          </w:rPr>
          <w:t>https://doi.org/10.9707/2328-0824.1065</w:t>
        </w:r>
      </w:hyperlink>
    </w:p>
    <w:p w14:paraId="60E233E6" w14:textId="77777777" w:rsidR="008A684E" w:rsidRPr="008A684E" w:rsidRDefault="008A684E" w:rsidP="008A684E">
      <w:pPr>
        <w:spacing w:line="276" w:lineRule="auto"/>
        <w:rPr>
          <w:b/>
          <w:bCs/>
          <w:lang w:val="en-GB"/>
        </w:rPr>
      </w:pPr>
      <w:proofErr w:type="spellStart"/>
      <w:r w:rsidRPr="008A684E">
        <w:rPr>
          <w:b/>
          <w:bCs/>
          <w:lang w:val="en-GB"/>
        </w:rPr>
        <w:t>Boșca</w:t>
      </w:r>
      <w:proofErr w:type="spellEnd"/>
      <w:r w:rsidRPr="008A684E">
        <w:rPr>
          <w:b/>
          <w:bCs/>
          <w:lang w:val="en-GB"/>
        </w:rPr>
        <w:t xml:space="preserve">, L. C., &amp; Emilian, I. (2024). The overlooked issue in tourism codes of ethics: Making moral principles explicit. </w:t>
      </w:r>
      <w:r w:rsidRPr="008A684E">
        <w:rPr>
          <w:b/>
          <w:bCs/>
          <w:i/>
          <w:iCs/>
          <w:lang w:val="en-GB"/>
        </w:rPr>
        <w:t>Management Conference Proceedings</w:t>
      </w:r>
      <w:r w:rsidRPr="008A684E">
        <w:rPr>
          <w:b/>
          <w:bCs/>
          <w:lang w:val="en-GB"/>
        </w:rPr>
        <w:t xml:space="preserve">, </w:t>
      </w:r>
      <w:r w:rsidRPr="008A684E">
        <w:rPr>
          <w:b/>
          <w:bCs/>
          <w:i/>
          <w:iCs/>
          <w:lang w:val="en-GB"/>
        </w:rPr>
        <w:t>5</w:t>
      </w:r>
      <w:r w:rsidRPr="008A684E">
        <w:rPr>
          <w:b/>
          <w:bCs/>
          <w:lang w:val="en-GB"/>
        </w:rPr>
        <w:t>(1).</w:t>
      </w:r>
    </w:p>
    <w:p w14:paraId="60EDEE7F" w14:textId="77777777" w:rsidR="008A684E" w:rsidRPr="008A684E" w:rsidRDefault="008A684E" w:rsidP="008A684E">
      <w:pPr>
        <w:spacing w:line="276" w:lineRule="auto"/>
        <w:rPr>
          <w:b/>
          <w:bCs/>
          <w:lang w:val="en-GB"/>
        </w:rPr>
      </w:pPr>
      <w:r w:rsidRPr="008A684E">
        <w:rPr>
          <w:b/>
          <w:bCs/>
          <w:lang w:val="en-GB"/>
        </w:rPr>
        <w:t xml:space="preserve">Dangi, T., &amp; Jamal, T. (2016). An integrated approach to “sustainable community-based tourism”. </w:t>
      </w:r>
      <w:r w:rsidRPr="008A684E">
        <w:rPr>
          <w:b/>
          <w:bCs/>
          <w:i/>
          <w:iCs/>
          <w:lang w:val="en-GB"/>
        </w:rPr>
        <w:t>Sustainability</w:t>
      </w:r>
      <w:r w:rsidRPr="008A684E">
        <w:rPr>
          <w:b/>
          <w:bCs/>
          <w:lang w:val="en-GB"/>
        </w:rPr>
        <w:t xml:space="preserve">, </w:t>
      </w:r>
      <w:r w:rsidRPr="008A684E">
        <w:rPr>
          <w:b/>
          <w:bCs/>
          <w:i/>
          <w:iCs/>
          <w:lang w:val="en-GB"/>
        </w:rPr>
        <w:t>8</w:t>
      </w:r>
      <w:r w:rsidRPr="008A684E">
        <w:rPr>
          <w:b/>
          <w:bCs/>
          <w:lang w:val="en-GB"/>
        </w:rPr>
        <w:t xml:space="preserve">(5), 475. </w:t>
      </w:r>
      <w:hyperlink r:id="rId7" w:tgtFrame="_blank" w:history="1">
        <w:r w:rsidRPr="008A684E">
          <w:rPr>
            <w:rStyle w:val="Hyperlink"/>
            <w:b/>
            <w:bCs/>
            <w:lang w:val="en-GB"/>
          </w:rPr>
          <w:t>https://doi.org/10.3390/su8050475</w:t>
        </w:r>
      </w:hyperlink>
    </w:p>
    <w:p w14:paraId="22E36637" w14:textId="77777777" w:rsidR="008A684E" w:rsidRPr="008A684E" w:rsidRDefault="008A684E" w:rsidP="008A684E">
      <w:pPr>
        <w:spacing w:line="276" w:lineRule="auto"/>
        <w:rPr>
          <w:b/>
          <w:bCs/>
          <w:lang w:val="en-GB"/>
        </w:rPr>
      </w:pPr>
      <w:proofErr w:type="spellStart"/>
      <w:r w:rsidRPr="008A684E">
        <w:rPr>
          <w:b/>
          <w:bCs/>
          <w:lang w:val="en-GB"/>
        </w:rPr>
        <w:t>Dharmawan</w:t>
      </w:r>
      <w:proofErr w:type="spellEnd"/>
      <w:r w:rsidRPr="008A684E">
        <w:rPr>
          <w:b/>
          <w:bCs/>
          <w:lang w:val="en-GB"/>
        </w:rPr>
        <w:t xml:space="preserve">, N. K. S. (2012). Tourism and environment: Toward promoting sustainable development of tourism: A human rights perspective. </w:t>
      </w:r>
      <w:r w:rsidRPr="008A684E">
        <w:rPr>
          <w:b/>
          <w:bCs/>
          <w:i/>
          <w:iCs/>
          <w:lang w:val="en-GB"/>
        </w:rPr>
        <w:t>Indonesia Law Review</w:t>
      </w:r>
      <w:r w:rsidRPr="008A684E">
        <w:rPr>
          <w:b/>
          <w:bCs/>
          <w:lang w:val="en-GB"/>
        </w:rPr>
        <w:t xml:space="preserve">, </w:t>
      </w:r>
      <w:r w:rsidRPr="008A684E">
        <w:rPr>
          <w:b/>
          <w:bCs/>
          <w:i/>
          <w:iCs/>
          <w:lang w:val="en-GB"/>
        </w:rPr>
        <w:t>2</w:t>
      </w:r>
      <w:r w:rsidRPr="008A684E">
        <w:rPr>
          <w:b/>
          <w:bCs/>
          <w:lang w:val="en-GB"/>
        </w:rPr>
        <w:t xml:space="preserve">(1). </w:t>
      </w:r>
      <w:hyperlink r:id="rId8" w:tgtFrame="_blank" w:history="1">
        <w:r w:rsidRPr="008A684E">
          <w:rPr>
            <w:rStyle w:val="Hyperlink"/>
            <w:b/>
            <w:bCs/>
            <w:lang w:val="en-GB"/>
          </w:rPr>
          <w:t>https://doi.org/10.15742/ilrev.v2n1.10</w:t>
        </w:r>
      </w:hyperlink>
    </w:p>
    <w:p w14:paraId="08D50AED" w14:textId="77777777" w:rsidR="008A684E" w:rsidRPr="008A684E" w:rsidRDefault="008A684E" w:rsidP="008A684E">
      <w:pPr>
        <w:spacing w:line="276" w:lineRule="auto"/>
        <w:rPr>
          <w:b/>
          <w:bCs/>
          <w:lang w:val="en-GB"/>
        </w:rPr>
      </w:pPr>
      <w:r w:rsidRPr="008A684E">
        <w:rPr>
          <w:b/>
          <w:bCs/>
          <w:lang w:val="en-GB"/>
        </w:rPr>
        <w:t xml:space="preserve">Dias, Á., Aldana, I., Pereira, L., da Costa, R. L., &amp; António, N. (2021). A measure of tourist responsibility. </w:t>
      </w:r>
      <w:r w:rsidRPr="008A684E">
        <w:rPr>
          <w:b/>
          <w:bCs/>
          <w:i/>
          <w:iCs/>
          <w:lang w:val="en-GB"/>
        </w:rPr>
        <w:t>Sustainability</w:t>
      </w:r>
      <w:r w:rsidRPr="008A684E">
        <w:rPr>
          <w:b/>
          <w:bCs/>
          <w:lang w:val="en-GB"/>
        </w:rPr>
        <w:t xml:space="preserve">, </w:t>
      </w:r>
      <w:r w:rsidRPr="008A684E">
        <w:rPr>
          <w:b/>
          <w:bCs/>
          <w:i/>
          <w:iCs/>
          <w:lang w:val="en-GB"/>
        </w:rPr>
        <w:t>13</w:t>
      </w:r>
      <w:r w:rsidRPr="008A684E">
        <w:rPr>
          <w:b/>
          <w:bCs/>
          <w:lang w:val="en-GB"/>
        </w:rPr>
        <w:t xml:space="preserve">(6), 3351. </w:t>
      </w:r>
      <w:hyperlink r:id="rId9" w:tgtFrame="_blank" w:history="1">
        <w:r w:rsidRPr="008A684E">
          <w:rPr>
            <w:rStyle w:val="Hyperlink"/>
            <w:b/>
            <w:bCs/>
            <w:lang w:val="en-GB"/>
          </w:rPr>
          <w:t>https://doi.org/10.3390/su13063351</w:t>
        </w:r>
      </w:hyperlink>
    </w:p>
    <w:p w14:paraId="7010C963" w14:textId="77777777" w:rsidR="008A684E" w:rsidRPr="008A684E" w:rsidRDefault="008A684E" w:rsidP="008A684E">
      <w:pPr>
        <w:spacing w:line="276" w:lineRule="auto"/>
        <w:rPr>
          <w:b/>
          <w:bCs/>
          <w:lang w:val="en-GB"/>
        </w:rPr>
      </w:pPr>
      <w:proofErr w:type="spellStart"/>
      <w:r w:rsidRPr="008A684E">
        <w:rPr>
          <w:b/>
          <w:bCs/>
          <w:lang w:val="en-GB"/>
        </w:rPr>
        <w:t>Nurjaya</w:t>
      </w:r>
      <w:proofErr w:type="spellEnd"/>
      <w:r w:rsidRPr="008A684E">
        <w:rPr>
          <w:b/>
          <w:bCs/>
          <w:lang w:val="en-GB"/>
        </w:rPr>
        <w:t xml:space="preserve">, I. N. (2022). Legal policy of sustainable tourism development: Toward community-based tourism in Indonesia. </w:t>
      </w:r>
      <w:r w:rsidRPr="008A684E">
        <w:rPr>
          <w:b/>
          <w:bCs/>
          <w:i/>
          <w:iCs/>
          <w:lang w:val="en-GB"/>
        </w:rPr>
        <w:t>Journal of Tourism Economics and Policy</w:t>
      </w:r>
      <w:r w:rsidRPr="008A684E">
        <w:rPr>
          <w:b/>
          <w:bCs/>
          <w:lang w:val="en-GB"/>
        </w:rPr>
        <w:t xml:space="preserve">, </w:t>
      </w:r>
      <w:r w:rsidRPr="008A684E">
        <w:rPr>
          <w:b/>
          <w:bCs/>
          <w:i/>
          <w:iCs/>
          <w:lang w:val="en-GB"/>
        </w:rPr>
        <w:t>2</w:t>
      </w:r>
      <w:r w:rsidRPr="008A684E">
        <w:rPr>
          <w:b/>
          <w:bCs/>
          <w:lang w:val="en-GB"/>
        </w:rPr>
        <w:t xml:space="preserve">(3), 123–132. </w:t>
      </w:r>
      <w:hyperlink r:id="rId10" w:tgtFrame="_blank" w:history="1">
        <w:r w:rsidRPr="008A684E">
          <w:rPr>
            <w:rStyle w:val="Hyperlink"/>
            <w:b/>
            <w:bCs/>
            <w:lang w:val="en-GB"/>
          </w:rPr>
          <w:t>https://doi.org/10.38142/jtep.v2i3.404</w:t>
        </w:r>
      </w:hyperlink>
    </w:p>
    <w:p w14:paraId="4F0ACA02" w14:textId="77777777" w:rsidR="008A684E" w:rsidRPr="008A684E" w:rsidRDefault="008A684E" w:rsidP="008A684E">
      <w:pPr>
        <w:spacing w:line="276" w:lineRule="auto"/>
        <w:rPr>
          <w:b/>
          <w:bCs/>
          <w:lang w:val="en-GB"/>
        </w:rPr>
      </w:pPr>
      <w:r w:rsidRPr="008A684E">
        <w:rPr>
          <w:b/>
          <w:bCs/>
          <w:lang w:val="en-GB"/>
        </w:rPr>
        <w:t xml:space="preserve">Schänzel, H., &amp; Apollo, M. (2023). Specialty grand challenge: Wherever tourism arrives, society notes it first! </w:t>
      </w:r>
      <w:r w:rsidRPr="008A684E">
        <w:rPr>
          <w:b/>
          <w:bCs/>
          <w:i/>
          <w:iCs/>
          <w:lang w:val="en-GB"/>
        </w:rPr>
        <w:t>Frontiers in Sustainable Tourism</w:t>
      </w:r>
      <w:r w:rsidRPr="008A684E">
        <w:rPr>
          <w:b/>
          <w:bCs/>
          <w:lang w:val="en-GB"/>
        </w:rPr>
        <w:t xml:space="preserve">, </w:t>
      </w:r>
      <w:r w:rsidRPr="008A684E">
        <w:rPr>
          <w:b/>
          <w:bCs/>
          <w:i/>
          <w:iCs/>
          <w:lang w:val="en-GB"/>
        </w:rPr>
        <w:t>2</w:t>
      </w:r>
      <w:r w:rsidRPr="008A684E">
        <w:rPr>
          <w:b/>
          <w:bCs/>
          <w:lang w:val="en-GB"/>
        </w:rPr>
        <w:t xml:space="preserve">. </w:t>
      </w:r>
      <w:hyperlink r:id="rId11" w:tgtFrame="_blank" w:history="1">
        <w:r w:rsidRPr="008A684E">
          <w:rPr>
            <w:rStyle w:val="Hyperlink"/>
            <w:b/>
            <w:bCs/>
            <w:lang w:val="en-GB"/>
          </w:rPr>
          <w:t>https://doi.org/10.3389/frsut.2023.1341765</w:t>
        </w:r>
      </w:hyperlink>
    </w:p>
    <w:p w14:paraId="6BF4900E" w14:textId="77777777" w:rsidR="008A684E" w:rsidRPr="008A684E" w:rsidRDefault="008A684E" w:rsidP="008A684E">
      <w:pPr>
        <w:spacing w:line="276" w:lineRule="auto"/>
        <w:rPr>
          <w:b/>
          <w:bCs/>
          <w:lang w:val="en-GB"/>
        </w:rPr>
      </w:pPr>
      <w:proofErr w:type="spellStart"/>
      <w:r w:rsidRPr="008A684E">
        <w:rPr>
          <w:b/>
          <w:bCs/>
          <w:lang w:val="en-GB"/>
        </w:rPr>
        <w:t>Wiryawan</w:t>
      </w:r>
      <w:proofErr w:type="spellEnd"/>
      <w:r w:rsidRPr="008A684E">
        <w:rPr>
          <w:b/>
          <w:bCs/>
          <w:lang w:val="en-GB"/>
        </w:rPr>
        <w:t xml:space="preserve">, I. W. G., &amp; Jaelani, A. K. (2024). Global code of ethic for tourism: The challenges for Indonesian tourism workers in the future. </w:t>
      </w:r>
      <w:r w:rsidRPr="008A684E">
        <w:rPr>
          <w:b/>
          <w:bCs/>
          <w:i/>
          <w:iCs/>
          <w:lang w:val="en-GB"/>
        </w:rPr>
        <w:t>Advances in Social Science, Education and Humanities Research</w:t>
      </w:r>
      <w:r w:rsidRPr="008A684E">
        <w:rPr>
          <w:b/>
          <w:bCs/>
          <w:lang w:val="en-GB"/>
        </w:rPr>
        <w:t xml:space="preserve">. </w:t>
      </w:r>
      <w:hyperlink r:id="rId12" w:tgtFrame="_blank" w:history="1">
        <w:r w:rsidRPr="008A684E">
          <w:rPr>
            <w:rStyle w:val="Hyperlink"/>
            <w:b/>
            <w:bCs/>
            <w:lang w:val="en-GB"/>
          </w:rPr>
          <w:t>https://doi.org/10.2991/978-2-38476-315-3_93</w:t>
        </w:r>
      </w:hyperlink>
    </w:p>
    <w:p w14:paraId="5DB7D913" w14:textId="77777777" w:rsidR="008039ED" w:rsidRPr="00903466" w:rsidRDefault="008039ED" w:rsidP="008A684E">
      <w:pPr>
        <w:spacing w:line="276" w:lineRule="auto"/>
        <w:rPr>
          <w:lang w:val="en-US"/>
        </w:rPr>
      </w:pPr>
    </w:p>
    <w:sectPr w:rsidR="008039ED"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76C00633-C1E9-4D8E-B89A-79A47FCE49F8}"/>
    <w:embedBold r:id="rId2" w:fontKey="{08FB8DE7-9A32-4CDA-8FC3-A0E301E0C2D8}"/>
    <w:embedBoldItalic r:id="rId3" w:fontKey="{CA03A27E-7205-49C2-834F-72FDBF835F9A}"/>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D5CC31D5-062B-4C6C-9F04-3FD51AECE744}"/>
  </w:font>
  <w:font w:name="Calibri Light">
    <w:panose1 w:val="020F0302020204030204"/>
    <w:charset w:val="00"/>
    <w:family w:val="swiss"/>
    <w:pitch w:val="variable"/>
    <w:sig w:usb0="E4002EFF" w:usb1="C000247B" w:usb2="00000009" w:usb3="00000000" w:csb0="000001FF" w:csb1="00000000"/>
    <w:embedRegular r:id="rId5" w:fontKey="{70890506-D7AC-4638-BE97-034C1815D93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E458B"/>
    <w:rsid w:val="00607429"/>
    <w:rsid w:val="00661030"/>
    <w:rsid w:val="006C5B28"/>
    <w:rsid w:val="00716E23"/>
    <w:rsid w:val="008039ED"/>
    <w:rsid w:val="00844EC2"/>
    <w:rsid w:val="008516FE"/>
    <w:rsid w:val="008A684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doi.org/10.15742/ilrev.v2n1.1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3390/su8050475" TargetMode="External"/><Relationship Id="rId12" Type="http://schemas.openxmlformats.org/officeDocument/2006/relationships/hyperlink" Target="https://www.google.com/search?q=https://doi.org/10.2991/978-2-38476-315-3_9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https://doi.org/10.9707/2328-0824.1065" TargetMode="External"/><Relationship Id="rId11" Type="http://schemas.openxmlformats.org/officeDocument/2006/relationships/hyperlink" Target="https://www.google.com/search?q=https://doi.org/10.3389/frsut.2023.1341765" TargetMode="External"/><Relationship Id="rId5" Type="http://schemas.openxmlformats.org/officeDocument/2006/relationships/image" Target="media/image1.png"/><Relationship Id="rId10" Type="http://schemas.openxmlformats.org/officeDocument/2006/relationships/hyperlink" Target="https://www.google.com/search?q=https://doi.org/10.38142/jtep.v2i3.404" TargetMode="External"/><Relationship Id="rId4" Type="http://schemas.openxmlformats.org/officeDocument/2006/relationships/webSettings" Target="webSettings.xml"/><Relationship Id="rId9" Type="http://schemas.openxmlformats.org/officeDocument/2006/relationships/hyperlink" Target="https://doi.org/10.3390/su13063351"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778</Words>
  <Characters>4440</Characters>
  <Application>Microsoft Office Word</Application>
  <DocSecurity>0</DocSecurity>
  <Lines>37</Lines>
  <Paragraphs>10</Paragraphs>
  <ScaleCrop>false</ScaleCrop>
  <Company/>
  <LinksUpToDate>false</LinksUpToDate>
  <CharactersWithSpaces>5208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2026-01-27T04:56:00Z</dcterms:created>
  <dcterms:modified xsi:type="dcterms:W3CDTF">2026-01-27T04:56:00Z</dcterms:modified>
</cp:coreProperties>
</file>