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638E6" w14:textId="77777777"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C1D945" w14:textId="77777777"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14:paraId="6DB926DF" w14:textId="77777777"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</w:t>
      </w:r>
      <w:r w:rsidR="007C7917">
        <w:rPr>
          <w:lang w:val="en-US"/>
        </w:rPr>
        <w:t xml:space="preserve"> </w:t>
      </w:r>
      <w:r w:rsidR="00232559">
        <w:rPr>
          <w:lang w:val="en-US"/>
        </w:rPr>
        <w:t>1</w:t>
      </w:r>
      <w:r w:rsidR="007079EF">
        <w:rPr>
          <w:lang w:val="en-US"/>
        </w:rPr>
        <w:t>1</w:t>
      </w:r>
    </w:p>
    <w:p w14:paraId="73152E1F" w14:textId="77777777" w:rsidR="00672345" w:rsidRPr="0019504D" w:rsidRDefault="007079EF" w:rsidP="00672345">
      <w:pPr>
        <w:rPr>
          <w:lang w:val="en-US"/>
        </w:rPr>
      </w:pPr>
      <w:r>
        <w:rPr>
          <w:lang w:val="en-US"/>
        </w:rPr>
        <w:t>24</w:t>
      </w:r>
      <w:r w:rsidR="00672345">
        <w:rPr>
          <w:lang w:val="en-US"/>
        </w:rPr>
        <w:t>.0</w:t>
      </w:r>
      <w:r w:rsidR="00705037">
        <w:rPr>
          <w:lang w:val="en-US"/>
        </w:rPr>
        <w:t>6</w:t>
      </w:r>
      <w:r w:rsidR="00672345">
        <w:rPr>
          <w:lang w:val="en-US"/>
        </w:rPr>
        <w:t>.2026</w:t>
      </w:r>
    </w:p>
    <w:p w14:paraId="0E9757DF" w14:textId="77777777" w:rsidR="00672345" w:rsidRDefault="00672345"/>
    <w:p w14:paraId="5F12BC2F" w14:textId="77777777" w:rsidR="00672345" w:rsidRDefault="00672345"/>
    <w:p w14:paraId="6CCA3D6D" w14:textId="77777777" w:rsidR="00672345" w:rsidRDefault="00672345"/>
    <w:p w14:paraId="25A35D16" w14:textId="77777777" w:rsidR="00672345" w:rsidRDefault="00672345"/>
    <w:p w14:paraId="0736CA6B" w14:textId="77777777" w:rsidR="00672345" w:rsidRDefault="00672345"/>
    <w:p w14:paraId="5C0031E7" w14:textId="77777777" w:rsidR="00672345" w:rsidRDefault="00672345"/>
    <w:p w14:paraId="0E874C41" w14:textId="77777777" w:rsidR="00672345" w:rsidRDefault="00672345"/>
    <w:p w14:paraId="77850B36" w14:textId="77777777" w:rsidR="00672345" w:rsidRDefault="00672345"/>
    <w:p w14:paraId="460C2043" w14:textId="77777777" w:rsidR="00672345" w:rsidRDefault="00672345"/>
    <w:p w14:paraId="5A3E77BD" w14:textId="77777777" w:rsidR="00672345" w:rsidRDefault="00672345"/>
    <w:p w14:paraId="29847FDA" w14:textId="77777777" w:rsidR="00672345" w:rsidRDefault="00672345"/>
    <w:p w14:paraId="5B29A124" w14:textId="77777777" w:rsidR="00672345" w:rsidRDefault="00672345"/>
    <w:p w14:paraId="6717BED6" w14:textId="77777777" w:rsidR="00672345" w:rsidRDefault="00672345"/>
    <w:p w14:paraId="15011301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Choose a cultural heritage site and conduct a SWOT Analysis of the selected site.</w:t>
      </w:r>
    </w:p>
    <w:p w14:paraId="6542B91F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Strengths</w:t>
      </w:r>
    </w:p>
    <w:p w14:paraId="4BC4B719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Weaknesses</w:t>
      </w:r>
    </w:p>
    <w:p w14:paraId="54B115F1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Opportunities</w:t>
      </w:r>
    </w:p>
    <w:p w14:paraId="28A3B2EB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Threats</w:t>
      </w:r>
    </w:p>
    <w:p w14:paraId="2B139838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</w:p>
    <w:p w14:paraId="29C374B0" w14:textId="77777777" w:rsid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Link the SWOT analysis to</w:t>
      </w:r>
      <w:r>
        <w:rPr>
          <w:b/>
          <w:bCs/>
          <w:lang w:val="en-US"/>
        </w:rPr>
        <w:t>:</w:t>
      </w:r>
    </w:p>
    <w:p w14:paraId="4A603D55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Objectives</w:t>
      </w:r>
    </w:p>
    <w:p w14:paraId="691DC4F6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Strategies</w:t>
      </w:r>
    </w:p>
    <w:p w14:paraId="3619FE77" w14:textId="77777777" w:rsidR="00CF34F8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Actions</w:t>
      </w:r>
    </w:p>
    <w:p w14:paraId="7F7E0BC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6BD2C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44665C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1FE3CA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777054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0EE4B17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CB21ED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0783E1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24FD58F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8BD372F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229C3BE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2C156B8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40728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31531C5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9C1ECA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2C2CD1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0D8EB243" w14:textId="77777777" w:rsidR="0089075B" w:rsidRPr="0089075B" w:rsidRDefault="0089075B" w:rsidP="0089075B">
      <w:pPr>
        <w:pStyle w:val="ListParagraph"/>
        <w:spacing w:line="276" w:lineRule="auto"/>
        <w:rPr>
          <w:b/>
          <w:bCs/>
          <w:lang w:val="en-GB"/>
        </w:rPr>
      </w:pPr>
      <w:r w:rsidRPr="0089075B">
        <w:rPr>
          <w:b/>
          <w:bCs/>
          <w:lang w:val="en-GB"/>
        </w:rPr>
        <w:lastRenderedPageBreak/>
        <w:t>SWOT Analysis of Machu Picchu (Peru)</w:t>
      </w:r>
    </w:p>
    <w:p w14:paraId="36597022" w14:textId="77777777" w:rsidR="0089075B" w:rsidRPr="0089075B" w:rsidRDefault="0089075B" w:rsidP="0089075B">
      <w:pPr>
        <w:pStyle w:val="ListParagraph"/>
        <w:spacing w:line="276" w:lineRule="auto"/>
        <w:rPr>
          <w:b/>
          <w:bCs/>
          <w:lang w:val="en-GB"/>
        </w:rPr>
      </w:pPr>
      <w:r w:rsidRPr="0089075B">
        <w:rPr>
          <w:b/>
          <w:bCs/>
          <w:lang w:val="en-GB"/>
        </w:rPr>
        <w:t>SWOT Analysis Table</w:t>
      </w: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2169"/>
        <w:gridCol w:w="2277"/>
        <w:gridCol w:w="2277"/>
        <w:gridCol w:w="2293"/>
      </w:tblGrid>
      <w:tr w:rsidR="0089075B" w:rsidRPr="0089075B" w14:paraId="5BC3901B" w14:textId="77777777" w:rsidTr="008907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02FA03F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Strengths</w:t>
            </w:r>
          </w:p>
        </w:tc>
        <w:tc>
          <w:tcPr>
            <w:tcW w:w="0" w:type="auto"/>
            <w:hideMark/>
          </w:tcPr>
          <w:p w14:paraId="5E2346D5" w14:textId="77777777" w:rsidR="0089075B" w:rsidRPr="0089075B" w:rsidRDefault="0089075B" w:rsidP="0089075B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Weaknesses</w:t>
            </w:r>
          </w:p>
        </w:tc>
        <w:tc>
          <w:tcPr>
            <w:tcW w:w="0" w:type="auto"/>
            <w:hideMark/>
          </w:tcPr>
          <w:p w14:paraId="0A615131" w14:textId="77777777" w:rsidR="0089075B" w:rsidRPr="0089075B" w:rsidRDefault="0089075B" w:rsidP="0089075B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Opportunities</w:t>
            </w:r>
          </w:p>
        </w:tc>
        <w:tc>
          <w:tcPr>
            <w:tcW w:w="0" w:type="auto"/>
            <w:hideMark/>
          </w:tcPr>
          <w:p w14:paraId="52748949" w14:textId="77777777" w:rsidR="0089075B" w:rsidRPr="0089075B" w:rsidRDefault="0089075B" w:rsidP="0089075B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Threats</w:t>
            </w:r>
          </w:p>
        </w:tc>
      </w:tr>
      <w:tr w:rsidR="0089075B" w:rsidRPr="0089075B" w14:paraId="7D7C4421" w14:textId="77777777" w:rsidTr="008907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87C4CCC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UNESCO World Heritage Site and one of the New Seven Wonders of the World.</w:t>
            </w:r>
          </w:p>
        </w:tc>
        <w:tc>
          <w:tcPr>
            <w:tcW w:w="0" w:type="auto"/>
            <w:hideMark/>
          </w:tcPr>
          <w:p w14:paraId="539B2B04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Fragile archaeological structures require continuous conservation and restoration.</w:t>
            </w:r>
          </w:p>
        </w:tc>
        <w:tc>
          <w:tcPr>
            <w:tcW w:w="0" w:type="auto"/>
            <w:hideMark/>
          </w:tcPr>
          <w:p w14:paraId="02CE0A81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Expand digital tourism through virtual tours and interactive visitor experiences.</w:t>
            </w:r>
          </w:p>
        </w:tc>
        <w:tc>
          <w:tcPr>
            <w:tcW w:w="0" w:type="auto"/>
            <w:hideMark/>
          </w:tcPr>
          <w:p w14:paraId="3575A65E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Climate change, heavy rainfall, and landslides threaten the site's preservation.</w:t>
            </w:r>
          </w:p>
        </w:tc>
      </w:tr>
      <w:tr w:rsidR="0089075B" w:rsidRPr="0089075B" w14:paraId="4CCD290A" w14:textId="77777777" w:rsidTr="008907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34EB0FB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Exceptional Incan architecture and cultural significance attract millions of international tourists.</w:t>
            </w:r>
          </w:p>
        </w:tc>
        <w:tc>
          <w:tcPr>
            <w:tcW w:w="0" w:type="auto"/>
            <w:hideMark/>
          </w:tcPr>
          <w:p w14:paraId="1CE864ED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Limited carrying capacity restricts the number of daily visitors.</w:t>
            </w:r>
          </w:p>
        </w:tc>
        <w:tc>
          <w:tcPr>
            <w:tcW w:w="0" w:type="auto"/>
            <w:hideMark/>
          </w:tcPr>
          <w:p w14:paraId="1A74A67A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Promote sustainable tourism by involving local communities in tourism management.</w:t>
            </w:r>
          </w:p>
        </w:tc>
        <w:tc>
          <w:tcPr>
            <w:tcW w:w="0" w:type="auto"/>
            <w:hideMark/>
          </w:tcPr>
          <w:p w14:paraId="082349A6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Overtourism can damage trails, ruins, and the surrounding ecosystem.</w:t>
            </w:r>
          </w:p>
        </w:tc>
      </w:tr>
      <w:tr w:rsidR="0089075B" w:rsidRPr="0089075B" w14:paraId="709D3082" w14:textId="77777777" w:rsidTr="008907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5AC4643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Significant contributor to Peru's tourism industry and local economy.</w:t>
            </w:r>
          </w:p>
        </w:tc>
        <w:tc>
          <w:tcPr>
            <w:tcW w:w="0" w:type="auto"/>
            <w:hideMark/>
          </w:tcPr>
          <w:p w14:paraId="6D106C2D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Remote mountain location makes accessibility challenging for some visitors.</w:t>
            </w:r>
          </w:p>
        </w:tc>
        <w:tc>
          <w:tcPr>
            <w:tcW w:w="0" w:type="auto"/>
            <w:hideMark/>
          </w:tcPr>
          <w:p w14:paraId="2A12F3A9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Increase international research collaborations and archaeological studies.</w:t>
            </w:r>
          </w:p>
        </w:tc>
        <w:tc>
          <w:tcPr>
            <w:tcW w:w="0" w:type="auto"/>
            <w:hideMark/>
          </w:tcPr>
          <w:p w14:paraId="341A50DE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Illegal tourism activities and environmental degradation may negatively impact the site.</w:t>
            </w:r>
          </w:p>
        </w:tc>
      </w:tr>
    </w:tbl>
    <w:p w14:paraId="595ADF97" w14:textId="77777777" w:rsidR="0089075B" w:rsidRPr="0089075B" w:rsidRDefault="0089075B" w:rsidP="0089075B">
      <w:pPr>
        <w:pStyle w:val="ListParagraph"/>
        <w:spacing w:line="276" w:lineRule="auto"/>
        <w:rPr>
          <w:lang w:val="en-GB"/>
        </w:rPr>
      </w:pPr>
      <w:r w:rsidRPr="0089075B">
        <w:rPr>
          <w:lang w:val="en-GB"/>
        </w:rPr>
        <w:pict w14:anchorId="42D7002D">
          <v:rect id="_x0000_i1073" style="width:0;height:1.5pt" o:hralign="center" o:hrstd="t" o:hr="t" fillcolor="#a0a0a0" stroked="f"/>
        </w:pict>
      </w:r>
    </w:p>
    <w:p w14:paraId="0E408125" w14:textId="77777777" w:rsidR="0089075B" w:rsidRPr="0089075B" w:rsidRDefault="0089075B" w:rsidP="0089075B">
      <w:pPr>
        <w:pStyle w:val="ListParagraph"/>
        <w:spacing w:line="276" w:lineRule="auto"/>
        <w:rPr>
          <w:b/>
          <w:bCs/>
          <w:lang w:val="en-GB"/>
        </w:rPr>
      </w:pPr>
      <w:r w:rsidRPr="0089075B">
        <w:rPr>
          <w:b/>
          <w:bCs/>
          <w:lang w:val="en-GB"/>
        </w:rPr>
        <w:t>Linking the SWOT Analysis to Objectives, Strategies, and Actions</w:t>
      </w: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2281"/>
        <w:gridCol w:w="2245"/>
        <w:gridCol w:w="2245"/>
        <w:gridCol w:w="2245"/>
      </w:tblGrid>
      <w:tr w:rsidR="0089075B" w:rsidRPr="0089075B" w14:paraId="0EBB107E" w14:textId="77777777" w:rsidTr="008907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BA72163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SWOT Factor</w:t>
            </w:r>
          </w:p>
        </w:tc>
        <w:tc>
          <w:tcPr>
            <w:tcW w:w="0" w:type="auto"/>
            <w:hideMark/>
          </w:tcPr>
          <w:p w14:paraId="35B8AE9A" w14:textId="77777777" w:rsidR="0089075B" w:rsidRPr="0089075B" w:rsidRDefault="0089075B" w:rsidP="0089075B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Objective</w:t>
            </w:r>
          </w:p>
        </w:tc>
        <w:tc>
          <w:tcPr>
            <w:tcW w:w="0" w:type="auto"/>
            <w:hideMark/>
          </w:tcPr>
          <w:p w14:paraId="090F2968" w14:textId="77777777" w:rsidR="0089075B" w:rsidRPr="0089075B" w:rsidRDefault="0089075B" w:rsidP="0089075B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Strategy</w:t>
            </w:r>
          </w:p>
        </w:tc>
        <w:tc>
          <w:tcPr>
            <w:tcW w:w="0" w:type="auto"/>
            <w:hideMark/>
          </w:tcPr>
          <w:p w14:paraId="25B43DFE" w14:textId="77777777" w:rsidR="0089075B" w:rsidRPr="0089075B" w:rsidRDefault="0089075B" w:rsidP="0089075B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Actions</w:t>
            </w:r>
          </w:p>
        </w:tc>
      </w:tr>
      <w:tr w:rsidR="0089075B" w:rsidRPr="0089075B" w14:paraId="5750CD20" w14:textId="77777777" w:rsidTr="008907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97475BC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Strength 1: UNESCO World Heritage recognition</w:t>
            </w:r>
          </w:p>
        </w:tc>
        <w:tc>
          <w:tcPr>
            <w:tcW w:w="0" w:type="auto"/>
            <w:hideMark/>
          </w:tcPr>
          <w:p w14:paraId="43D57D78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 xml:space="preserve">Preserve Machu Picchu as a globally recognized </w:t>
            </w:r>
            <w:r w:rsidRPr="0089075B">
              <w:rPr>
                <w:lang w:val="en-GB"/>
              </w:rPr>
              <w:lastRenderedPageBreak/>
              <w:t>cultural heritage site.</w:t>
            </w:r>
          </w:p>
        </w:tc>
        <w:tc>
          <w:tcPr>
            <w:tcW w:w="0" w:type="auto"/>
            <w:hideMark/>
          </w:tcPr>
          <w:p w14:paraId="703B4C11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lastRenderedPageBreak/>
              <w:t>Strengthen international conservation partnerships.</w:t>
            </w:r>
          </w:p>
        </w:tc>
        <w:tc>
          <w:tcPr>
            <w:tcW w:w="0" w:type="auto"/>
            <w:hideMark/>
          </w:tcPr>
          <w:p w14:paraId="2DE22276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 xml:space="preserve">Collaborate with UNESCO and heritage organizations to secure funding and </w:t>
            </w:r>
            <w:r w:rsidRPr="0089075B">
              <w:rPr>
                <w:lang w:val="en-GB"/>
              </w:rPr>
              <w:lastRenderedPageBreak/>
              <w:t>technical support for preservation projects.</w:t>
            </w:r>
          </w:p>
        </w:tc>
      </w:tr>
      <w:tr w:rsidR="0089075B" w:rsidRPr="0089075B" w14:paraId="32B57D84" w14:textId="77777777" w:rsidTr="008907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1DA30AC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lastRenderedPageBreak/>
              <w:t>Strength 2: Unique Incan architecture</w:t>
            </w:r>
          </w:p>
        </w:tc>
        <w:tc>
          <w:tcPr>
            <w:tcW w:w="0" w:type="auto"/>
            <w:hideMark/>
          </w:tcPr>
          <w:p w14:paraId="3A8A0D7A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Enhance cultural education and visitor appreciation.</w:t>
            </w:r>
          </w:p>
        </w:tc>
        <w:tc>
          <w:tcPr>
            <w:tcW w:w="0" w:type="auto"/>
            <w:hideMark/>
          </w:tcPr>
          <w:p w14:paraId="5D33D6BD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Develop educational tourism initiatives.</w:t>
            </w:r>
          </w:p>
        </w:tc>
        <w:tc>
          <w:tcPr>
            <w:tcW w:w="0" w:type="auto"/>
            <w:hideMark/>
          </w:tcPr>
          <w:p w14:paraId="28C1ED33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Organize guided tours, cultural exhibitions, and educational workshops highlighting Incan history and architecture.</w:t>
            </w:r>
          </w:p>
        </w:tc>
      </w:tr>
      <w:tr w:rsidR="0089075B" w:rsidRPr="0089075B" w14:paraId="58B5F44E" w14:textId="77777777" w:rsidTr="008907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79D0F6F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Strength 3: Strong tourism demand</w:t>
            </w:r>
          </w:p>
        </w:tc>
        <w:tc>
          <w:tcPr>
            <w:tcW w:w="0" w:type="auto"/>
            <w:hideMark/>
          </w:tcPr>
          <w:p w14:paraId="5F661766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Increase tourism revenue while protecting the heritage site.</w:t>
            </w:r>
          </w:p>
        </w:tc>
        <w:tc>
          <w:tcPr>
            <w:tcW w:w="0" w:type="auto"/>
            <w:hideMark/>
          </w:tcPr>
          <w:p w14:paraId="6A9C8A7B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Improve sustainable visitor management.</w:t>
            </w:r>
          </w:p>
        </w:tc>
        <w:tc>
          <w:tcPr>
            <w:tcW w:w="0" w:type="auto"/>
            <w:hideMark/>
          </w:tcPr>
          <w:p w14:paraId="12797624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Implement online booking systems, timed-entry tickets, and professional tour guide services.</w:t>
            </w:r>
          </w:p>
        </w:tc>
      </w:tr>
      <w:tr w:rsidR="0089075B" w:rsidRPr="0089075B" w14:paraId="4569A746" w14:textId="77777777" w:rsidTr="008907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76A3B23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Weakness 1: Fragile archaeological structures</w:t>
            </w:r>
          </w:p>
        </w:tc>
        <w:tc>
          <w:tcPr>
            <w:tcW w:w="0" w:type="auto"/>
            <w:hideMark/>
          </w:tcPr>
          <w:p w14:paraId="216B8FA6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Minimize physical deterioration of the monument.</w:t>
            </w:r>
          </w:p>
        </w:tc>
        <w:tc>
          <w:tcPr>
            <w:tcW w:w="0" w:type="auto"/>
            <w:hideMark/>
          </w:tcPr>
          <w:p w14:paraId="3672964B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Strengthen conservation and restoration programs.</w:t>
            </w:r>
          </w:p>
        </w:tc>
        <w:tc>
          <w:tcPr>
            <w:tcW w:w="0" w:type="auto"/>
            <w:hideMark/>
          </w:tcPr>
          <w:p w14:paraId="64FC7D8E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Conduct regular structural inspections, restoration work, and preventive maintenance using conservation best practices.</w:t>
            </w:r>
          </w:p>
        </w:tc>
      </w:tr>
      <w:tr w:rsidR="0089075B" w:rsidRPr="0089075B" w14:paraId="4852EC14" w14:textId="77777777" w:rsidTr="008907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142F77C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Weakness 2: Limited visitor capacity</w:t>
            </w:r>
          </w:p>
        </w:tc>
        <w:tc>
          <w:tcPr>
            <w:tcW w:w="0" w:type="auto"/>
            <w:hideMark/>
          </w:tcPr>
          <w:p w14:paraId="011CF55E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 xml:space="preserve">Improve visitor experience while preventing </w:t>
            </w:r>
            <w:r w:rsidRPr="0089075B">
              <w:rPr>
                <w:lang w:val="en-GB"/>
              </w:rPr>
              <w:lastRenderedPageBreak/>
              <w:t>overcrowding.</w:t>
            </w:r>
          </w:p>
        </w:tc>
        <w:tc>
          <w:tcPr>
            <w:tcW w:w="0" w:type="auto"/>
            <w:hideMark/>
          </w:tcPr>
          <w:p w14:paraId="4EFDB5CB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lastRenderedPageBreak/>
              <w:t>Implement visitor capacity management.</w:t>
            </w:r>
          </w:p>
        </w:tc>
        <w:tc>
          <w:tcPr>
            <w:tcW w:w="0" w:type="auto"/>
            <w:hideMark/>
          </w:tcPr>
          <w:p w14:paraId="76341D3F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 xml:space="preserve">Limit daily visitor numbers and promote visits during </w:t>
            </w:r>
            <w:r w:rsidRPr="0089075B">
              <w:rPr>
                <w:lang w:val="en-GB"/>
              </w:rPr>
              <w:lastRenderedPageBreak/>
              <w:t>off-peak seasons.</w:t>
            </w:r>
          </w:p>
        </w:tc>
      </w:tr>
      <w:tr w:rsidR="0089075B" w:rsidRPr="0089075B" w14:paraId="31C580CB" w14:textId="77777777" w:rsidTr="008907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0378E36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lastRenderedPageBreak/>
              <w:t>Weakness 3: Difficult accessibility</w:t>
            </w:r>
          </w:p>
        </w:tc>
        <w:tc>
          <w:tcPr>
            <w:tcW w:w="0" w:type="auto"/>
            <w:hideMark/>
          </w:tcPr>
          <w:p w14:paraId="5E578A60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Improve access while protecting the natural environment.</w:t>
            </w:r>
          </w:p>
        </w:tc>
        <w:tc>
          <w:tcPr>
            <w:tcW w:w="0" w:type="auto"/>
            <w:hideMark/>
          </w:tcPr>
          <w:p w14:paraId="5F648021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Upgrade sustainable transportation and visitor facilities.</w:t>
            </w:r>
          </w:p>
        </w:tc>
        <w:tc>
          <w:tcPr>
            <w:tcW w:w="0" w:type="auto"/>
            <w:hideMark/>
          </w:tcPr>
          <w:p w14:paraId="2D946A79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Improve eco-friendly transport options, signage, and accessible visitor facilities where feasible.</w:t>
            </w:r>
          </w:p>
        </w:tc>
      </w:tr>
      <w:tr w:rsidR="0089075B" w:rsidRPr="0089075B" w14:paraId="17ED7B56" w14:textId="77777777" w:rsidTr="008907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0EAC79D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Opportunity 1: Digital tourism</w:t>
            </w:r>
          </w:p>
        </w:tc>
        <w:tc>
          <w:tcPr>
            <w:tcW w:w="0" w:type="auto"/>
            <w:hideMark/>
          </w:tcPr>
          <w:p w14:paraId="49F879AC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Expand global access to Machu Picchu.</w:t>
            </w:r>
          </w:p>
        </w:tc>
        <w:tc>
          <w:tcPr>
            <w:tcW w:w="0" w:type="auto"/>
            <w:hideMark/>
          </w:tcPr>
          <w:p w14:paraId="5C6098B2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Invest in digital technologies.</w:t>
            </w:r>
          </w:p>
        </w:tc>
        <w:tc>
          <w:tcPr>
            <w:tcW w:w="0" w:type="auto"/>
            <w:hideMark/>
          </w:tcPr>
          <w:p w14:paraId="00CEC879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Develop virtual reality (VR), augmented reality (AR), and interactive mobile applications.</w:t>
            </w:r>
          </w:p>
        </w:tc>
      </w:tr>
      <w:tr w:rsidR="0089075B" w:rsidRPr="0089075B" w14:paraId="2BDB5E83" w14:textId="77777777" w:rsidTr="008907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CA1609F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Opportunity 2: Community involvement</w:t>
            </w:r>
          </w:p>
        </w:tc>
        <w:tc>
          <w:tcPr>
            <w:tcW w:w="0" w:type="auto"/>
            <w:hideMark/>
          </w:tcPr>
          <w:p w14:paraId="26047297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Improve local economic development.</w:t>
            </w:r>
          </w:p>
        </w:tc>
        <w:tc>
          <w:tcPr>
            <w:tcW w:w="0" w:type="auto"/>
            <w:hideMark/>
          </w:tcPr>
          <w:p w14:paraId="13ACDD3E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Encourage community-based tourism.</w:t>
            </w:r>
          </w:p>
        </w:tc>
        <w:tc>
          <w:tcPr>
            <w:tcW w:w="0" w:type="auto"/>
            <w:hideMark/>
          </w:tcPr>
          <w:p w14:paraId="69B04F34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Support local businesses, cultural performances, handicraft markets, and employment opportunities for nearby communities.</w:t>
            </w:r>
          </w:p>
        </w:tc>
      </w:tr>
      <w:tr w:rsidR="0089075B" w:rsidRPr="0089075B" w14:paraId="3CC9BC7A" w14:textId="77777777" w:rsidTr="008907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9C596DE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Opportunity 3: International research</w:t>
            </w:r>
          </w:p>
        </w:tc>
        <w:tc>
          <w:tcPr>
            <w:tcW w:w="0" w:type="auto"/>
            <w:hideMark/>
          </w:tcPr>
          <w:p w14:paraId="4C397CDE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Increase archaeological knowledge and conservation innovation.</w:t>
            </w:r>
          </w:p>
        </w:tc>
        <w:tc>
          <w:tcPr>
            <w:tcW w:w="0" w:type="auto"/>
            <w:hideMark/>
          </w:tcPr>
          <w:p w14:paraId="54782FA8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Promote academic partnerships.</w:t>
            </w:r>
          </w:p>
        </w:tc>
        <w:tc>
          <w:tcPr>
            <w:tcW w:w="0" w:type="auto"/>
            <w:hideMark/>
          </w:tcPr>
          <w:p w14:paraId="21C92629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 xml:space="preserve">Collaborate with universities and research institutions on archaeological excavations </w:t>
            </w:r>
            <w:r w:rsidRPr="0089075B">
              <w:rPr>
                <w:lang w:val="en-GB"/>
              </w:rPr>
              <w:lastRenderedPageBreak/>
              <w:t>and conservation studies.</w:t>
            </w:r>
          </w:p>
        </w:tc>
      </w:tr>
      <w:tr w:rsidR="0089075B" w:rsidRPr="0089075B" w14:paraId="5BA4B84C" w14:textId="77777777" w:rsidTr="008907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2505609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lastRenderedPageBreak/>
              <w:t>Threat 1: Climate change and landslides</w:t>
            </w:r>
          </w:p>
        </w:tc>
        <w:tc>
          <w:tcPr>
            <w:tcW w:w="0" w:type="auto"/>
            <w:hideMark/>
          </w:tcPr>
          <w:p w14:paraId="7F015635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Reduce environmental risks to the heritage site.</w:t>
            </w:r>
          </w:p>
        </w:tc>
        <w:tc>
          <w:tcPr>
            <w:tcW w:w="0" w:type="auto"/>
            <w:hideMark/>
          </w:tcPr>
          <w:p w14:paraId="71551F45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Implement environmental monitoring and disaster preparedness.</w:t>
            </w:r>
          </w:p>
        </w:tc>
        <w:tc>
          <w:tcPr>
            <w:tcW w:w="0" w:type="auto"/>
            <w:hideMark/>
          </w:tcPr>
          <w:p w14:paraId="699D892F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Install monitoring systems, improve drainage infrastructure, and develop emergency response plans.</w:t>
            </w:r>
          </w:p>
        </w:tc>
      </w:tr>
      <w:tr w:rsidR="0089075B" w:rsidRPr="0089075B" w14:paraId="555348AC" w14:textId="77777777" w:rsidTr="008907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93F2ED9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Threat 2: Overtourism</w:t>
            </w:r>
          </w:p>
        </w:tc>
        <w:tc>
          <w:tcPr>
            <w:tcW w:w="0" w:type="auto"/>
            <w:hideMark/>
          </w:tcPr>
          <w:p w14:paraId="67F5229B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Protect archaeological remains and natural landscapes.</w:t>
            </w:r>
          </w:p>
        </w:tc>
        <w:tc>
          <w:tcPr>
            <w:tcW w:w="0" w:type="auto"/>
            <w:hideMark/>
          </w:tcPr>
          <w:p w14:paraId="423D841A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Strengthen visitor management policies.</w:t>
            </w:r>
          </w:p>
        </w:tc>
        <w:tc>
          <w:tcPr>
            <w:tcW w:w="0" w:type="auto"/>
            <w:hideMark/>
          </w:tcPr>
          <w:p w14:paraId="4D01B395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Enforce visitor limits, designated walking routes, and stricter conservation regulations.</w:t>
            </w:r>
          </w:p>
        </w:tc>
      </w:tr>
      <w:tr w:rsidR="0089075B" w:rsidRPr="0089075B" w14:paraId="4FE8DAFE" w14:textId="77777777" w:rsidTr="008907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717DDC0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Threat 3: Environmental degradation</w:t>
            </w:r>
          </w:p>
        </w:tc>
        <w:tc>
          <w:tcPr>
            <w:tcW w:w="0" w:type="auto"/>
            <w:hideMark/>
          </w:tcPr>
          <w:p w14:paraId="69A304D6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Maintain the ecological balance surrounding the site.</w:t>
            </w:r>
          </w:p>
        </w:tc>
        <w:tc>
          <w:tcPr>
            <w:tcW w:w="0" w:type="auto"/>
            <w:hideMark/>
          </w:tcPr>
          <w:p w14:paraId="2DFD69C6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Promote sustainable environmental management.</w:t>
            </w:r>
          </w:p>
        </w:tc>
        <w:tc>
          <w:tcPr>
            <w:tcW w:w="0" w:type="auto"/>
            <w:hideMark/>
          </w:tcPr>
          <w:p w14:paraId="6DCF9736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Implement waste reduction programs, biodiversity conservation projects, and regular environmental impact assessments.</w:t>
            </w:r>
          </w:p>
        </w:tc>
      </w:tr>
    </w:tbl>
    <w:p w14:paraId="33261D2A" w14:textId="77777777" w:rsidR="0089075B" w:rsidRPr="0089075B" w:rsidRDefault="0089075B" w:rsidP="0089075B">
      <w:pPr>
        <w:pStyle w:val="ListParagraph"/>
        <w:spacing w:line="276" w:lineRule="auto"/>
        <w:rPr>
          <w:lang w:val="en-GB"/>
        </w:rPr>
      </w:pPr>
      <w:r w:rsidRPr="0089075B">
        <w:rPr>
          <w:lang w:val="en-GB"/>
        </w:rPr>
        <w:pict w14:anchorId="4D2E8AC6">
          <v:rect id="_x0000_i1074" style="width:0;height:1.5pt" o:hralign="center" o:hrstd="t" o:hr="t" fillcolor="#a0a0a0" stroked="f"/>
        </w:pict>
      </w:r>
    </w:p>
    <w:p w14:paraId="58399465" w14:textId="77777777" w:rsidR="0089075B" w:rsidRPr="0089075B" w:rsidRDefault="0089075B" w:rsidP="0089075B">
      <w:pPr>
        <w:pStyle w:val="ListParagraph"/>
        <w:spacing w:line="276" w:lineRule="auto"/>
        <w:rPr>
          <w:b/>
          <w:bCs/>
          <w:lang w:val="en-GB"/>
        </w:rPr>
      </w:pPr>
      <w:r w:rsidRPr="0089075B">
        <w:rPr>
          <w:b/>
          <w:bCs/>
          <w:lang w:val="en-GB"/>
        </w:rPr>
        <w:t>Summary Table</w:t>
      </w: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1979"/>
        <w:gridCol w:w="7037"/>
      </w:tblGrid>
      <w:tr w:rsidR="0089075B" w:rsidRPr="0089075B" w14:paraId="5EACB48A" w14:textId="77777777" w:rsidTr="008907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3FED31D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Category</w:t>
            </w:r>
          </w:p>
        </w:tc>
        <w:tc>
          <w:tcPr>
            <w:tcW w:w="0" w:type="auto"/>
            <w:hideMark/>
          </w:tcPr>
          <w:p w14:paraId="51F5D301" w14:textId="77777777" w:rsidR="0089075B" w:rsidRPr="0089075B" w:rsidRDefault="0089075B" w:rsidP="0089075B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Key Focus</w:t>
            </w:r>
          </w:p>
        </w:tc>
      </w:tr>
      <w:tr w:rsidR="0089075B" w:rsidRPr="0089075B" w14:paraId="1D18E3B6" w14:textId="77777777" w:rsidTr="008907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296F08B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Objectives</w:t>
            </w:r>
          </w:p>
        </w:tc>
        <w:tc>
          <w:tcPr>
            <w:tcW w:w="0" w:type="auto"/>
            <w:hideMark/>
          </w:tcPr>
          <w:p w14:paraId="1396D93E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Preserve Machu Picchu's cultural heritage, improve visitor management, enhance conservation, promote sustainable tourism, and support local communities.</w:t>
            </w:r>
          </w:p>
        </w:tc>
      </w:tr>
      <w:tr w:rsidR="0089075B" w:rsidRPr="0089075B" w14:paraId="14FB37D2" w14:textId="77777777" w:rsidTr="008907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EE47BD5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lastRenderedPageBreak/>
              <w:t>Strategies</w:t>
            </w:r>
          </w:p>
        </w:tc>
        <w:tc>
          <w:tcPr>
            <w:tcW w:w="0" w:type="auto"/>
            <w:hideMark/>
          </w:tcPr>
          <w:p w14:paraId="7E6F757D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Heritage conservation, sustainable tourism, community participation, digital innovation, environmental protection, and international research collaboration.</w:t>
            </w:r>
          </w:p>
        </w:tc>
      </w:tr>
      <w:tr w:rsidR="0089075B" w:rsidRPr="0089075B" w14:paraId="73096F94" w14:textId="77777777" w:rsidTr="008907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4992D10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Actions</w:t>
            </w:r>
          </w:p>
        </w:tc>
        <w:tc>
          <w:tcPr>
            <w:tcW w:w="0" w:type="auto"/>
            <w:hideMark/>
          </w:tcPr>
          <w:p w14:paraId="03627404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Restoration projects, visitor quotas, VR and AR experiences, educational programs, eco-friendly transportation, environmental monitoring, local community partnerships, and disaster preparedness planning.</w:t>
            </w:r>
          </w:p>
        </w:tc>
      </w:tr>
    </w:tbl>
    <w:p w14:paraId="4090CE93" w14:textId="77777777" w:rsidR="004E190D" w:rsidRPr="007079EF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sectPr w:rsidR="004E190D" w:rsidRPr="007079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17B10F9-AD26-4048-84A5-C5216B0E673F}"/>
    <w:embedBold r:id="rId2" w:fontKey="{D13C3AB9-22A6-476E-8013-0489B829D7C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D9228B2D-EA10-48D7-A4A9-58535A4774AD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C28E2970-9F7D-4D84-B65E-CC84115DF031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3D8C"/>
    <w:multiLevelType w:val="hybridMultilevel"/>
    <w:tmpl w:val="BB52ED8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7A32492"/>
    <w:multiLevelType w:val="hybridMultilevel"/>
    <w:tmpl w:val="399EE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55465"/>
    <w:multiLevelType w:val="hybridMultilevel"/>
    <w:tmpl w:val="D08E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F3345"/>
    <w:multiLevelType w:val="hybridMultilevel"/>
    <w:tmpl w:val="516CF8DC"/>
    <w:lvl w:ilvl="0" w:tplc="816C7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A7426"/>
    <w:multiLevelType w:val="hybridMultilevel"/>
    <w:tmpl w:val="5C602C58"/>
    <w:lvl w:ilvl="0" w:tplc="E9BC69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66079D"/>
    <w:multiLevelType w:val="hybridMultilevel"/>
    <w:tmpl w:val="9A56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B07AF"/>
    <w:multiLevelType w:val="hybridMultilevel"/>
    <w:tmpl w:val="DF3A6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82321"/>
    <w:multiLevelType w:val="hybridMultilevel"/>
    <w:tmpl w:val="B6685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1B2512"/>
    <w:multiLevelType w:val="hybridMultilevel"/>
    <w:tmpl w:val="9A2E5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BF239E"/>
    <w:multiLevelType w:val="hybridMultilevel"/>
    <w:tmpl w:val="2E6AE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459CA"/>
    <w:multiLevelType w:val="hybridMultilevel"/>
    <w:tmpl w:val="AD0C1FCA"/>
    <w:lvl w:ilvl="0" w:tplc="74101CA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90511"/>
    <w:multiLevelType w:val="hybridMultilevel"/>
    <w:tmpl w:val="2DD22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2506">
    <w:abstractNumId w:val="3"/>
  </w:num>
  <w:num w:numId="2" w16cid:durableId="1882092387">
    <w:abstractNumId w:val="11"/>
  </w:num>
  <w:num w:numId="3" w16cid:durableId="1544052912">
    <w:abstractNumId w:val="0"/>
  </w:num>
  <w:num w:numId="4" w16cid:durableId="746540664">
    <w:abstractNumId w:val="1"/>
  </w:num>
  <w:num w:numId="5" w16cid:durableId="1108088842">
    <w:abstractNumId w:val="4"/>
  </w:num>
  <w:num w:numId="6" w16cid:durableId="1713579031">
    <w:abstractNumId w:val="10"/>
  </w:num>
  <w:num w:numId="7" w16cid:durableId="612253008">
    <w:abstractNumId w:val="9"/>
  </w:num>
  <w:num w:numId="8" w16cid:durableId="314267375">
    <w:abstractNumId w:val="7"/>
  </w:num>
  <w:num w:numId="9" w16cid:durableId="327443921">
    <w:abstractNumId w:val="8"/>
  </w:num>
  <w:num w:numId="10" w16cid:durableId="1481845840">
    <w:abstractNumId w:val="6"/>
  </w:num>
  <w:num w:numId="11" w16cid:durableId="1209099905">
    <w:abstractNumId w:val="5"/>
  </w:num>
  <w:num w:numId="12" w16cid:durableId="2084132962">
    <w:abstractNumId w:val="12"/>
  </w:num>
  <w:num w:numId="13" w16cid:durableId="867915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16EE8"/>
    <w:rsid w:val="0003533E"/>
    <w:rsid w:val="000F1FD0"/>
    <w:rsid w:val="001700EC"/>
    <w:rsid w:val="00174BB1"/>
    <w:rsid w:val="00224FD9"/>
    <w:rsid w:val="00232559"/>
    <w:rsid w:val="002F4AE0"/>
    <w:rsid w:val="00384E8A"/>
    <w:rsid w:val="003D1074"/>
    <w:rsid w:val="00426865"/>
    <w:rsid w:val="00477CAA"/>
    <w:rsid w:val="004E190D"/>
    <w:rsid w:val="00502E29"/>
    <w:rsid w:val="005E1FD5"/>
    <w:rsid w:val="005E458B"/>
    <w:rsid w:val="00672345"/>
    <w:rsid w:val="00705037"/>
    <w:rsid w:val="007079EF"/>
    <w:rsid w:val="007C7917"/>
    <w:rsid w:val="00844EC2"/>
    <w:rsid w:val="008516FE"/>
    <w:rsid w:val="0089075B"/>
    <w:rsid w:val="00942251"/>
    <w:rsid w:val="009C1D0A"/>
    <w:rsid w:val="00A044F7"/>
    <w:rsid w:val="00A057BE"/>
    <w:rsid w:val="00A8150E"/>
    <w:rsid w:val="00B20343"/>
    <w:rsid w:val="00B62C8D"/>
    <w:rsid w:val="00B85EA7"/>
    <w:rsid w:val="00BE5257"/>
    <w:rsid w:val="00BE65DD"/>
    <w:rsid w:val="00C612A4"/>
    <w:rsid w:val="00C80777"/>
    <w:rsid w:val="00CC6AD1"/>
    <w:rsid w:val="00CF34F8"/>
    <w:rsid w:val="00E6778A"/>
    <w:rsid w:val="00F25F5B"/>
    <w:rsid w:val="00F837B1"/>
    <w:rsid w:val="00FE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7DDCC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F34F8"/>
    <w:pPr>
      <w:ind w:left="720"/>
      <w:contextualSpacing/>
    </w:pPr>
  </w:style>
  <w:style w:type="table" w:styleId="PlainTable1">
    <w:name w:val="Plain Table 1"/>
    <w:basedOn w:val="TableNormal"/>
    <w:uiPriority w:val="41"/>
    <w:rsid w:val="004E190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4E1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4E190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">
    <w:name w:val="List Table 3"/>
    <w:basedOn w:val="TableNormal"/>
    <w:uiPriority w:val="48"/>
    <w:rsid w:val="00BE5257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GridTable1Light-Accent1">
    <w:name w:val="Grid Table 1 Light Accent 1"/>
    <w:basedOn w:val="TableNormal"/>
    <w:uiPriority w:val="46"/>
    <w:rsid w:val="008907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735</Words>
  <Characters>4195</Characters>
  <Application>Microsoft Office Word</Application>
  <DocSecurity>0</DocSecurity>
  <Lines>34</Lines>
  <Paragraphs>9</Paragraphs>
  <ScaleCrop>false</ScaleCrop>
  <Company/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33496</cp:lastModifiedBy>
  <cp:revision>2</cp:revision>
  <dcterms:created xsi:type="dcterms:W3CDTF">2026-06-25T14:04:00Z</dcterms:created>
  <dcterms:modified xsi:type="dcterms:W3CDTF">2026-06-25T14:04:00Z</dcterms:modified>
</cp:coreProperties>
</file>