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DC612" w14:textId="131D3BAC" w:rsidR="0056617A" w:rsidRPr="00CB667A" w:rsidRDefault="0056617A" w:rsidP="0056617A">
      <w:pPr>
        <w:rPr>
          <w:rFonts w:ascii="Times New Roman" w:hAnsi="Times New Roman" w:cs="Times New Roman"/>
        </w:rPr>
      </w:pPr>
      <w:r w:rsidRPr="00CB667A">
        <w:rPr>
          <w:rFonts w:ascii="Times New Roman" w:hAnsi="Times New Roman" w:cs="Times New Roman"/>
          <w:noProof/>
          <w:lang w:val="en-US"/>
        </w:rPr>
        <w:drawing>
          <wp:anchor distT="0" distB="0" distL="114300" distR="114300" simplePos="0" relativeHeight="251659264" behindDoc="1" locked="0" layoutInCell="1" allowOverlap="1" wp14:anchorId="6386F240" wp14:editId="49CD183E">
            <wp:simplePos x="0" y="0"/>
            <wp:positionH relativeFrom="margin">
              <wp:align>right</wp:align>
            </wp:positionH>
            <wp:positionV relativeFrom="paragraph">
              <wp:posOffset>0</wp:posOffset>
            </wp:positionV>
            <wp:extent cx="1537335" cy="1410970"/>
            <wp:effectExtent l="0" t="0" r="5715" b="0"/>
            <wp:wrapTight wrapText="bothSides">
              <wp:wrapPolygon edited="0">
                <wp:start x="0" y="0"/>
                <wp:lineTo x="0" y="21289"/>
                <wp:lineTo x="21413" y="21289"/>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D4C7E1E" w14:textId="77777777" w:rsidR="0056617A" w:rsidRPr="00CB667A" w:rsidRDefault="0056617A" w:rsidP="0056617A">
      <w:pPr>
        <w:rPr>
          <w:rFonts w:ascii="Times New Roman" w:hAnsi="Times New Roman" w:cs="Times New Roman"/>
        </w:rPr>
      </w:pPr>
      <w:r w:rsidRPr="00CB667A">
        <w:rPr>
          <w:rFonts w:ascii="Times New Roman" w:hAnsi="Times New Roman" w:cs="Times New Roman"/>
        </w:rPr>
        <w:t xml:space="preserve">Cultural Heritage Management </w:t>
      </w:r>
    </w:p>
    <w:p w14:paraId="3A8F1A2B" w14:textId="77777777" w:rsidR="0056617A" w:rsidRPr="00CB667A" w:rsidRDefault="0056617A" w:rsidP="0056617A">
      <w:pPr>
        <w:rPr>
          <w:rFonts w:ascii="Times New Roman" w:hAnsi="Times New Roman" w:cs="Times New Roman"/>
        </w:rPr>
      </w:pPr>
      <w:r w:rsidRPr="00CB667A">
        <w:rPr>
          <w:rFonts w:ascii="Times New Roman" w:hAnsi="Times New Roman" w:cs="Times New Roman"/>
        </w:rPr>
        <w:t>Assignment 5</w:t>
      </w:r>
    </w:p>
    <w:p w14:paraId="1EEBB239" w14:textId="77777777" w:rsidR="0056617A" w:rsidRPr="00CB667A" w:rsidRDefault="0056617A" w:rsidP="0056617A">
      <w:pPr>
        <w:rPr>
          <w:rFonts w:ascii="Times New Roman" w:hAnsi="Times New Roman" w:cs="Times New Roman"/>
        </w:rPr>
      </w:pPr>
      <w:r w:rsidRPr="00CB667A">
        <w:rPr>
          <w:rFonts w:ascii="Times New Roman" w:hAnsi="Times New Roman" w:cs="Times New Roman"/>
        </w:rPr>
        <w:t>12.05.2026</w:t>
      </w:r>
    </w:p>
    <w:p w14:paraId="3A545DD5" w14:textId="77777777" w:rsidR="0056617A" w:rsidRPr="00CB667A" w:rsidRDefault="0056617A" w:rsidP="0056617A">
      <w:pPr>
        <w:rPr>
          <w:rFonts w:ascii="Times New Roman" w:hAnsi="Times New Roman" w:cs="Times New Roman"/>
        </w:rPr>
      </w:pPr>
    </w:p>
    <w:p w14:paraId="3124E14F" w14:textId="77777777" w:rsidR="0056617A" w:rsidRPr="00CB667A" w:rsidRDefault="0056617A" w:rsidP="0056617A">
      <w:pPr>
        <w:spacing w:line="276" w:lineRule="auto"/>
        <w:rPr>
          <w:rFonts w:ascii="Times New Roman" w:hAnsi="Times New Roman" w:cs="Times New Roman"/>
          <w:lang w:val="en-US"/>
        </w:rPr>
      </w:pPr>
    </w:p>
    <w:p w14:paraId="4973D986" w14:textId="77777777" w:rsidR="0056617A" w:rsidRPr="00CB667A" w:rsidRDefault="0056617A" w:rsidP="0056617A">
      <w:pPr>
        <w:spacing w:line="276" w:lineRule="auto"/>
        <w:rPr>
          <w:rFonts w:ascii="Times New Roman" w:hAnsi="Times New Roman" w:cs="Times New Roman"/>
          <w:lang w:val="en-US"/>
        </w:rPr>
      </w:pPr>
    </w:p>
    <w:p w14:paraId="748CCBDD" w14:textId="77777777" w:rsidR="0056617A" w:rsidRPr="00CB667A" w:rsidRDefault="0056617A" w:rsidP="0056617A">
      <w:pPr>
        <w:spacing w:line="276" w:lineRule="auto"/>
        <w:rPr>
          <w:rFonts w:ascii="Times New Roman" w:hAnsi="Times New Roman" w:cs="Times New Roman"/>
          <w:lang w:val="en-US"/>
        </w:rPr>
      </w:pPr>
    </w:p>
    <w:p w14:paraId="3B4EE6B6" w14:textId="77777777" w:rsidR="0056617A" w:rsidRPr="00CB667A" w:rsidRDefault="0056617A" w:rsidP="0056617A">
      <w:pPr>
        <w:spacing w:line="276" w:lineRule="auto"/>
        <w:rPr>
          <w:rFonts w:ascii="Times New Roman" w:hAnsi="Times New Roman" w:cs="Times New Roman"/>
          <w:lang w:val="en-US"/>
        </w:rPr>
      </w:pPr>
    </w:p>
    <w:p w14:paraId="009F6910" w14:textId="77777777" w:rsidR="0056617A" w:rsidRPr="00CB667A" w:rsidRDefault="0056617A" w:rsidP="0056617A">
      <w:pPr>
        <w:spacing w:line="276" w:lineRule="auto"/>
        <w:rPr>
          <w:rFonts w:ascii="Times New Roman" w:hAnsi="Times New Roman" w:cs="Times New Roman"/>
          <w:lang w:val="en-US"/>
        </w:rPr>
      </w:pPr>
    </w:p>
    <w:p w14:paraId="33E6D850" w14:textId="77777777" w:rsidR="0056617A" w:rsidRPr="00CB667A" w:rsidRDefault="0056617A" w:rsidP="0056617A">
      <w:pPr>
        <w:spacing w:line="276" w:lineRule="auto"/>
        <w:rPr>
          <w:rFonts w:ascii="Times New Roman" w:hAnsi="Times New Roman" w:cs="Times New Roman"/>
          <w:lang w:val="en-US"/>
        </w:rPr>
      </w:pPr>
    </w:p>
    <w:p w14:paraId="779CD201" w14:textId="77777777" w:rsidR="0056617A" w:rsidRPr="00CB667A" w:rsidRDefault="0056617A" w:rsidP="0056617A">
      <w:pPr>
        <w:spacing w:line="276" w:lineRule="auto"/>
        <w:rPr>
          <w:rFonts w:ascii="Times New Roman" w:hAnsi="Times New Roman" w:cs="Times New Roman"/>
          <w:lang w:val="en-US"/>
        </w:rPr>
      </w:pPr>
    </w:p>
    <w:p w14:paraId="3DB32AB9" w14:textId="77777777" w:rsidR="0056617A" w:rsidRPr="00CB667A" w:rsidRDefault="0056617A" w:rsidP="0056617A">
      <w:pPr>
        <w:spacing w:line="276" w:lineRule="auto"/>
        <w:rPr>
          <w:rFonts w:ascii="Times New Roman" w:hAnsi="Times New Roman" w:cs="Times New Roman"/>
          <w:lang w:val="en-US"/>
        </w:rPr>
      </w:pPr>
    </w:p>
    <w:p w14:paraId="0A26F7BC" w14:textId="77777777" w:rsidR="0056617A" w:rsidRPr="00CB667A" w:rsidRDefault="0056617A" w:rsidP="0056617A">
      <w:pPr>
        <w:spacing w:line="276" w:lineRule="auto"/>
        <w:rPr>
          <w:rFonts w:ascii="Times New Roman" w:hAnsi="Times New Roman" w:cs="Times New Roman"/>
          <w:lang w:val="en-US"/>
        </w:rPr>
      </w:pPr>
    </w:p>
    <w:p w14:paraId="51A07E2F" w14:textId="1D7AC6BD" w:rsidR="0056617A" w:rsidRPr="00CB667A" w:rsidRDefault="0056617A" w:rsidP="0056617A">
      <w:pPr>
        <w:spacing w:line="276" w:lineRule="auto"/>
        <w:rPr>
          <w:rFonts w:ascii="Times New Roman" w:hAnsi="Times New Roman" w:cs="Times New Roman"/>
          <w:lang w:val="en-US"/>
        </w:rPr>
      </w:pPr>
      <w:r w:rsidRPr="00CB667A">
        <w:rPr>
          <w:rFonts w:ascii="Times New Roman" w:hAnsi="Times New Roman" w:cs="Times New Roman"/>
          <w:lang w:val="en-US"/>
        </w:rPr>
        <w:t>In no more than 500 words each, explain and 2-4 references:</w:t>
      </w:r>
    </w:p>
    <w:p w14:paraId="1515A7B2" w14:textId="77777777" w:rsidR="0056617A" w:rsidRPr="00CB667A" w:rsidRDefault="0056617A" w:rsidP="0056617A">
      <w:pPr>
        <w:rPr>
          <w:rFonts w:ascii="Times New Roman" w:hAnsi="Times New Roman" w:cs="Times New Roman"/>
          <w:lang w:val="en-US"/>
        </w:rPr>
      </w:pPr>
    </w:p>
    <w:p w14:paraId="7ACF0A3D" w14:textId="77777777" w:rsidR="0056617A" w:rsidRPr="00CB667A" w:rsidRDefault="0056617A" w:rsidP="0056617A">
      <w:pPr>
        <w:pStyle w:val="ListParagraph"/>
        <w:numPr>
          <w:ilvl w:val="0"/>
          <w:numId w:val="1"/>
        </w:numPr>
        <w:spacing w:line="276" w:lineRule="auto"/>
        <w:rPr>
          <w:rFonts w:ascii="Times New Roman" w:hAnsi="Times New Roman" w:cs="Times New Roman"/>
          <w:lang w:val="en-US"/>
        </w:rPr>
      </w:pPr>
      <w:r w:rsidRPr="00CB667A">
        <w:rPr>
          <w:rFonts w:ascii="Times New Roman" w:hAnsi="Times New Roman" w:cs="Times New Roman"/>
          <w:lang w:val="en-US"/>
        </w:rPr>
        <w:t>What is meant by “Outstanding Universal Value (OUV)” in World Heritage management?</w:t>
      </w:r>
    </w:p>
    <w:p w14:paraId="73C8B74D" w14:textId="77777777" w:rsidR="0056617A" w:rsidRPr="00CB667A" w:rsidRDefault="0056617A" w:rsidP="0056617A">
      <w:pPr>
        <w:pStyle w:val="ListParagraph"/>
        <w:numPr>
          <w:ilvl w:val="0"/>
          <w:numId w:val="1"/>
        </w:numPr>
        <w:spacing w:line="276" w:lineRule="auto"/>
        <w:rPr>
          <w:rFonts w:ascii="Times New Roman" w:hAnsi="Times New Roman" w:cs="Times New Roman"/>
          <w:lang w:val="en-US"/>
        </w:rPr>
      </w:pPr>
      <w:r w:rsidRPr="00CB667A">
        <w:rPr>
          <w:rFonts w:ascii="Times New Roman" w:hAnsi="Times New Roman" w:cs="Times New Roman"/>
          <w:lang w:val="en-US"/>
        </w:rPr>
        <w:t>Explain the relationship between planning, implementation, and monitoring in heritage management systems.</w:t>
      </w:r>
    </w:p>
    <w:p w14:paraId="762CE999" w14:textId="77777777" w:rsidR="0056617A" w:rsidRPr="00CB667A" w:rsidRDefault="0056617A" w:rsidP="0056617A">
      <w:pPr>
        <w:pStyle w:val="ListParagraph"/>
        <w:spacing w:line="276" w:lineRule="auto"/>
        <w:ind w:left="0"/>
        <w:rPr>
          <w:rFonts w:ascii="Times New Roman" w:hAnsi="Times New Roman" w:cs="Times New Roman"/>
          <w:lang w:val="en-US"/>
        </w:rPr>
      </w:pPr>
    </w:p>
    <w:p w14:paraId="5B054BFC" w14:textId="77777777" w:rsidR="0056617A" w:rsidRPr="00CB667A" w:rsidRDefault="0056617A">
      <w:pPr>
        <w:rPr>
          <w:rFonts w:ascii="Times New Roman" w:hAnsi="Times New Roman" w:cs="Times New Roman"/>
          <w:lang w:val="en-US"/>
        </w:rPr>
      </w:pPr>
    </w:p>
    <w:p w14:paraId="339460ED" w14:textId="77777777" w:rsidR="0056617A" w:rsidRPr="00CB667A" w:rsidRDefault="0056617A">
      <w:pPr>
        <w:rPr>
          <w:rFonts w:ascii="Times New Roman" w:hAnsi="Times New Roman" w:cs="Times New Roman"/>
          <w:lang w:val="en-US"/>
        </w:rPr>
      </w:pPr>
    </w:p>
    <w:p w14:paraId="4F8644AF" w14:textId="77777777" w:rsidR="0056617A" w:rsidRPr="00CB667A" w:rsidRDefault="0056617A">
      <w:pPr>
        <w:rPr>
          <w:rFonts w:ascii="Times New Roman" w:hAnsi="Times New Roman" w:cs="Times New Roman"/>
          <w:lang w:val="en-US"/>
        </w:rPr>
      </w:pPr>
    </w:p>
    <w:p w14:paraId="12EDD19B" w14:textId="77777777" w:rsidR="0056617A" w:rsidRPr="00CB667A" w:rsidRDefault="0056617A">
      <w:pPr>
        <w:rPr>
          <w:rFonts w:ascii="Times New Roman" w:hAnsi="Times New Roman" w:cs="Times New Roman"/>
          <w:lang w:val="en-US"/>
        </w:rPr>
      </w:pPr>
    </w:p>
    <w:p w14:paraId="29C2B5D5" w14:textId="77777777" w:rsidR="0056617A" w:rsidRPr="00CB667A" w:rsidRDefault="0056617A">
      <w:pPr>
        <w:rPr>
          <w:rFonts w:ascii="Times New Roman" w:hAnsi="Times New Roman" w:cs="Times New Roman"/>
          <w:lang w:val="en-US"/>
        </w:rPr>
      </w:pPr>
    </w:p>
    <w:p w14:paraId="3BB58E21" w14:textId="77777777" w:rsidR="0056617A" w:rsidRPr="00CB667A" w:rsidRDefault="0056617A">
      <w:pPr>
        <w:rPr>
          <w:rFonts w:ascii="Times New Roman" w:hAnsi="Times New Roman" w:cs="Times New Roman"/>
          <w:lang w:val="en-US"/>
        </w:rPr>
      </w:pPr>
    </w:p>
    <w:p w14:paraId="709565CA" w14:textId="77777777" w:rsidR="0056617A" w:rsidRPr="00CB667A" w:rsidRDefault="0056617A">
      <w:pPr>
        <w:rPr>
          <w:rFonts w:ascii="Times New Roman" w:hAnsi="Times New Roman" w:cs="Times New Roman"/>
          <w:lang w:val="en-US"/>
        </w:rPr>
      </w:pPr>
    </w:p>
    <w:p w14:paraId="721EE86D" w14:textId="77777777" w:rsidR="0056617A" w:rsidRPr="00CB667A" w:rsidRDefault="0056617A">
      <w:pPr>
        <w:rPr>
          <w:rFonts w:ascii="Times New Roman" w:hAnsi="Times New Roman" w:cs="Times New Roman"/>
          <w:lang w:val="en-US"/>
        </w:rPr>
      </w:pPr>
    </w:p>
    <w:p w14:paraId="51120942" w14:textId="77777777" w:rsidR="0056617A" w:rsidRPr="00CB667A" w:rsidRDefault="0056617A">
      <w:pPr>
        <w:rPr>
          <w:rFonts w:ascii="Times New Roman" w:hAnsi="Times New Roman" w:cs="Times New Roman"/>
          <w:lang w:val="en-US"/>
        </w:rPr>
      </w:pPr>
    </w:p>
    <w:p w14:paraId="0358E5EF" w14:textId="77777777" w:rsidR="0056617A" w:rsidRPr="00CB667A" w:rsidRDefault="0056617A">
      <w:pPr>
        <w:rPr>
          <w:rFonts w:ascii="Times New Roman" w:hAnsi="Times New Roman" w:cs="Times New Roman"/>
          <w:lang w:val="en-US"/>
        </w:rPr>
      </w:pPr>
    </w:p>
    <w:p w14:paraId="4E12E6CA" w14:textId="77777777" w:rsidR="0056617A" w:rsidRPr="00CB667A" w:rsidRDefault="0056617A">
      <w:pPr>
        <w:rPr>
          <w:rFonts w:ascii="Times New Roman" w:hAnsi="Times New Roman" w:cs="Times New Roman"/>
          <w:lang w:val="en-US"/>
        </w:rPr>
      </w:pPr>
    </w:p>
    <w:p w14:paraId="3A09E05F" w14:textId="77777777" w:rsidR="0056617A" w:rsidRPr="00CB667A" w:rsidRDefault="0056617A">
      <w:pPr>
        <w:rPr>
          <w:rFonts w:ascii="Times New Roman" w:hAnsi="Times New Roman" w:cs="Times New Roman"/>
          <w:lang w:val="en-US"/>
        </w:rPr>
      </w:pPr>
    </w:p>
    <w:p w14:paraId="7605847A" w14:textId="77777777" w:rsidR="0056617A" w:rsidRPr="00CB667A" w:rsidRDefault="0056617A">
      <w:pPr>
        <w:rPr>
          <w:rFonts w:ascii="Times New Roman" w:hAnsi="Times New Roman" w:cs="Times New Roman"/>
          <w:lang w:val="en-US"/>
        </w:rPr>
      </w:pPr>
    </w:p>
    <w:p w14:paraId="4FB7F7E0" w14:textId="77777777" w:rsidR="0056617A" w:rsidRPr="00CB667A" w:rsidRDefault="0056617A">
      <w:pPr>
        <w:rPr>
          <w:rFonts w:ascii="Times New Roman" w:hAnsi="Times New Roman" w:cs="Times New Roman"/>
          <w:lang w:val="en-US"/>
        </w:rPr>
      </w:pPr>
    </w:p>
    <w:p w14:paraId="12E76367" w14:textId="77777777" w:rsidR="0056617A" w:rsidRPr="00CB667A" w:rsidRDefault="0056617A">
      <w:pPr>
        <w:rPr>
          <w:rFonts w:ascii="Times New Roman" w:hAnsi="Times New Roman" w:cs="Times New Roman"/>
          <w:lang w:val="en-US"/>
        </w:rPr>
      </w:pPr>
    </w:p>
    <w:p w14:paraId="2B428BD6" w14:textId="77777777" w:rsidR="0056617A" w:rsidRPr="00CB667A" w:rsidRDefault="0056617A">
      <w:pPr>
        <w:rPr>
          <w:rFonts w:ascii="Times New Roman" w:hAnsi="Times New Roman" w:cs="Times New Roman"/>
          <w:lang w:val="en-US"/>
        </w:rPr>
      </w:pPr>
    </w:p>
    <w:p w14:paraId="7231C7ED" w14:textId="77777777" w:rsidR="0056617A" w:rsidRPr="00CB667A" w:rsidRDefault="0056617A">
      <w:pPr>
        <w:rPr>
          <w:rFonts w:ascii="Times New Roman" w:hAnsi="Times New Roman" w:cs="Times New Roman"/>
          <w:lang w:val="en-US"/>
        </w:rPr>
      </w:pPr>
    </w:p>
    <w:p w14:paraId="7061B955" w14:textId="77777777" w:rsidR="00EB6E1C" w:rsidRPr="00CB667A" w:rsidRDefault="00EB6E1C">
      <w:pPr>
        <w:rPr>
          <w:rFonts w:ascii="Times New Roman" w:hAnsi="Times New Roman" w:cs="Times New Roman"/>
          <w:lang w:val="en-US"/>
        </w:rPr>
      </w:pPr>
    </w:p>
    <w:p w14:paraId="2AAAD0B6" w14:textId="77777777" w:rsidR="00EB6E1C" w:rsidRPr="00CB667A" w:rsidRDefault="00EB6E1C">
      <w:pPr>
        <w:rPr>
          <w:rFonts w:ascii="Times New Roman" w:hAnsi="Times New Roman" w:cs="Times New Roman"/>
          <w:lang w:val="en-US"/>
        </w:rPr>
      </w:pPr>
    </w:p>
    <w:p w14:paraId="361AFD8F" w14:textId="77777777" w:rsidR="00EB6E1C" w:rsidRPr="00CB667A" w:rsidRDefault="00EB6E1C">
      <w:pPr>
        <w:rPr>
          <w:rFonts w:ascii="Times New Roman" w:hAnsi="Times New Roman" w:cs="Times New Roman"/>
          <w:lang w:val="en-US"/>
        </w:rPr>
      </w:pPr>
    </w:p>
    <w:p w14:paraId="11DD6850" w14:textId="77777777" w:rsidR="0056617A" w:rsidRPr="00CB667A" w:rsidRDefault="0056617A">
      <w:pPr>
        <w:rPr>
          <w:rFonts w:ascii="Times New Roman" w:hAnsi="Times New Roman" w:cs="Times New Roman"/>
          <w:lang w:val="en-US"/>
        </w:rPr>
      </w:pPr>
    </w:p>
    <w:p w14:paraId="3045A9E9" w14:textId="77777777" w:rsidR="0056617A" w:rsidRPr="00CB667A" w:rsidRDefault="0056617A">
      <w:pPr>
        <w:rPr>
          <w:rFonts w:ascii="Times New Roman" w:hAnsi="Times New Roman" w:cs="Times New Roman"/>
          <w:lang w:val="en-US"/>
        </w:rPr>
      </w:pPr>
    </w:p>
    <w:p w14:paraId="184FE467" w14:textId="77777777" w:rsidR="0056617A" w:rsidRPr="00CB667A" w:rsidRDefault="0056617A">
      <w:pPr>
        <w:rPr>
          <w:rFonts w:ascii="Times New Roman" w:hAnsi="Times New Roman" w:cs="Times New Roman"/>
          <w:lang w:val="en-US"/>
        </w:rPr>
      </w:pPr>
    </w:p>
    <w:p w14:paraId="794EFC05" w14:textId="77777777" w:rsidR="00F96903" w:rsidRDefault="00F96903" w:rsidP="00F96903">
      <w:pPr>
        <w:rPr>
          <w:rFonts w:ascii="Times New Roman" w:hAnsi="Times New Roman" w:cs="Times New Roman"/>
          <w:b/>
          <w:bCs/>
          <w:lang w:val="en-GB"/>
        </w:rPr>
      </w:pPr>
      <w:r w:rsidRPr="00F96903">
        <w:rPr>
          <w:rFonts w:ascii="Times New Roman" w:hAnsi="Times New Roman" w:cs="Times New Roman"/>
          <w:b/>
          <w:bCs/>
          <w:lang w:val="en-GB"/>
        </w:rPr>
        <w:lastRenderedPageBreak/>
        <w:t>1. Outstanding Universal Value (OUV) in World Heritage Management</w:t>
      </w:r>
    </w:p>
    <w:p w14:paraId="4FA2848E" w14:textId="77777777" w:rsidR="00F96903" w:rsidRPr="00F96903" w:rsidRDefault="00F96903" w:rsidP="00F96903">
      <w:pPr>
        <w:rPr>
          <w:rFonts w:ascii="Times New Roman" w:hAnsi="Times New Roman" w:cs="Times New Roman"/>
          <w:b/>
          <w:bCs/>
          <w:lang w:val="en-GB"/>
        </w:rPr>
      </w:pPr>
    </w:p>
    <w:p w14:paraId="66273B16" w14:textId="77777777" w:rsidR="00F96903" w:rsidRPr="00F96903" w:rsidRDefault="00F96903" w:rsidP="00F96903">
      <w:pPr>
        <w:rPr>
          <w:rFonts w:ascii="Times New Roman" w:hAnsi="Times New Roman" w:cs="Times New Roman"/>
          <w:lang w:val="en-GB"/>
        </w:rPr>
      </w:pPr>
      <w:r w:rsidRPr="00F96903">
        <w:rPr>
          <w:rFonts w:ascii="Times New Roman" w:hAnsi="Times New Roman" w:cs="Times New Roman"/>
          <w:lang w:val="en-GB"/>
        </w:rPr>
        <w:t>Outstanding Universal Value (OUV) is the principal concept used by UNESCO to determine whether a cultural or natural property has significance important enough to be protected as World Heritage. OUV refers to heritage value that is considered exceptional on a global scale and meaningful to all humanity, regardless of national boundaries (Ahmad, 2006). The concept is central to the 1972 World Heritage Convention, which established an international framework for identifying and conserving the world’s most important heritage sites.</w:t>
      </w:r>
    </w:p>
    <w:p w14:paraId="0A12A1B9" w14:textId="77777777" w:rsidR="00F96903" w:rsidRPr="00F96903" w:rsidRDefault="00F96903" w:rsidP="00F96903">
      <w:pPr>
        <w:rPr>
          <w:rFonts w:ascii="Times New Roman" w:hAnsi="Times New Roman" w:cs="Times New Roman"/>
          <w:lang w:val="en-GB"/>
        </w:rPr>
      </w:pPr>
      <w:r w:rsidRPr="00F96903">
        <w:rPr>
          <w:rFonts w:ascii="Times New Roman" w:hAnsi="Times New Roman" w:cs="Times New Roman"/>
          <w:lang w:val="en-GB"/>
        </w:rPr>
        <w:t xml:space="preserve">A property must meet at least one of UNESCO’s World Heritage criteria </w:t>
      </w:r>
      <w:proofErr w:type="gramStart"/>
      <w:r w:rsidRPr="00F96903">
        <w:rPr>
          <w:rFonts w:ascii="Times New Roman" w:hAnsi="Times New Roman" w:cs="Times New Roman"/>
          <w:lang w:val="en-GB"/>
        </w:rPr>
        <w:t>and also</w:t>
      </w:r>
      <w:proofErr w:type="gramEnd"/>
      <w:r w:rsidRPr="00F96903">
        <w:rPr>
          <w:rFonts w:ascii="Times New Roman" w:hAnsi="Times New Roman" w:cs="Times New Roman"/>
          <w:lang w:val="en-GB"/>
        </w:rPr>
        <w:t xml:space="preserve"> demonstrate authenticity, integrity, and effective protection systems to be recognized as having OUV (UNESCO, 2021). Cultural heritage sites may represent artistic achievements, historical traditions, or architectural excellence, while natural heritage sites may include unique ecosystems, biodiversity, or geological formations. Examples include the Taj Mahal, Stonehenge, and the Great Barrier Reef.</w:t>
      </w:r>
    </w:p>
    <w:p w14:paraId="07D2EACF" w14:textId="77777777" w:rsidR="00F96903" w:rsidRPr="00F96903" w:rsidRDefault="00F96903" w:rsidP="00F96903">
      <w:pPr>
        <w:rPr>
          <w:rFonts w:ascii="Times New Roman" w:hAnsi="Times New Roman" w:cs="Times New Roman"/>
          <w:lang w:val="en-GB"/>
        </w:rPr>
      </w:pPr>
      <w:r w:rsidRPr="00F96903">
        <w:rPr>
          <w:rFonts w:ascii="Times New Roman" w:hAnsi="Times New Roman" w:cs="Times New Roman"/>
          <w:lang w:val="en-GB"/>
        </w:rPr>
        <w:t>In heritage management, OUV acts as the basis for all conservation and management decisions. Heritage managers must identify the specific attributes that express the site’s significance and ensure their protection through legal frameworks, conservation planning, tourism regulation, and environmental management (Pendlebury, Short, &amp; While, 2009). Any proposed development or infrastructure project near a World Heritage Site must be assessed for its impact on OUV.</w:t>
      </w:r>
    </w:p>
    <w:p w14:paraId="4186CE4E" w14:textId="77777777" w:rsidR="00F96903" w:rsidRPr="00F96903" w:rsidRDefault="00F96903" w:rsidP="00F96903">
      <w:pPr>
        <w:rPr>
          <w:rFonts w:ascii="Times New Roman" w:hAnsi="Times New Roman" w:cs="Times New Roman"/>
          <w:lang w:val="en-GB"/>
        </w:rPr>
      </w:pPr>
      <w:r w:rsidRPr="00F96903">
        <w:rPr>
          <w:rFonts w:ascii="Times New Roman" w:hAnsi="Times New Roman" w:cs="Times New Roman"/>
          <w:lang w:val="en-GB"/>
        </w:rPr>
        <w:t>OUV also promotes international cooperation and shared responsibility. Since World Heritage Sites are considered part of humanity’s common heritage, countries collaborate through technical support, research, funding, and conservation initiatives (</w:t>
      </w:r>
      <w:proofErr w:type="spellStart"/>
      <w:r w:rsidRPr="00F96903">
        <w:rPr>
          <w:rFonts w:ascii="Times New Roman" w:hAnsi="Times New Roman" w:cs="Times New Roman"/>
          <w:lang w:val="en-GB"/>
        </w:rPr>
        <w:t>Lenzerini</w:t>
      </w:r>
      <w:proofErr w:type="spellEnd"/>
      <w:r w:rsidRPr="00F96903">
        <w:rPr>
          <w:rFonts w:ascii="Times New Roman" w:hAnsi="Times New Roman" w:cs="Times New Roman"/>
          <w:lang w:val="en-GB"/>
        </w:rPr>
        <w:t>, 2011). This international approach encourages cultural understanding and strengthens global awareness of environmental and heritage protection.</w:t>
      </w:r>
    </w:p>
    <w:p w14:paraId="6BA56EA2" w14:textId="77777777" w:rsidR="00F96903" w:rsidRPr="00F96903" w:rsidRDefault="00F96903" w:rsidP="00F96903">
      <w:pPr>
        <w:rPr>
          <w:rFonts w:ascii="Times New Roman" w:hAnsi="Times New Roman" w:cs="Times New Roman"/>
          <w:lang w:val="en-GB"/>
        </w:rPr>
      </w:pPr>
      <w:r w:rsidRPr="00F96903">
        <w:rPr>
          <w:rFonts w:ascii="Times New Roman" w:hAnsi="Times New Roman" w:cs="Times New Roman"/>
          <w:lang w:val="en-GB"/>
        </w:rPr>
        <w:t>Furthermore, contemporary heritage management links OUV with sustainability and community participation. Local communities are increasingly recognized as key stakeholders in conserving heritage because their traditions, knowledge, and cultural practices contribute to maintaining the authenticity of heritage properties (Landorf, 2009). Heritage managers must therefore balance conservation with tourism, urban development, and economic growth.</w:t>
      </w:r>
    </w:p>
    <w:p w14:paraId="4492370F" w14:textId="77777777" w:rsidR="00F96903" w:rsidRPr="00F96903" w:rsidRDefault="00F96903" w:rsidP="00F96903">
      <w:pPr>
        <w:rPr>
          <w:rFonts w:ascii="Times New Roman" w:hAnsi="Times New Roman" w:cs="Times New Roman"/>
          <w:lang w:val="en-GB"/>
        </w:rPr>
      </w:pPr>
      <w:r w:rsidRPr="00F96903">
        <w:rPr>
          <w:rFonts w:ascii="Times New Roman" w:hAnsi="Times New Roman" w:cs="Times New Roman"/>
          <w:lang w:val="en-GB"/>
        </w:rPr>
        <w:t>In conclusion, OUV is both a recognition of exceptional global significance and a practical framework for conservation. It guides the identification, protection, and long-term management of World Heritage Sites to ensure that they are preserved for future generations.</w:t>
      </w:r>
    </w:p>
    <w:p w14:paraId="38571E2E" w14:textId="7A96ACA7" w:rsidR="00F96903" w:rsidRPr="00F96903" w:rsidRDefault="00F96903" w:rsidP="00F96903">
      <w:pPr>
        <w:rPr>
          <w:rFonts w:ascii="Times New Roman" w:hAnsi="Times New Roman" w:cs="Times New Roman"/>
          <w:b/>
          <w:bCs/>
          <w:lang w:val="en-GB"/>
        </w:rPr>
      </w:pPr>
    </w:p>
    <w:p w14:paraId="012D9B7D" w14:textId="77777777" w:rsidR="00F96903" w:rsidRDefault="00F96903" w:rsidP="00F96903">
      <w:pPr>
        <w:rPr>
          <w:rFonts w:ascii="Times New Roman" w:hAnsi="Times New Roman" w:cs="Times New Roman"/>
          <w:b/>
          <w:bCs/>
          <w:lang w:val="en-GB"/>
        </w:rPr>
      </w:pPr>
      <w:r w:rsidRPr="00F96903">
        <w:rPr>
          <w:rFonts w:ascii="Times New Roman" w:hAnsi="Times New Roman" w:cs="Times New Roman"/>
          <w:b/>
          <w:bCs/>
          <w:lang w:val="en-GB"/>
        </w:rPr>
        <w:t>2. Relationship Between Planning, Implementation, and Monitoring in Heritage Management Systems</w:t>
      </w:r>
    </w:p>
    <w:p w14:paraId="6CC9E697" w14:textId="77777777" w:rsidR="00F96903" w:rsidRPr="00F96903" w:rsidRDefault="00F96903" w:rsidP="00F96903">
      <w:pPr>
        <w:rPr>
          <w:rFonts w:ascii="Times New Roman" w:hAnsi="Times New Roman" w:cs="Times New Roman"/>
          <w:b/>
          <w:bCs/>
          <w:lang w:val="en-GB"/>
        </w:rPr>
      </w:pPr>
    </w:p>
    <w:p w14:paraId="4DB2B68B" w14:textId="77777777" w:rsidR="00F96903" w:rsidRPr="00F96903" w:rsidRDefault="00F96903" w:rsidP="00F96903">
      <w:pPr>
        <w:rPr>
          <w:rFonts w:ascii="Times New Roman" w:hAnsi="Times New Roman" w:cs="Times New Roman"/>
          <w:lang w:val="en-GB"/>
        </w:rPr>
      </w:pPr>
      <w:r w:rsidRPr="00F96903">
        <w:rPr>
          <w:rFonts w:ascii="Times New Roman" w:hAnsi="Times New Roman" w:cs="Times New Roman"/>
          <w:lang w:val="en-GB"/>
        </w:rPr>
        <w:t>Planning, implementation, and monitoring are essential and interconnected components of heritage management systems. Together, they create a continuous management cycle that supports the protection and sustainable conservation of heritage resources.</w:t>
      </w:r>
    </w:p>
    <w:p w14:paraId="5C11CBCF" w14:textId="77777777" w:rsidR="00F96903" w:rsidRPr="00F96903" w:rsidRDefault="00F96903" w:rsidP="00F96903">
      <w:pPr>
        <w:rPr>
          <w:rFonts w:ascii="Times New Roman" w:hAnsi="Times New Roman" w:cs="Times New Roman"/>
          <w:lang w:val="en-GB"/>
        </w:rPr>
      </w:pPr>
      <w:r w:rsidRPr="00F96903">
        <w:rPr>
          <w:rFonts w:ascii="Times New Roman" w:hAnsi="Times New Roman" w:cs="Times New Roman"/>
          <w:lang w:val="en-GB"/>
        </w:rPr>
        <w:t>Planning is the first stage of heritage management and involves identifying the significance of a site, assessing risks, and establishing conservation objectives and strategies. Heritage management plans often include policies related to tourism management, restoration, legal protection, disaster preparedness, and stakeholder participation (Timothy &amp; Boyd, 2003). Effective planning provides direction for all management activities and ensures that heritage values are clearly understood.</w:t>
      </w:r>
    </w:p>
    <w:p w14:paraId="31C4BD49" w14:textId="77777777" w:rsidR="00F96903" w:rsidRPr="00F96903" w:rsidRDefault="00F96903" w:rsidP="00F96903">
      <w:pPr>
        <w:rPr>
          <w:rFonts w:ascii="Times New Roman" w:hAnsi="Times New Roman" w:cs="Times New Roman"/>
          <w:lang w:val="en-GB"/>
        </w:rPr>
      </w:pPr>
      <w:r w:rsidRPr="00F96903">
        <w:rPr>
          <w:rFonts w:ascii="Times New Roman" w:hAnsi="Times New Roman" w:cs="Times New Roman"/>
          <w:lang w:val="en-GB"/>
        </w:rPr>
        <w:lastRenderedPageBreak/>
        <w:t>Implementation is the process of carrying out the strategies and actions identified during planning. This may include conservation projects, visitor management, maintenance programs, educational activities, and infrastructure control. Successful implementation depends on cooperation among governments, heritage professionals, local communities, and international organizations (Rodwell, 2007). Financial resources, technical expertise, and institutional support are also necessary for effective implementation.</w:t>
      </w:r>
    </w:p>
    <w:p w14:paraId="639E6160" w14:textId="77777777" w:rsidR="00F96903" w:rsidRPr="00F96903" w:rsidRDefault="00F96903" w:rsidP="00F96903">
      <w:pPr>
        <w:rPr>
          <w:rFonts w:ascii="Times New Roman" w:hAnsi="Times New Roman" w:cs="Times New Roman"/>
          <w:lang w:val="en-GB"/>
        </w:rPr>
      </w:pPr>
      <w:r w:rsidRPr="00F96903">
        <w:rPr>
          <w:rFonts w:ascii="Times New Roman" w:hAnsi="Times New Roman" w:cs="Times New Roman"/>
          <w:lang w:val="en-GB"/>
        </w:rPr>
        <w:t>Monitoring is the continuous assessment of the condition of heritage properties and the effectiveness of management actions. Monitoring systems collect information about physical deterioration, environmental threats, tourism impacts, and conservation outcomes (Wijesuriya, Thompson, &amp; Young, 2013). Monitoring helps managers identify problems early and determine whether management objectives are being achieved.</w:t>
      </w:r>
    </w:p>
    <w:p w14:paraId="4E0A8122" w14:textId="77777777" w:rsidR="00F96903" w:rsidRPr="00F96903" w:rsidRDefault="00F96903" w:rsidP="00F96903">
      <w:pPr>
        <w:rPr>
          <w:rFonts w:ascii="Times New Roman" w:hAnsi="Times New Roman" w:cs="Times New Roman"/>
          <w:lang w:val="en-GB"/>
        </w:rPr>
      </w:pPr>
      <w:r w:rsidRPr="00F96903">
        <w:rPr>
          <w:rFonts w:ascii="Times New Roman" w:hAnsi="Times New Roman" w:cs="Times New Roman"/>
          <w:lang w:val="en-GB"/>
        </w:rPr>
        <w:t>The relationship between planning, implementation, and monitoring is cyclical and adaptive. Planning establishes goals and policies, implementation applies these strategies, and monitoring evaluates the results. Information obtained through monitoring is then used to improve future planning and management decisions. For example, if monitoring shows that tourism pressure is damaging a heritage site, managers may revise visitor regulations or introduce stricter conservation measures.</w:t>
      </w:r>
    </w:p>
    <w:p w14:paraId="0408C65A" w14:textId="77777777" w:rsidR="00F96903" w:rsidRPr="00F96903" w:rsidRDefault="00F96903" w:rsidP="00F96903">
      <w:pPr>
        <w:rPr>
          <w:rFonts w:ascii="Times New Roman" w:hAnsi="Times New Roman" w:cs="Times New Roman"/>
          <w:lang w:val="en-GB"/>
        </w:rPr>
      </w:pPr>
      <w:r w:rsidRPr="00F96903">
        <w:rPr>
          <w:rFonts w:ascii="Times New Roman" w:hAnsi="Times New Roman" w:cs="Times New Roman"/>
          <w:lang w:val="en-GB"/>
        </w:rPr>
        <w:t>This integrated process is important because heritage sites are constantly influenced by environmental, social, and economic changes. Adaptive management allows heritage systems to respond effectively to these challenges while maintaining authenticity, integrity, and Outstanding Universal Value (OUV).</w:t>
      </w:r>
    </w:p>
    <w:p w14:paraId="5FAE2BBB" w14:textId="77777777" w:rsidR="00F96903" w:rsidRPr="00F96903" w:rsidRDefault="00F96903" w:rsidP="00F96903">
      <w:pPr>
        <w:rPr>
          <w:rFonts w:ascii="Times New Roman" w:hAnsi="Times New Roman" w:cs="Times New Roman"/>
          <w:lang w:val="en-GB"/>
        </w:rPr>
      </w:pPr>
      <w:r w:rsidRPr="00F96903">
        <w:rPr>
          <w:rFonts w:ascii="Times New Roman" w:hAnsi="Times New Roman" w:cs="Times New Roman"/>
          <w:lang w:val="en-GB"/>
        </w:rPr>
        <w:t>Therefore, planning, implementation, and monitoring are closely connected processes that ensure the long-term conservation and sustainable management of heritage properties.</w:t>
      </w:r>
    </w:p>
    <w:p w14:paraId="37D09840" w14:textId="0922B2B8" w:rsidR="00F96903" w:rsidRPr="00F96903" w:rsidRDefault="00F96903" w:rsidP="00F96903">
      <w:pPr>
        <w:rPr>
          <w:rFonts w:ascii="Times New Roman" w:hAnsi="Times New Roman" w:cs="Times New Roman"/>
          <w:lang w:val="en-GB"/>
        </w:rPr>
      </w:pPr>
    </w:p>
    <w:p w14:paraId="1CC0BABC" w14:textId="77777777" w:rsidR="00F96903" w:rsidRPr="00F96903" w:rsidRDefault="00F96903" w:rsidP="00F96903">
      <w:pPr>
        <w:rPr>
          <w:rFonts w:ascii="Times New Roman" w:hAnsi="Times New Roman" w:cs="Times New Roman"/>
          <w:lang w:val="en-GB"/>
        </w:rPr>
      </w:pPr>
    </w:p>
    <w:p w14:paraId="2E203AD3" w14:textId="77777777" w:rsidR="00F96903" w:rsidRDefault="00F96903" w:rsidP="00F96903">
      <w:pPr>
        <w:rPr>
          <w:rFonts w:ascii="Times New Roman" w:hAnsi="Times New Roman" w:cs="Times New Roman"/>
          <w:b/>
          <w:bCs/>
          <w:lang w:val="en-GB"/>
        </w:rPr>
      </w:pPr>
    </w:p>
    <w:p w14:paraId="5B8A5D34" w14:textId="77777777" w:rsidR="00F96903" w:rsidRDefault="00F96903" w:rsidP="00F96903">
      <w:pPr>
        <w:rPr>
          <w:rFonts w:ascii="Times New Roman" w:hAnsi="Times New Roman" w:cs="Times New Roman"/>
          <w:b/>
          <w:bCs/>
          <w:lang w:val="en-GB"/>
        </w:rPr>
      </w:pPr>
    </w:p>
    <w:p w14:paraId="6DCA93E5" w14:textId="77777777" w:rsidR="00F96903" w:rsidRDefault="00F96903" w:rsidP="00F96903">
      <w:pPr>
        <w:rPr>
          <w:rFonts w:ascii="Times New Roman" w:hAnsi="Times New Roman" w:cs="Times New Roman"/>
          <w:b/>
          <w:bCs/>
          <w:lang w:val="en-GB"/>
        </w:rPr>
      </w:pPr>
    </w:p>
    <w:p w14:paraId="6BF60557" w14:textId="77777777" w:rsidR="00F96903" w:rsidRDefault="00F96903" w:rsidP="00F96903">
      <w:pPr>
        <w:rPr>
          <w:rFonts w:ascii="Times New Roman" w:hAnsi="Times New Roman" w:cs="Times New Roman"/>
          <w:b/>
          <w:bCs/>
          <w:lang w:val="en-GB"/>
        </w:rPr>
      </w:pPr>
    </w:p>
    <w:p w14:paraId="6E934E65" w14:textId="77777777" w:rsidR="00F96903" w:rsidRDefault="00F96903" w:rsidP="00F96903">
      <w:pPr>
        <w:rPr>
          <w:rFonts w:ascii="Times New Roman" w:hAnsi="Times New Roman" w:cs="Times New Roman"/>
          <w:b/>
          <w:bCs/>
          <w:lang w:val="en-GB"/>
        </w:rPr>
      </w:pPr>
    </w:p>
    <w:p w14:paraId="623982F9" w14:textId="77777777" w:rsidR="00F96903" w:rsidRDefault="00F96903" w:rsidP="00F96903">
      <w:pPr>
        <w:rPr>
          <w:rFonts w:ascii="Times New Roman" w:hAnsi="Times New Roman" w:cs="Times New Roman"/>
          <w:b/>
          <w:bCs/>
          <w:lang w:val="en-GB"/>
        </w:rPr>
      </w:pPr>
    </w:p>
    <w:p w14:paraId="03D08534" w14:textId="77777777" w:rsidR="00F96903" w:rsidRDefault="00F96903" w:rsidP="00F96903">
      <w:pPr>
        <w:rPr>
          <w:rFonts w:ascii="Times New Roman" w:hAnsi="Times New Roman" w:cs="Times New Roman"/>
          <w:b/>
          <w:bCs/>
          <w:lang w:val="en-GB"/>
        </w:rPr>
      </w:pPr>
    </w:p>
    <w:p w14:paraId="2843F9A8" w14:textId="77777777" w:rsidR="00F96903" w:rsidRDefault="00F96903" w:rsidP="00F96903">
      <w:pPr>
        <w:rPr>
          <w:rFonts w:ascii="Times New Roman" w:hAnsi="Times New Roman" w:cs="Times New Roman"/>
          <w:b/>
          <w:bCs/>
          <w:lang w:val="en-GB"/>
        </w:rPr>
      </w:pPr>
    </w:p>
    <w:p w14:paraId="30386A22" w14:textId="77777777" w:rsidR="00F96903" w:rsidRDefault="00F96903" w:rsidP="00F96903">
      <w:pPr>
        <w:rPr>
          <w:rFonts w:ascii="Times New Roman" w:hAnsi="Times New Roman" w:cs="Times New Roman"/>
          <w:b/>
          <w:bCs/>
          <w:lang w:val="en-GB"/>
        </w:rPr>
      </w:pPr>
    </w:p>
    <w:p w14:paraId="3157A164" w14:textId="77777777" w:rsidR="00F96903" w:rsidRDefault="00F96903" w:rsidP="00F96903">
      <w:pPr>
        <w:rPr>
          <w:rFonts w:ascii="Times New Roman" w:hAnsi="Times New Roman" w:cs="Times New Roman"/>
          <w:b/>
          <w:bCs/>
          <w:lang w:val="en-GB"/>
        </w:rPr>
      </w:pPr>
    </w:p>
    <w:p w14:paraId="21EC8955" w14:textId="77777777" w:rsidR="00F96903" w:rsidRDefault="00F96903" w:rsidP="00F96903">
      <w:pPr>
        <w:rPr>
          <w:rFonts w:ascii="Times New Roman" w:hAnsi="Times New Roman" w:cs="Times New Roman"/>
          <w:b/>
          <w:bCs/>
          <w:lang w:val="en-GB"/>
        </w:rPr>
      </w:pPr>
    </w:p>
    <w:p w14:paraId="394142C7" w14:textId="77777777" w:rsidR="00F96903" w:rsidRDefault="00F96903" w:rsidP="00F96903">
      <w:pPr>
        <w:rPr>
          <w:rFonts w:ascii="Times New Roman" w:hAnsi="Times New Roman" w:cs="Times New Roman"/>
          <w:b/>
          <w:bCs/>
          <w:lang w:val="en-GB"/>
        </w:rPr>
      </w:pPr>
    </w:p>
    <w:p w14:paraId="2D22CE45" w14:textId="77777777" w:rsidR="00F96903" w:rsidRDefault="00F96903" w:rsidP="00F96903">
      <w:pPr>
        <w:rPr>
          <w:rFonts w:ascii="Times New Roman" w:hAnsi="Times New Roman" w:cs="Times New Roman"/>
          <w:b/>
          <w:bCs/>
          <w:lang w:val="en-GB"/>
        </w:rPr>
      </w:pPr>
    </w:p>
    <w:p w14:paraId="35122764" w14:textId="77777777" w:rsidR="00F96903" w:rsidRDefault="00F96903" w:rsidP="00F96903">
      <w:pPr>
        <w:rPr>
          <w:rFonts w:ascii="Times New Roman" w:hAnsi="Times New Roman" w:cs="Times New Roman"/>
          <w:b/>
          <w:bCs/>
          <w:lang w:val="en-GB"/>
        </w:rPr>
      </w:pPr>
    </w:p>
    <w:p w14:paraId="3DACC693" w14:textId="77777777" w:rsidR="00F96903" w:rsidRDefault="00F96903" w:rsidP="00F96903">
      <w:pPr>
        <w:rPr>
          <w:rFonts w:ascii="Times New Roman" w:hAnsi="Times New Roman" w:cs="Times New Roman"/>
          <w:b/>
          <w:bCs/>
          <w:lang w:val="en-GB"/>
        </w:rPr>
      </w:pPr>
    </w:p>
    <w:p w14:paraId="57C11D6C" w14:textId="77777777" w:rsidR="00F96903" w:rsidRDefault="00F96903" w:rsidP="00F96903">
      <w:pPr>
        <w:rPr>
          <w:rFonts w:ascii="Times New Roman" w:hAnsi="Times New Roman" w:cs="Times New Roman"/>
          <w:b/>
          <w:bCs/>
          <w:lang w:val="en-GB"/>
        </w:rPr>
      </w:pPr>
    </w:p>
    <w:p w14:paraId="04DE6F21" w14:textId="77777777" w:rsidR="00F96903" w:rsidRDefault="00F96903" w:rsidP="00F96903">
      <w:pPr>
        <w:rPr>
          <w:rFonts w:ascii="Times New Roman" w:hAnsi="Times New Roman" w:cs="Times New Roman"/>
          <w:b/>
          <w:bCs/>
          <w:lang w:val="en-GB"/>
        </w:rPr>
      </w:pPr>
    </w:p>
    <w:p w14:paraId="68C933FB" w14:textId="77777777" w:rsidR="00F96903" w:rsidRDefault="00F96903" w:rsidP="00F96903">
      <w:pPr>
        <w:rPr>
          <w:rFonts w:ascii="Times New Roman" w:hAnsi="Times New Roman" w:cs="Times New Roman"/>
          <w:b/>
          <w:bCs/>
          <w:lang w:val="en-GB"/>
        </w:rPr>
      </w:pPr>
    </w:p>
    <w:p w14:paraId="5EDB4181" w14:textId="77777777" w:rsidR="00F96903" w:rsidRDefault="00F96903" w:rsidP="00F96903">
      <w:pPr>
        <w:rPr>
          <w:rFonts w:ascii="Times New Roman" w:hAnsi="Times New Roman" w:cs="Times New Roman"/>
          <w:b/>
          <w:bCs/>
          <w:lang w:val="en-GB"/>
        </w:rPr>
      </w:pPr>
    </w:p>
    <w:p w14:paraId="190299B3" w14:textId="77777777" w:rsidR="00F96903" w:rsidRDefault="00F96903" w:rsidP="00F96903">
      <w:pPr>
        <w:rPr>
          <w:rFonts w:ascii="Times New Roman" w:hAnsi="Times New Roman" w:cs="Times New Roman"/>
          <w:b/>
          <w:bCs/>
          <w:lang w:val="en-GB"/>
        </w:rPr>
      </w:pPr>
    </w:p>
    <w:p w14:paraId="0A4B01F4" w14:textId="77777777" w:rsidR="00F96903" w:rsidRPr="00F96903" w:rsidRDefault="00F96903" w:rsidP="00F96903">
      <w:pPr>
        <w:rPr>
          <w:rFonts w:ascii="Times New Roman" w:hAnsi="Times New Roman" w:cs="Times New Roman"/>
          <w:b/>
          <w:bCs/>
          <w:lang w:val="en-GB"/>
        </w:rPr>
      </w:pPr>
    </w:p>
    <w:p w14:paraId="586D97A1" w14:textId="77777777" w:rsidR="00F96903" w:rsidRDefault="00F96903" w:rsidP="00F96903">
      <w:pPr>
        <w:rPr>
          <w:rFonts w:ascii="Times New Roman" w:hAnsi="Times New Roman" w:cs="Times New Roman"/>
          <w:b/>
          <w:bCs/>
          <w:lang w:val="en-GB"/>
        </w:rPr>
      </w:pPr>
      <w:r w:rsidRPr="00F96903">
        <w:rPr>
          <w:rFonts w:ascii="Times New Roman" w:hAnsi="Times New Roman" w:cs="Times New Roman"/>
          <w:b/>
          <w:bCs/>
          <w:lang w:val="en-GB"/>
        </w:rPr>
        <w:lastRenderedPageBreak/>
        <w:t>References</w:t>
      </w:r>
    </w:p>
    <w:p w14:paraId="08DDA173" w14:textId="77777777" w:rsidR="00F96903" w:rsidRPr="00F96903" w:rsidRDefault="00F96903" w:rsidP="00F96903">
      <w:pPr>
        <w:rPr>
          <w:rFonts w:ascii="Times New Roman" w:hAnsi="Times New Roman" w:cs="Times New Roman"/>
          <w:b/>
          <w:bCs/>
          <w:lang w:val="en-GB"/>
        </w:rPr>
      </w:pPr>
    </w:p>
    <w:p w14:paraId="7F5EE728" w14:textId="77777777" w:rsidR="00F96903" w:rsidRPr="00F96903" w:rsidRDefault="00F96903" w:rsidP="00F96903">
      <w:pPr>
        <w:numPr>
          <w:ilvl w:val="0"/>
          <w:numId w:val="3"/>
        </w:numPr>
        <w:rPr>
          <w:rFonts w:ascii="Times New Roman" w:hAnsi="Times New Roman" w:cs="Times New Roman"/>
          <w:lang w:val="en-GB"/>
        </w:rPr>
      </w:pPr>
      <w:r w:rsidRPr="00F96903">
        <w:rPr>
          <w:rFonts w:ascii="Times New Roman" w:hAnsi="Times New Roman" w:cs="Times New Roman"/>
          <w:lang w:val="en-GB"/>
        </w:rPr>
        <w:t xml:space="preserve">Ahmad, Y. (2006). The scope and definitions of heritage: From tangible to intangible. </w:t>
      </w:r>
      <w:r w:rsidRPr="00F96903">
        <w:rPr>
          <w:rFonts w:ascii="Times New Roman" w:hAnsi="Times New Roman" w:cs="Times New Roman"/>
          <w:i/>
          <w:iCs/>
          <w:lang w:val="en-GB"/>
        </w:rPr>
        <w:t>International Journal of Heritage Studies, 12</w:t>
      </w:r>
      <w:r w:rsidRPr="00F96903">
        <w:rPr>
          <w:rFonts w:ascii="Times New Roman" w:hAnsi="Times New Roman" w:cs="Times New Roman"/>
          <w:lang w:val="en-GB"/>
        </w:rPr>
        <w:t>(3), 292–300. https://doi.org/10.1080/13527250600604639</w:t>
      </w:r>
    </w:p>
    <w:p w14:paraId="76D6EA68" w14:textId="77777777" w:rsidR="00F96903" w:rsidRPr="00F96903" w:rsidRDefault="00F96903" w:rsidP="00F96903">
      <w:pPr>
        <w:numPr>
          <w:ilvl w:val="0"/>
          <w:numId w:val="3"/>
        </w:numPr>
        <w:rPr>
          <w:rFonts w:ascii="Times New Roman" w:hAnsi="Times New Roman" w:cs="Times New Roman"/>
          <w:lang w:val="en-GB"/>
        </w:rPr>
      </w:pPr>
      <w:r w:rsidRPr="00F96903">
        <w:rPr>
          <w:rFonts w:ascii="Times New Roman" w:hAnsi="Times New Roman" w:cs="Times New Roman"/>
          <w:lang w:val="en-GB"/>
        </w:rPr>
        <w:t xml:space="preserve">Landorf, C. (2009). Managing for sustainable tourism: A review of six cultural World Heritage Sites. </w:t>
      </w:r>
      <w:r w:rsidRPr="00F96903">
        <w:rPr>
          <w:rFonts w:ascii="Times New Roman" w:hAnsi="Times New Roman" w:cs="Times New Roman"/>
          <w:i/>
          <w:iCs/>
          <w:lang w:val="en-GB"/>
        </w:rPr>
        <w:t>Journal of Sustainable Tourism, 17</w:t>
      </w:r>
      <w:r w:rsidRPr="00F96903">
        <w:rPr>
          <w:rFonts w:ascii="Times New Roman" w:hAnsi="Times New Roman" w:cs="Times New Roman"/>
          <w:lang w:val="en-GB"/>
        </w:rPr>
        <w:t xml:space="preserve">(1), 53–70. </w:t>
      </w:r>
      <w:hyperlink r:id="rId6" w:tgtFrame="_new" w:history="1">
        <w:r w:rsidRPr="00F96903">
          <w:rPr>
            <w:rStyle w:val="Hyperlink"/>
            <w:rFonts w:ascii="Times New Roman" w:hAnsi="Times New Roman" w:cs="Times New Roman"/>
            <w:lang w:val="en-GB"/>
          </w:rPr>
          <w:t>https://doi.org/10.1080/09669580802159719</w:t>
        </w:r>
      </w:hyperlink>
    </w:p>
    <w:p w14:paraId="2DEB81CE" w14:textId="77777777" w:rsidR="00F96903" w:rsidRPr="00F96903" w:rsidRDefault="00F96903" w:rsidP="00F96903">
      <w:pPr>
        <w:numPr>
          <w:ilvl w:val="0"/>
          <w:numId w:val="3"/>
        </w:numPr>
        <w:rPr>
          <w:rFonts w:ascii="Times New Roman" w:hAnsi="Times New Roman" w:cs="Times New Roman"/>
          <w:lang w:val="en-GB"/>
        </w:rPr>
      </w:pPr>
      <w:proofErr w:type="spellStart"/>
      <w:r w:rsidRPr="00F96903">
        <w:rPr>
          <w:rFonts w:ascii="Times New Roman" w:hAnsi="Times New Roman" w:cs="Times New Roman"/>
          <w:lang w:val="en-GB"/>
        </w:rPr>
        <w:t>Lenzerini</w:t>
      </w:r>
      <w:proofErr w:type="spellEnd"/>
      <w:r w:rsidRPr="00F96903">
        <w:rPr>
          <w:rFonts w:ascii="Times New Roman" w:hAnsi="Times New Roman" w:cs="Times New Roman"/>
          <w:lang w:val="en-GB"/>
        </w:rPr>
        <w:t xml:space="preserve">, F. (2011). Intangible cultural heritage: The living culture of peoples. </w:t>
      </w:r>
      <w:r w:rsidRPr="00F96903">
        <w:rPr>
          <w:rFonts w:ascii="Times New Roman" w:hAnsi="Times New Roman" w:cs="Times New Roman"/>
          <w:i/>
          <w:iCs/>
          <w:lang w:val="en-GB"/>
        </w:rPr>
        <w:t>European Journal of International Law, 22</w:t>
      </w:r>
      <w:r w:rsidRPr="00F96903">
        <w:rPr>
          <w:rFonts w:ascii="Times New Roman" w:hAnsi="Times New Roman" w:cs="Times New Roman"/>
          <w:lang w:val="en-GB"/>
        </w:rPr>
        <w:t xml:space="preserve">(1), 101–120. </w:t>
      </w:r>
      <w:hyperlink r:id="rId7" w:tgtFrame="_new" w:history="1">
        <w:r w:rsidRPr="00F96903">
          <w:rPr>
            <w:rStyle w:val="Hyperlink"/>
            <w:rFonts w:ascii="Times New Roman" w:hAnsi="Times New Roman" w:cs="Times New Roman"/>
            <w:lang w:val="en-GB"/>
          </w:rPr>
          <w:t>https://doi.org/10.1093/ejil/chr006</w:t>
        </w:r>
      </w:hyperlink>
    </w:p>
    <w:p w14:paraId="3EDF9693" w14:textId="77777777" w:rsidR="00F96903" w:rsidRPr="00F96903" w:rsidRDefault="00F96903" w:rsidP="00F96903">
      <w:pPr>
        <w:numPr>
          <w:ilvl w:val="0"/>
          <w:numId w:val="3"/>
        </w:numPr>
        <w:rPr>
          <w:rFonts w:ascii="Times New Roman" w:hAnsi="Times New Roman" w:cs="Times New Roman"/>
          <w:lang w:val="en-GB"/>
        </w:rPr>
      </w:pPr>
      <w:r w:rsidRPr="00F96903">
        <w:rPr>
          <w:rFonts w:ascii="Times New Roman" w:hAnsi="Times New Roman" w:cs="Times New Roman"/>
          <w:lang w:val="en-GB"/>
        </w:rPr>
        <w:t xml:space="preserve">Pendlebury, J., Short, M., &amp; While, A. (2009). Urban World Heritage Sites and the problem of authenticity. </w:t>
      </w:r>
      <w:r w:rsidRPr="00F96903">
        <w:rPr>
          <w:rFonts w:ascii="Times New Roman" w:hAnsi="Times New Roman" w:cs="Times New Roman"/>
          <w:i/>
          <w:iCs/>
          <w:lang w:val="en-GB"/>
        </w:rPr>
        <w:t>Cities, 26</w:t>
      </w:r>
      <w:r w:rsidRPr="00F96903">
        <w:rPr>
          <w:rFonts w:ascii="Times New Roman" w:hAnsi="Times New Roman" w:cs="Times New Roman"/>
          <w:lang w:val="en-GB"/>
        </w:rPr>
        <w:t>(6), 349–358. https://doi.org/10.1016/j.cities.2009.09.003</w:t>
      </w:r>
    </w:p>
    <w:p w14:paraId="22A05DF8" w14:textId="77777777" w:rsidR="00F96903" w:rsidRPr="00F96903" w:rsidRDefault="00F96903" w:rsidP="00F96903">
      <w:pPr>
        <w:numPr>
          <w:ilvl w:val="0"/>
          <w:numId w:val="3"/>
        </w:numPr>
        <w:rPr>
          <w:rFonts w:ascii="Times New Roman" w:hAnsi="Times New Roman" w:cs="Times New Roman"/>
          <w:lang w:val="en-GB"/>
        </w:rPr>
      </w:pPr>
      <w:r w:rsidRPr="00F96903">
        <w:rPr>
          <w:rFonts w:ascii="Times New Roman" w:hAnsi="Times New Roman" w:cs="Times New Roman"/>
          <w:lang w:val="en-GB"/>
        </w:rPr>
        <w:t xml:space="preserve">Rodwell, D. (2007). </w:t>
      </w:r>
      <w:r w:rsidRPr="00F96903">
        <w:rPr>
          <w:rFonts w:ascii="Times New Roman" w:hAnsi="Times New Roman" w:cs="Times New Roman"/>
          <w:i/>
          <w:iCs/>
          <w:lang w:val="en-GB"/>
        </w:rPr>
        <w:t>Conservation and Sustainability in Historic Cities</w:t>
      </w:r>
      <w:r w:rsidRPr="00F96903">
        <w:rPr>
          <w:rFonts w:ascii="Times New Roman" w:hAnsi="Times New Roman" w:cs="Times New Roman"/>
          <w:lang w:val="en-GB"/>
        </w:rPr>
        <w:t>. Blackwell Publishing. https://doi.org/10.1002/9780470691786</w:t>
      </w:r>
    </w:p>
    <w:p w14:paraId="7D41C164" w14:textId="77777777" w:rsidR="00F96903" w:rsidRPr="00F96903" w:rsidRDefault="00F96903" w:rsidP="00F96903">
      <w:pPr>
        <w:numPr>
          <w:ilvl w:val="0"/>
          <w:numId w:val="3"/>
        </w:numPr>
        <w:rPr>
          <w:rFonts w:ascii="Times New Roman" w:hAnsi="Times New Roman" w:cs="Times New Roman"/>
          <w:lang w:val="en-GB"/>
        </w:rPr>
      </w:pPr>
      <w:r w:rsidRPr="00F96903">
        <w:rPr>
          <w:rFonts w:ascii="Times New Roman" w:hAnsi="Times New Roman" w:cs="Times New Roman"/>
          <w:lang w:val="en-GB"/>
        </w:rPr>
        <w:t xml:space="preserve">Timothy, D. J., &amp; Boyd, S. W. (2003). </w:t>
      </w:r>
      <w:r w:rsidRPr="00F96903">
        <w:rPr>
          <w:rFonts w:ascii="Times New Roman" w:hAnsi="Times New Roman" w:cs="Times New Roman"/>
          <w:i/>
          <w:iCs/>
          <w:lang w:val="en-GB"/>
        </w:rPr>
        <w:t>Heritage Tourism</w:t>
      </w:r>
      <w:r w:rsidRPr="00F96903">
        <w:rPr>
          <w:rFonts w:ascii="Times New Roman" w:hAnsi="Times New Roman" w:cs="Times New Roman"/>
          <w:lang w:val="en-GB"/>
        </w:rPr>
        <w:t>. Pearson Education.</w:t>
      </w:r>
    </w:p>
    <w:p w14:paraId="5EA51269" w14:textId="77777777" w:rsidR="00F96903" w:rsidRPr="00F96903" w:rsidRDefault="00F96903" w:rsidP="00F96903">
      <w:pPr>
        <w:numPr>
          <w:ilvl w:val="0"/>
          <w:numId w:val="3"/>
        </w:numPr>
        <w:rPr>
          <w:rFonts w:ascii="Times New Roman" w:hAnsi="Times New Roman" w:cs="Times New Roman"/>
          <w:lang w:val="en-GB"/>
        </w:rPr>
      </w:pPr>
      <w:r w:rsidRPr="00F96903">
        <w:rPr>
          <w:rFonts w:ascii="Times New Roman" w:hAnsi="Times New Roman" w:cs="Times New Roman"/>
          <w:lang w:val="en-GB"/>
        </w:rPr>
        <w:t xml:space="preserve">UNESCO. (2021). </w:t>
      </w:r>
      <w:r w:rsidRPr="00F96903">
        <w:rPr>
          <w:rFonts w:ascii="Times New Roman" w:hAnsi="Times New Roman" w:cs="Times New Roman"/>
          <w:i/>
          <w:iCs/>
          <w:lang w:val="en-GB"/>
        </w:rPr>
        <w:t>Operational Guidelines for the Implementation of the World Heritage Convention</w:t>
      </w:r>
      <w:r w:rsidRPr="00F96903">
        <w:rPr>
          <w:rFonts w:ascii="Times New Roman" w:hAnsi="Times New Roman" w:cs="Times New Roman"/>
          <w:lang w:val="en-GB"/>
        </w:rPr>
        <w:t xml:space="preserve">. UNESCO World Heritage Centre. </w:t>
      </w:r>
      <w:hyperlink r:id="rId8" w:tgtFrame="_new" w:history="1">
        <w:r w:rsidRPr="00F96903">
          <w:rPr>
            <w:rStyle w:val="Hyperlink"/>
            <w:rFonts w:ascii="Times New Roman" w:hAnsi="Times New Roman" w:cs="Times New Roman"/>
            <w:lang w:val="en-GB"/>
          </w:rPr>
          <w:t>https://whc.unesco.org/en/guidelines/</w:t>
        </w:r>
      </w:hyperlink>
    </w:p>
    <w:p w14:paraId="7DC0345C" w14:textId="77777777" w:rsidR="00F96903" w:rsidRPr="00F96903" w:rsidRDefault="00F96903" w:rsidP="00F96903">
      <w:pPr>
        <w:numPr>
          <w:ilvl w:val="0"/>
          <w:numId w:val="3"/>
        </w:numPr>
        <w:rPr>
          <w:rFonts w:ascii="Times New Roman" w:hAnsi="Times New Roman" w:cs="Times New Roman"/>
          <w:lang w:val="en-GB"/>
        </w:rPr>
      </w:pPr>
      <w:r w:rsidRPr="00F96903">
        <w:rPr>
          <w:rFonts w:ascii="Times New Roman" w:hAnsi="Times New Roman" w:cs="Times New Roman"/>
          <w:lang w:val="en-GB"/>
        </w:rPr>
        <w:t xml:space="preserve">Wijesuriya, G., Thompson, J., &amp; Young, C. (2013). </w:t>
      </w:r>
      <w:r w:rsidRPr="00F96903">
        <w:rPr>
          <w:rFonts w:ascii="Times New Roman" w:hAnsi="Times New Roman" w:cs="Times New Roman"/>
          <w:i/>
          <w:iCs/>
          <w:lang w:val="en-GB"/>
        </w:rPr>
        <w:t>Managing Cultural World Heritage</w:t>
      </w:r>
      <w:r w:rsidRPr="00F96903">
        <w:rPr>
          <w:rFonts w:ascii="Times New Roman" w:hAnsi="Times New Roman" w:cs="Times New Roman"/>
          <w:lang w:val="en-GB"/>
        </w:rPr>
        <w:t>. UNESCO World Heritage Centre.</w:t>
      </w:r>
    </w:p>
    <w:p w14:paraId="51A5B50B" w14:textId="77777777" w:rsidR="00F96903" w:rsidRPr="00F96903" w:rsidRDefault="00F96903" w:rsidP="00F96903">
      <w:pPr>
        <w:rPr>
          <w:rFonts w:ascii="Times New Roman" w:hAnsi="Times New Roman" w:cs="Times New Roman"/>
          <w:b/>
          <w:bCs/>
          <w:vanish/>
          <w:lang w:val="en-GB"/>
        </w:rPr>
      </w:pPr>
      <w:r w:rsidRPr="00F96903">
        <w:rPr>
          <w:rFonts w:ascii="Times New Roman" w:hAnsi="Times New Roman" w:cs="Times New Roman"/>
          <w:b/>
          <w:bCs/>
          <w:vanish/>
          <w:lang w:val="en-GB"/>
        </w:rPr>
        <w:t>Top of Form</w:t>
      </w:r>
    </w:p>
    <w:p w14:paraId="5D1F3824" w14:textId="77777777" w:rsidR="00F96903" w:rsidRPr="00F96903" w:rsidRDefault="00F96903" w:rsidP="00F96903">
      <w:pPr>
        <w:rPr>
          <w:rFonts w:ascii="Times New Roman" w:hAnsi="Times New Roman" w:cs="Times New Roman"/>
          <w:b/>
          <w:bCs/>
          <w:vanish/>
          <w:lang w:val="en-GB"/>
        </w:rPr>
      </w:pPr>
      <w:r w:rsidRPr="00F96903">
        <w:rPr>
          <w:rFonts w:ascii="Times New Roman" w:hAnsi="Times New Roman" w:cs="Times New Roman"/>
          <w:b/>
          <w:bCs/>
          <w:vanish/>
          <w:lang w:val="en-GB"/>
        </w:rPr>
        <w:t>Bottom of Form</w:t>
      </w:r>
    </w:p>
    <w:p w14:paraId="591F43E9" w14:textId="77777777" w:rsidR="0056617A" w:rsidRPr="00CB667A" w:rsidRDefault="0056617A" w:rsidP="00F96903">
      <w:pPr>
        <w:rPr>
          <w:rFonts w:ascii="Times New Roman" w:hAnsi="Times New Roman" w:cs="Times New Roman"/>
          <w:lang w:val="en-US"/>
        </w:rPr>
      </w:pPr>
    </w:p>
    <w:sectPr w:rsidR="0056617A" w:rsidRPr="00CB667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730DB8"/>
    <w:multiLevelType w:val="hybridMultilevel"/>
    <w:tmpl w:val="EAA09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C34D48"/>
    <w:multiLevelType w:val="hybridMultilevel"/>
    <w:tmpl w:val="29F4C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6540664">
    <w:abstractNumId w:val="0"/>
  </w:num>
  <w:num w:numId="2" w16cid:durableId="51579985">
    <w:abstractNumId w:val="1"/>
  </w:num>
  <w:num w:numId="3" w16cid:durableId="5049775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17A"/>
    <w:rsid w:val="00011351"/>
    <w:rsid w:val="00104A32"/>
    <w:rsid w:val="004E366E"/>
    <w:rsid w:val="0056617A"/>
    <w:rsid w:val="005B1E2F"/>
    <w:rsid w:val="006733BE"/>
    <w:rsid w:val="00832D86"/>
    <w:rsid w:val="00BF4ADC"/>
    <w:rsid w:val="00C45288"/>
    <w:rsid w:val="00CB667A"/>
    <w:rsid w:val="00DF741F"/>
    <w:rsid w:val="00EB6E1C"/>
    <w:rsid w:val="00F96903"/>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42FE1"/>
  <w15:chartTrackingRefBased/>
  <w15:docId w15:val="{606885A0-529D-4C5D-86CF-B43CA284C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17A"/>
    <w:pPr>
      <w:spacing w:after="0" w:line="240" w:lineRule="auto"/>
    </w:pPr>
    <w:rPr>
      <w:szCs w:val="24"/>
      <w:lang w:bidi="ar-SA"/>
    </w:rPr>
  </w:style>
  <w:style w:type="paragraph" w:styleId="Heading1">
    <w:name w:val="heading 1"/>
    <w:basedOn w:val="Normal"/>
    <w:next w:val="Normal"/>
    <w:link w:val="Heading1Char"/>
    <w:uiPriority w:val="9"/>
    <w:qFormat/>
    <w:rsid w:val="0056617A"/>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56617A"/>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56617A"/>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5661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61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617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617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617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617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617A"/>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56617A"/>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56617A"/>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5661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61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61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61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61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617A"/>
    <w:rPr>
      <w:rFonts w:eastAsiaTheme="majorEastAsia" w:cstheme="majorBidi"/>
      <w:color w:val="272727" w:themeColor="text1" w:themeTint="D8"/>
    </w:rPr>
  </w:style>
  <w:style w:type="paragraph" w:styleId="Title">
    <w:name w:val="Title"/>
    <w:basedOn w:val="Normal"/>
    <w:next w:val="Normal"/>
    <w:link w:val="TitleChar"/>
    <w:uiPriority w:val="10"/>
    <w:qFormat/>
    <w:rsid w:val="0056617A"/>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56617A"/>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56617A"/>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56617A"/>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56617A"/>
    <w:pPr>
      <w:spacing w:before="160"/>
      <w:jc w:val="center"/>
    </w:pPr>
    <w:rPr>
      <w:i/>
      <w:iCs/>
      <w:color w:val="404040" w:themeColor="text1" w:themeTint="BF"/>
    </w:rPr>
  </w:style>
  <w:style w:type="character" w:customStyle="1" w:styleId="QuoteChar">
    <w:name w:val="Quote Char"/>
    <w:basedOn w:val="DefaultParagraphFont"/>
    <w:link w:val="Quote"/>
    <w:uiPriority w:val="29"/>
    <w:rsid w:val="0056617A"/>
    <w:rPr>
      <w:i/>
      <w:iCs/>
      <w:color w:val="404040" w:themeColor="text1" w:themeTint="BF"/>
    </w:rPr>
  </w:style>
  <w:style w:type="paragraph" w:styleId="ListParagraph">
    <w:name w:val="List Paragraph"/>
    <w:basedOn w:val="Normal"/>
    <w:uiPriority w:val="34"/>
    <w:qFormat/>
    <w:rsid w:val="0056617A"/>
    <w:pPr>
      <w:ind w:left="720"/>
      <w:contextualSpacing/>
    </w:pPr>
  </w:style>
  <w:style w:type="character" w:styleId="IntenseEmphasis">
    <w:name w:val="Intense Emphasis"/>
    <w:basedOn w:val="DefaultParagraphFont"/>
    <w:uiPriority w:val="21"/>
    <w:qFormat/>
    <w:rsid w:val="0056617A"/>
    <w:rPr>
      <w:i/>
      <w:iCs/>
      <w:color w:val="0F4761" w:themeColor="accent1" w:themeShade="BF"/>
    </w:rPr>
  </w:style>
  <w:style w:type="paragraph" w:styleId="IntenseQuote">
    <w:name w:val="Intense Quote"/>
    <w:basedOn w:val="Normal"/>
    <w:next w:val="Normal"/>
    <w:link w:val="IntenseQuoteChar"/>
    <w:uiPriority w:val="30"/>
    <w:qFormat/>
    <w:rsid w:val="005661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617A"/>
    <w:rPr>
      <w:i/>
      <w:iCs/>
      <w:color w:val="0F4761" w:themeColor="accent1" w:themeShade="BF"/>
    </w:rPr>
  </w:style>
  <w:style w:type="character" w:styleId="IntenseReference">
    <w:name w:val="Intense Reference"/>
    <w:basedOn w:val="DefaultParagraphFont"/>
    <w:uiPriority w:val="32"/>
    <w:qFormat/>
    <w:rsid w:val="0056617A"/>
    <w:rPr>
      <w:b/>
      <w:bCs/>
      <w:smallCaps/>
      <w:color w:val="0F4761" w:themeColor="accent1" w:themeShade="BF"/>
      <w:spacing w:val="5"/>
    </w:rPr>
  </w:style>
  <w:style w:type="character" w:styleId="Hyperlink">
    <w:name w:val="Hyperlink"/>
    <w:basedOn w:val="DefaultParagraphFont"/>
    <w:uiPriority w:val="99"/>
    <w:unhideWhenUsed/>
    <w:rsid w:val="0056617A"/>
    <w:rPr>
      <w:color w:val="467886" w:themeColor="hyperlink"/>
      <w:u w:val="single"/>
    </w:rPr>
  </w:style>
  <w:style w:type="character" w:styleId="UnresolvedMention">
    <w:name w:val="Unresolved Mention"/>
    <w:basedOn w:val="DefaultParagraphFont"/>
    <w:uiPriority w:val="99"/>
    <w:semiHidden/>
    <w:unhideWhenUsed/>
    <w:rsid w:val="005661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c.unesco.org/en/guidelines/" TargetMode="External"/><Relationship Id="rId3" Type="http://schemas.openxmlformats.org/officeDocument/2006/relationships/settings" Target="settings.xml"/><Relationship Id="rId7" Type="http://schemas.openxmlformats.org/officeDocument/2006/relationships/hyperlink" Target="https://doi.org/10.1093/ejil/chr00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80/09669580802159719"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1074</Words>
  <Characters>6124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33496</dc:creator>
  <cp:keywords/>
  <dc:description/>
  <cp:lastModifiedBy>33496</cp:lastModifiedBy>
  <cp:revision>2</cp:revision>
  <dcterms:created xsi:type="dcterms:W3CDTF">2026-05-17T13:25:00Z</dcterms:created>
  <dcterms:modified xsi:type="dcterms:W3CDTF">2026-05-17T13:25:00Z</dcterms:modified>
</cp:coreProperties>
</file>