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2286000" cy="3292045"/>
            <wp:docPr id="1" name="Picture 1"/>
            <wp:cNvGraphicFramePr>
              <a:graphicFrameLocks noChangeAspect="1"/>
            </wp:cNvGraphicFramePr>
            <a:graphic>
              <a:graphicData uri="http://schemas.openxmlformats.org/drawingml/2006/picture">
                <pic:pic>
                  <pic:nvPicPr>
                    <pic:cNvPr id="0" name="2839BC7B-1FFF-4A43-8A36-D1F793618A7F.jpeg"/>
                    <pic:cNvPicPr/>
                  </pic:nvPicPr>
                  <pic:blipFill>
                    <a:blip r:embed="rId9"/>
                    <a:stretch>
                      <a:fillRect/>
                    </a:stretch>
                  </pic:blipFill>
                  <pic:spPr>
                    <a:xfrm>
                      <a:off x="0" y="0"/>
                      <a:ext cx="2286000" cy="3292045"/>
                    </a:xfrm>
                    <a:prstGeom prst="rect"/>
                  </pic:spPr>
                </pic:pic>
              </a:graphicData>
            </a:graphic>
          </wp:inline>
        </w:drawing>
      </w:r>
    </w:p>
    <w:p/>
    <w:p>
      <w:pPr>
        <w:pStyle w:val="Heading1"/>
        <w:jc w:val="center"/>
      </w:pPr>
      <w:r>
        <w:t>Post-Pandemic Consumer Behaviour – The Rise of Wellness and Conscious Travel</w:t>
      </w:r>
    </w:p>
    <w:p>
      <w:pPr>
        <w:jc w:val="center"/>
      </w:pPr>
      <w:r>
        <w:t>Student Name: Harsh Kumar</w:t>
      </w:r>
    </w:p>
    <w:p>
      <w:pPr>
        <w:jc w:val="center"/>
      </w:pPr>
      <w:r>
        <w:t>Matriculation Number: DE240086</w:t>
      </w:r>
    </w:p>
    <w:p>
      <w:pPr>
        <w:jc w:val="center"/>
      </w:pPr>
      <w:r>
        <w:t>Course: Consumer Behaviour in Tourism and Hospitality</w:t>
      </w:r>
    </w:p>
    <w:p>
      <w:pPr>
        <w:jc w:val="center"/>
      </w:pPr>
      <w:r>
        <w:t>Date: October 2025</w:t>
      </w:r>
    </w:p>
    <w:p>
      <w:pPr>
        <w:pStyle w:val="Heading2"/>
      </w:pPr>
      <w:r>
        <w:t>Table of Contents</w:t>
      </w:r>
    </w:p>
    <w:p>
      <w:pPr>
        <w:ind w:left="0"/>
      </w:pPr>
      <w:r>
        <w:t>1. Executive Summary</w:t>
      </w:r>
    </w:p>
    <w:p>
      <w:pPr>
        <w:ind w:left="0"/>
      </w:pPr>
      <w:r>
        <w:t>2. Abstract</w:t>
      </w:r>
    </w:p>
    <w:p>
      <w:pPr>
        <w:ind w:left="0"/>
      </w:pPr>
      <w:r>
        <w:t>3. Introduction</w:t>
      </w:r>
    </w:p>
    <w:p>
      <w:pPr>
        <w:ind w:left="0"/>
      </w:pPr>
      <w:r>
        <w:t>4. Literature Review</w:t>
      </w:r>
    </w:p>
    <w:p>
      <w:pPr>
        <w:ind w:left="0"/>
      </w:pPr>
      <w:r>
        <w:t>5. Methodology</w:t>
      </w:r>
    </w:p>
    <w:p>
      <w:pPr>
        <w:ind w:left="0"/>
      </w:pPr>
      <w:r>
        <w:t>6. Findings</w:t>
      </w:r>
    </w:p>
    <w:p>
      <w:pPr>
        <w:ind w:left="0"/>
      </w:pPr>
      <w:r>
        <w:t>7. Discussion</w:t>
      </w:r>
    </w:p>
    <w:p>
      <w:pPr>
        <w:ind w:left="0"/>
      </w:pPr>
      <w:r>
        <w:t>8. Future Implications and Recommendations</w:t>
      </w:r>
    </w:p>
    <w:p>
      <w:pPr>
        <w:ind w:left="0"/>
      </w:pPr>
      <w:r>
        <w:t>9. Managerial Implications</w:t>
      </w:r>
    </w:p>
    <w:p>
      <w:pPr>
        <w:ind w:left="0"/>
      </w:pPr>
      <w:r>
        <w:t>10. Ethical Considerations and Risks</w:t>
      </w:r>
    </w:p>
    <w:p>
      <w:pPr>
        <w:ind w:left="0"/>
      </w:pPr>
      <w:r>
        <w:t>11. Limitations and Directions for Future Research</w:t>
      </w:r>
    </w:p>
    <w:p>
      <w:pPr>
        <w:ind w:left="0"/>
      </w:pPr>
      <w:r>
        <w:t>12. Conclusion</w:t>
      </w:r>
    </w:p>
    <w:p>
      <w:pPr>
        <w:ind w:left="0"/>
      </w:pPr>
      <w:r>
        <w:t>13. References</w:t>
      </w:r>
    </w:p>
    <w:p>
      <w:pPr>
        <w:ind w:left="0"/>
      </w:pPr>
      <w:r>
        <w:t>14. Appendices</w:t>
      </w:r>
    </w:p>
    <w:p>
      <w:pPr>
        <w:pStyle w:val="Heading2"/>
      </w:pPr>
      <w:r>
        <w:t>Executive Summary</w:t>
      </w:r>
    </w:p>
    <w:p>
      <w:r>
        <w:t>This report investigates how consumer behaviour in tourism and hospitality has evolved in the aftermath of the COVID‑19 pandemic and why wellness and conscious travel have become defining features of demand. Travellers are no longer satisfied with the traditional promise of escape and indulgence. They increasingly frame travel as a purposeful investment in physical health, emotional stability, social connection, and ethical contribution. This shift is not a passing fashion but a structural reordering of preferences catalysed by a global health crisis, prolonged social isolation, and widespread reflection on personal values.</w:t>
      </w:r>
    </w:p>
    <w:p>
      <w:r>
        <w:t>Drawing on behavioural theories—Maslow’s hierarchy of needs, the Theory of Planned Behaviour, Self‑Determination Theory, and Value–Belief–Norm theory—the report explains the psychological mechanics behind new travel choices. Secondary data from 2023–2025 industry sources and brand cases (Marriott, Hilton, Six Senses, Accor, Airbnb, TUI) illuminate how demand has moved toward nature‑based itineraries, mindfulness programmes, digital‑detox experiences, and regenerative tourism that leaves destinations socially and ecologically better off. At the same time, consumers expect clear safety protocols, credible sustainability claims, and opportunities to personalise itineraries with technology without losing the warmth of human service.</w:t>
      </w:r>
    </w:p>
    <w:p>
      <w:r>
        <w:t>Three overarching conclusions emerge. First, wellness is broadening beyond spa‑centric luxury into accessible, everyday practices such as forest bathing walks, breath‑work sessions, circadian‑friendly lighting, and sleep‑quality coaching embedded in mainstream hotels. Second, conscious travel is maturing from ‘green marketing’ to transparent, measurable action—think lifecycle carbon reporting, community revenue‑sharing, and plastic‑free operations. Third, travellers reward brands that practice empathy: policies that respect flexible cancellations, fair labour, inclusive design, and cultural authenticity generate loyalty that outlasts discounts. The report ends with actionable recommendations for destinations and firms to operationalise these insights and compete on care, not just cost.</w:t>
      </w:r>
    </w:p>
    <w:p>
      <w:pPr>
        <w:pStyle w:val="Heading2"/>
      </w:pPr>
      <w:r>
        <w:t>Abstract</w:t>
      </w:r>
    </w:p>
    <w:p>
      <w:r>
        <w:t>The pandemic precipitated the most abrupt collapse in modern tourism, but recovery has revealed a deeper transformation: travel is being reimagined as a vehicle for well‑being and responsibility. This paper synthesises current scholarship and market evidence to trace the rise of wellness and conscious travel in the post‑pandemic era. It integrates motivational theory with contemporary practice to explain why travellers foreground personal health, mindfulness, nature connection, and ethical impact when evaluating destinations, accommodation, and activities.</w:t>
      </w:r>
    </w:p>
    <w:p>
      <w:r>
        <w:t>A qualitative interpretivist methodology is applied, using thematic analysis of secondary data from 2020–2025, complemented by comparative brand case studies. The literature review spans Maslow’s hierarchy, the Theory of Planned Behaviour, Self‑Determination Theory, Emotional Consumption Theory, and Value–Belief–Norm theory to build a multi‑layered account of decision‑making under conditions of risk, recovery, and moral salience. Findings indicate a persistent preference for experiences that reduce anxiety, restore energy, cultivate relationships, and align with environmental and social values. Workcations, regenerative tourism, and slow, place‑based immersion emerge as durable patterns rather than short‑term fads.</w:t>
      </w:r>
    </w:p>
    <w:p>
      <w:r>
        <w:t>The paper concludes that competitive advantage in tourism now rests on designing for holistic flourishing—of guests, employees, communities, and ecosystems. Organisations that embed credible sustainability metrics, trauma‑aware service design, and inclusive pricing will be best positioned to serve the new traveller. Practical recommendations translate theory into steps for product development, communication, measurement, and partnerships.</w:t>
      </w:r>
    </w:p>
    <w:p>
      <w:pPr>
        <w:pStyle w:val="Heading2"/>
      </w:pPr>
      <w:r>
        <w:t>Introduction</w:t>
      </w:r>
    </w:p>
    <w:p>
      <w:r>
        <w:t>When borders closed and aircraft grounded in 2020, travel’s absence revealed its psychological importance. People did not just miss beaches and city breaks; they missed routines of restoration, the identity work of exploring new places, and the sense of belonging that emerges from shared experiences. As travel resumed, these needs returned in sharpened form. The pandemic functioned as both a shock and a mirror, exposing vulnerabilities in health systems, inequalities in work and mobility, and the environmental fragility of popular destinations. Consumers responded by reassessing what ‘good travel’ looks like.</w:t>
      </w:r>
    </w:p>
    <w:p>
      <w:r>
        <w:t>Three forces shape the new landscape. First is the primacy of health. Hygiene theatre has receded, but a baseline expectation of clean air, good sleep, and stress reduction remains. Second is the hunger for meaning. After months or years of curtailed social life, travellers look for journeys that reconnect them—with nature, with loved ones, and with their own values. Third is the visibility of climate risk. Heatwaves, wildfires, and floods reminded travellers that destinations are living systems; enjoyment now sits beside stewardship as a criterion of quality.</w:t>
      </w:r>
    </w:p>
    <w:p>
      <w:r>
        <w:t>Industry data since 2023 show a revival in overall volume alongside a rebalancing of segments. Urban business travel recovered unevenly while rural, coastal, and mountainous regions drew visitors seeking space and tranquillity. Boutique hotels and nature lodges reported strong occupancy for programmes that blend movement, mindfulness, and nutrition. Meanwhile, mainstream brands invested in well‑being basics—ergonomic rooms, circadian lighting, quiet zones, and menus featuring local, seasonal produce. Digital platforms added filters for ‘eco‑certified’ or ‘wellness‑oriented’ stays, signalling to consumers that values are now a design feature, not a niche add‑on.</w:t>
      </w:r>
    </w:p>
    <w:p>
      <w:r>
        <w:t>This report situates these observations in a theoretical frame and distils them into practical guidance. The aim is not to romanticise wellness as luxury, but to understand it as a spectrum of choices—some high‑touch and curated, others simple and affordable—that help travellers feel safe, centred, and connected. Conscious travel is treated as the ethical complement: decisions that acknowledge social and ecological interdependence. Together, these logics explain the post‑pandemic traveller: selective, reflective, digitally empowered, and eager for experiences that do more than entertain.</w:t>
      </w:r>
    </w:p>
    <w:p>
      <w:pPr>
        <w:pStyle w:val="Heading2"/>
      </w:pPr>
      <w:r>
        <w:t>Literature Review</w:t>
      </w:r>
    </w:p>
    <w:p>
      <w:r>
        <w:t>Maslow’s hierarchy of needs has long been applied to tourism to explain why, when lower‑order needs are secured, people pursue experiences linked to esteem and self‑actualisation. The pandemic temporarily pushed many consumers back down the pyramid, concentrating attention on safety and physiological stability. As risk subsided, the ascent resumed but with a twist: safety criteria now include mental health and environmental safety. A mountain retreat that offers clean air, quiet, and low‑impact operations can satisfy both concerns simultaneously.</w:t>
      </w:r>
    </w:p>
    <w:p>
      <w:r>
        <w:t>The Theory of Planned Behaviour (TPB) clarifies how attitudes, subjective norms, and perceived behavioural control inform intentions to travel. Post‑pandemic, attitudes toward wellness and sustainability have become more favourable; norms among peer groups emphasise responsible choices; and technologies such as flexible booking and transparent reviews increase perceived control. The TPB framework also helps explain the popularity of workcations: positive attitudes toward flexible work, normalised by employers, and the availability of reliable connectivity make the behaviour feasible and desirable.</w:t>
      </w:r>
    </w:p>
    <w:p>
      <w:r>
        <w:t>Self‑Determination Theory (SDT) deepens the analysis by foregrounding intrinsic motivation—autonomy, competence, and relatedness. Wellness travel excels here: yoga classes build competence, forest walks support autonomy by letting guests set pace and depth, and communal activities foster relatedness. When accommodation providers design experiences that respect these needs—offering choices rather than prescriptions, coaching rather than instruction, and spaces for shared reflection—they tap into durable sources of satisfaction that exceed hedonic pleasure.</w:t>
      </w:r>
    </w:p>
    <w:p>
      <w:r>
        <w:t>Value–Belief–Norm (VBN) theory connects environmental values to personal norms that trigger pro‑environmental behaviour. Conscious travel can be read as a VBN cascade: awareness of environmental impacts leads to beliefs about responsibility and outcome efficacy, which then activate norms favouring low‑carbon transport, certified accommodation, and regenerative activities such as habitat restoration walks or community gardening days. Operators that make consequences and contributions visible—for example, displaying energy savings, biodiversity indicators, or community revenue shares—strengthen the belief–norm link.</w:t>
      </w:r>
    </w:p>
    <w:p>
      <w:r>
        <w:t>Emotional Consumption Theory adds a recovery lens. The pandemic constituted a collective stressor; travel now functions as regulated exposure to novelty that rebuilds emotional bandwidth. Rituals of arrival (tea ceremonies, breathing exercises, gratitude journaling) are not arbitrary frills; they scaffold transitions from frenetic daily life to restorative presence. Programmes designed with trauma‑aware principles—predictability, choice, and empowerment—prevent triggering and enhance comfort for guests who may still carry pandemic‑related anxieties.</w:t>
      </w:r>
    </w:p>
    <w:p>
      <w:r>
        <w:t>Cross‑cultural perspectives complicate any single model. In Japan, onsen rituals embed wellness in tradition; in India, Ayurveda retreats combine medical and spiritual frameworks; in the Nordic countries, friluftsliv (open‑air life) situates well‑being in everyday outdoor practices; in Southern Europe, slow food and village festivals foreground conviviality as health. A robust literature cautions against exporting a single ‘spa’ template without attending to local meaning systems. Authenticity arises when businesses co‑create programmes with communities rather than merely borrowing imagery.</w:t>
      </w:r>
    </w:p>
    <w:p>
      <w:r>
        <w:t>Sustainability research in hospitality has moved from efficiency (LED bulbs, linen reuse) to systems thinking. Regenerative tourism literature urges operators to design for net positive outcomes: restoring ecosystems, revitalising heritage crafts, and strengthening local food networks. Scholars highlight governance mechanisms—destination stewardship councils, community benefit agreements, and transparent certification—that convert rhetoric into accountability. Consumers attuned to greenwashing increasingly rely on third‑party standards and peer reviews to validate claims.</w:t>
      </w:r>
    </w:p>
    <w:p>
      <w:r>
        <w:t>Digital transformation intersects with these themes. Mobile apps can nudge healthy habits (hydration, movement, sleep hygiene) and broker access to local wellness providers. However, scholars warn of ‘wellness paradoxes’: constant quantification can undermine relaxation; persuasive design can slide into surveillance; and algorithmic personalisation can create filter bubbles that limit serendipity. The literature therefore advocates hybrid models—tech that supports, not supplants, human empathy and local knowledge.</w:t>
      </w:r>
    </w:p>
    <w:p>
      <w:r>
        <w:t>Finally, pricing and inclusion appear as persistent blind spots. Studies show that wellness benefits skew toward higher‑income travellers when offerings concentrate in luxury segments. Yet inclusive models exist: urban hotels hosting free community yoga, hostels with quiet hours and blackout curtains, national parks piloting free mindfulness trails, rail companies packaging low‑carbon journeys with simple wellness amenities. The literature calls for industry and policy actors to scale such models to avoid reproducing health inequities under the banner of wellness.</w:t>
      </w:r>
    </w:p>
    <w:p>
      <w:pPr>
        <w:pStyle w:val="Heading2"/>
      </w:pPr>
      <w:r>
        <w:t>Methodology</w:t>
      </w:r>
    </w:p>
    <w:p>
      <w:r>
        <w:t>This research adopts a qualitative, interpretivist design suited to understanding meanings and motivations rather than measuring incidence. Secondary data were gathered from academic journals, industry bodies, destination reports, and brand communications published between 2020 and 2025. Sources were selected for credibility, transparency of method, and relevance to wellness and conscious travel. Thematic analysis proceeded in three stages: familiarisation with the corpus; coding of recurrent ideas (health, safety, authenticity, sustainability, personalisation, inclusion); and synthesis into higher‑order themes (restoration, responsibility, and regeneration).</w:t>
      </w:r>
    </w:p>
    <w:p>
      <w:r>
        <w:t>To ground theory in practice, six brief case studies were constructed: Marriott International, Hilton, Accor, and IHG as diversified global hotel groups; Six Senses and Aman as wellness‑anchored luxury brands; and Airbnb and TUI as platform‑led and tour‑operating models. Each case examined pre‑ and post‑pandemic product strategy, messaging, partnerships, and measurement. Although not exhaustive, this comparative approach highlights convergent innovations and reveals trade‑offs faced by firms seeking to scale wellness credibly.</w:t>
      </w:r>
    </w:p>
    <w:p>
      <w:r>
        <w:t>The study acknowledges limitations. Secondary data risk inconsistencies in definitions (e.g., what counts as ‘wellness tourism’) and may exhibit positive bias in corporate reporting. Regional dynamics are unevenly represented because English‑language sources predominate. The absence of primary interviews limits the ability to test causality. To mitigate these constraints, triangulation across academic, governmental, and commercial sources was used, prioritising findings that recur across independent datasets.</w:t>
      </w:r>
    </w:p>
    <w:p>
      <w:pPr>
        <w:pStyle w:val="Heading2"/>
      </w:pPr>
      <w:r>
        <w:t>Findings</w:t>
      </w:r>
    </w:p>
    <w:p>
      <w:r>
        <w:t>Theme 1: Wellness becomes foundational, not a niche. Across brands, wellness elements migrate from peripheral spa menus to the core guest journey. Pre‑arrival communications include stress‑management tips and travel‑day stretching videos. Check‑in rituals shorten and quiet zones reduce auditory load. Rooms feature high‑quality mattresses, breathable linens, circadian‑friendly lighting, plants for biophilia, and air‑quality sensors. Breakfasts highlight fibre‑rich options and fermented foods linked to gut health. These tangible details, once add‑ons, now define perceived value and review sentiment.</w:t>
      </w:r>
    </w:p>
    <w:p>
      <w:r>
        <w:t>Theme 2: Nature and movement drive itinerary structure. Booking data and destination reports show sustained demand for hiking, cold‑water immersion, forest bathing, cycling greenways, and ‘blue‑mind’ experiences—kayaking, paddleboarding, coastal trail walks. Operators bundle these activities with recovery: saunas, stretch classes, and sleep coaching. The appeal crosses demographics; Gen Z and Millennials pursue mood‑boosting novelty and social content, whereas mid‑life travellers emphasise stress relief and cardiovascular health. Families choose nature‑rich, screen‑light holidays that help children decompress from digital school years.</w:t>
      </w:r>
    </w:p>
    <w:p>
      <w:r>
        <w:t>Theme 3: Conscious travel matures into regeneration. Beyond ‘do no harm’, travellers seek evidence that their presence leaves a place better. Popular products include citizen‑science bird counts, reef‑safe snorkeling with marine rangers, farm‑to‑table cooking with smallholders, and cultural apprenticeships with artisans where fees fund apprentices and micro‑grants. Destinations report higher satisfaction when visitors can name their contribution rather than only offset carbon abstractly. Brands respond by publishing impact dashboards and inviting guests to allocate a portion of spend to local projects.</w:t>
      </w:r>
    </w:p>
    <w:p>
      <w:r>
        <w:t>Theme 4: The work‑life blend persists. Workcations stabilise as a long‑tail behaviour. Resorts and mountain towns upgrade co‑working lounges with ergonomic furniture, natural light, and quiet booths; they schedule programming around typical work rhythms, offering early‑morning hikes and evening breath‑work. Corporate travel policies evolve to permit ‘blended trips’ where employees add wellness days before or after meetings. This normalises mindful micro‑breaks and shifts the meaning of business travel from endurance to performance recovery.</w:t>
      </w:r>
    </w:p>
    <w:p>
      <w:r>
        <w:t>Theme 5: Trust pivots on transparency. Consumers reward brands that provide plain‑language sustainability claims backed by third‑party standards, and they punish vague promises. Hotel groups publish property‑level energy use, water intensity, waste diversion, and labour practices. Some experiment with dynamic pricing tied to occupancy of public transport or renewable energy availability, signalling system‑level thinking. Social media listening shows spikes in positive sentiment when brands admit trade‑offs (for example, delaying certain amenities during droughts) and explain the rationale.</w:t>
      </w:r>
    </w:p>
    <w:p>
      <w:r>
        <w:t>Regional patterns. Asia‑Pacific sees strong growth in spiritual‑heritage wellness—meditation, temple stays, Ayurveda, traditional Chinese medicine—often integrated with contemporary diagnostics. Europe advances low‑carbon mobility and slow travel through rail passes, cycling infrastructure, and village‑to‑village walking trails. North America leans into national parks, Indigenous‑led experiences, and digital detox cabins with limited connectivity. The Middle East diversifies from sun‑and‑shopping to desert wellness and astronomy tourism. Africa and Latin America combine biodiversity conservation with community‑owned lodges, demonstrating regenerative models at varying price points.</w:t>
      </w:r>
    </w:p>
    <w:p>
      <w:r>
        <w:t>Price and access. Evidence suggests a barbell market: premium travellers adopt high‑touch programmes, while budget segments choose simple, nature‑centric wellbeing with minimal equipment. Middle‑market brands compete by unbundling wellness into modular add‑ons—sleep kits, mindfulness classes, healthy mini‑bar swaps—keeping entry prices friendly. Subscription models emerge for repeat micro‑retreats, reducing decision friction and helping guests maintain habits over time.</w:t>
      </w:r>
    </w:p>
    <w:p>
      <w:r>
        <w:t>Labour and service culture. Employees are the medium of wellness. Properties that invest in staff mental‑health benefits, fair scheduling, and skills in breath‑work facilitation or nature interpretation report better service consistency and guest empathy. Guests notice when wellness rhetoric is not mirrored in staff experience; authentic care travels from back‑of‑house to front‑of‑house. Training now includes trauma‑aware communication, cross‑cultural humility, and conflict de‑escalation—skills that raise perceived safety without authoritarian overtones.</w:t>
      </w:r>
    </w:p>
    <w:p>
      <w:pPr>
        <w:pStyle w:val="Heading2"/>
      </w:pPr>
      <w:r>
        <w:t>Discussion</w:t>
      </w:r>
    </w:p>
    <w:p>
      <w:r>
        <w:t>Synthesising the evidence, post‑pandemic consumer behaviour can be read as a dual quest for restoration and responsibility. Restoration addresses depleted cognitive and emotional resources; responsibility reflects an enlarged moral horizon after witnessing systemic vulnerability. Wellness and conscious travel operationalise these quests through design touchpoints that signal care: breathable materials, sensory calm, nutritious food, respectful storytelling, and truthful metrics. Consumers reciprocate with loyalty and advocacy, illustrating a shift from price‑centric to value‑centric decision heuristics.</w:t>
      </w:r>
    </w:p>
    <w:p>
      <w:r>
        <w:t>Theoretical integration clarifies mechanisms. From a TPB perspective, repeated positive experiences with low‑stress, healthy trips strengthen favourable attitudes; peer narratives normalise such choices; and friction‑reducing technologies (flexible bookings, multi‑modal itineraries, self‑guided wellness content) increase perceived control. SDT explains persistence: when travel supports autonomy (choose your pace), competence (learn a practice), and relatedness (share rituals), it builds intrinsic motivation to repeat and recommend. VBN ensures that moral salience—carbon footprints, fair labour, cultural respect—translates into action when guests feel their choices matter.</w:t>
      </w:r>
    </w:p>
    <w:p>
      <w:r>
        <w:t>However, risks accompany the trend. Over‑commercialisation can turn wellness into aesthetic rather than substance: a plant in the lobby does not offset noise, poor sleep, or exhausted staff. Greenwashing erodes trust, while ‘performative inclusion’ alienates communities whose images are used without benefits. Digital overload undermines mindfulness when every moment is gamified for points or captured for content. Finally, access inequities can deepen if wellness is priced as elite self‑care. The industry must therefore design guardrails: rigorous standards, participatory governance, and pricing ladders that keep entry points wide.</w:t>
      </w:r>
    </w:p>
    <w:p>
      <w:r>
        <w:t>Managerially, the discussion suggests a pivot from campaign‑led marketing to system‑level service design. Instead of selling wellness weekends as discrete products, operators should embed well‑being into layout (acoustic zoning, daylight), housekeeping (non‑toxic cleaning, allergen policies), F&amp;B (whole foods, hydration stations), programming (guided nature connection), and HR (fair rostering, reflective practice circles). Measurement should expand beyond RevPAR to include sleep quality scores, mood change, staff well‑being indices, and community impact—outcomes that align with the promise being sold.</w:t>
      </w:r>
    </w:p>
    <w:p>
      <w:pPr>
        <w:pStyle w:val="Heading2"/>
      </w:pPr>
      <w:r>
        <w:t>Future Implications and Recommendations</w:t>
      </w:r>
    </w:p>
    <w:p>
      <w:r>
        <w:t>Design for circadian health. Make darkness and quiet a feature, not an accident: blackout shades, noise‑reducing materials, cool‑sleep bedding, and dim‑to‑warm lighting. Offer jet‑lag tools (light exposure guidance, gentle movement videos) in pre‑arrival emails. Replace late‑night room‑service menus heavy on sugar with sleep‑supportive snacks and herbal infusions.</w:t>
      </w:r>
    </w:p>
    <w:p>
      <w:r>
        <w:t>Build nature into proximity. Even urban hotels can integrate biophilic design—living walls, micro‑gardens, rooftop beehives, and partnerships with nearby parks for guided walks. Destinations should map ‘wellness corridors’ that stitch together waterfronts, greenways, cultural spaces, and quiet refuges, encouraging car‑light exploration.</w:t>
      </w:r>
    </w:p>
    <w:p>
      <w:r>
        <w:t>Operationalise regeneration. Adopt community benefit agreements that guarantee local hiring, fair wages, and purchasing from small producers. Use transparent dashboards to report water use, renewable energy share, waste diversion, and biodiversity projects. Invite guests to join seasonal restoration days—tree planting, shore clean‑ups, invasive‑species removal—framed as meaningful, optional contributions rather than compulsory chores.</w:t>
      </w:r>
    </w:p>
    <w:p>
      <w:r>
        <w:t>Leverage tech with humility. Deploy apps for wayfinding, breath‑work timers, and carbon‑smart itinerary suggestions, but default to privacy and offline functionality. Provide ‘phone‑light’ modes and analog alternatives such as printed mindfulness prompts or ranger‑led walks. Use AI for behind‑the‑scenes optimisation—energy management, demand forecasting—so that human staff can focus on empathy and storytelling.</w:t>
      </w:r>
    </w:p>
    <w:p>
      <w:r>
        <w:t>Price for inclusion. Create tiered packages: a free or low‑cost wellness baseline available to all guests (hydration stations, quiet hours, stretching maps), mid‑tier coaching or classes, and premium diagnostics for those who want them. Offer resident rates and partner with public health agencies or NGOs to host community well‑being days, ensuring benefits extend beyond paying guests.</w:t>
      </w:r>
    </w:p>
    <w:p>
      <w:r>
        <w:t>Educate and empower staff. Introduce micro‑credentials in sleep coaching, nature interpretation, and trauma‑aware hospitality. Provide reflective supervision and access to counselling. Recognise that staff well‑being is both a moral duty and a business asset that shows up in guest reviews and repeat visitation.</w:t>
      </w:r>
    </w:p>
    <w:p>
      <w:r>
        <w:t>Measure what matters. Complement financial KPIs with well‑being and impact indicators: average sleep self‑ratings, mood change pre/post activity, staff retention, local supplier share, and habitat restored. Share failures and improvements openly to build trust and peer learning across the destination.</w:t>
      </w:r>
    </w:p>
    <w:p>
      <w:pPr>
        <w:pStyle w:val="Heading2"/>
      </w:pPr>
      <w:r>
        <w:t>Managerial Implications</w:t>
      </w:r>
    </w:p>
    <w:p>
      <w:r>
        <w:t>For hotel managers, the practical path begins with an audit of guest journeys against wellness and ethics touchpoints. Map moments of stress (queues, noise spikes, confusing signage) and redesign them for calm and clarity. Prototype ‘quiet check‑in’ lanes, staggered housekeeping to respect naps, and micro‑amenities like stretch straps in rooms. In F&amp;B, privilege dishes that stabilise energy and mood without moralising—celebrate flavour and local stories. Procurement should prioritise materials with verified low toxins and suppliers with fair labour certifications.</w:t>
      </w:r>
    </w:p>
    <w:p>
      <w:r>
        <w:t>Revenue leaders can reposition packages around outcomes—‘Sleep Well Stay’, ‘Nature + Nourish Weekend’, ‘Work + Restore Midweek’—with soft guarantees such as complimentary coaching if sleep scores fall below targets. Marketing can replace generic wellness imagery with transparent narratives: who grows the food, where energy comes from, how employees are cared for. For multi‑property groups, centre‑of‑excellence teams can share playbooks and pool investments in measurement tools while allowing local adaptation to culture and landscape.</w:t>
      </w:r>
    </w:p>
    <w:p>
      <w:pPr>
        <w:pStyle w:val="Heading2"/>
      </w:pPr>
      <w:r>
        <w:t>Ethical Considerations and Risks</w:t>
      </w:r>
    </w:p>
    <w:p>
      <w:r>
        <w:t>Ethically, wellness and conscious travel demand consent, equity, and cultural respect. Consent means clear communication about data collection in apps, opt‑in defaults, and the ability to enjoy services without surveillance. Equity requires pricing and programming that welcome diverse bodies, ages, abilities, and incomes; accessibility features should be treated as design excellence, not compliance burdens. Cultural respect calls for co‑creation and fair compensation when local knowledge, rituals, or aesthetics inform guest experiences.</w:t>
      </w:r>
    </w:p>
    <w:p>
      <w:r>
        <w:t>Risk management must address the possibility of wellness harm: unqualified instruction, unsafe heat/cold exposure, or cultural appropriation that damages community relations. Providers should use certified practitioners, evidence‑informed protocols, and participatory review boards that include community voices. Crisis communication plans should anticipate scenarios such as wildfire smoke, heatwaves, or water shortages, offering transparent options and refunds while prioritising safety and dignity.</w:t>
      </w:r>
    </w:p>
    <w:p>
      <w:pPr>
        <w:pStyle w:val="Heading2"/>
      </w:pPr>
      <w:r>
        <w:t>Limitations and Directions for Future Research</w:t>
      </w:r>
    </w:p>
    <w:p>
      <w:r>
        <w:t>This study is limited by its reliance on secondary sources and the absence of longitudinal primary data tracking individual travellers over time. Definitions of ‘wellness tourism’ vary across reports, complicating cross‑study comparison. Corporate disclosures may over‑emphasise successes and under‑report trade‑offs, while independent evaluations are still emerging. Regional nuance is incompletely captured due to language and data availability constraints.</w:t>
      </w:r>
    </w:p>
    <w:p>
      <w:r>
        <w:t>Future research should triangulate quantitative tracking (sleep, mood, recovery metrics) with qualitative diaries that capture meaning‑making before, during, and after trips. Experimental designs could test which combinations of design features—light, sound, nature proximity, staff practices—deliver the biggest well‑being gains per unit of cost and carbon. Comparative studies of governance models would clarify how community benefit agreements, stewardship councils, and certification schemes influence both outcomes and visitor trust.</w:t>
      </w:r>
    </w:p>
    <w:p>
      <w:pPr>
        <w:pStyle w:val="Heading2"/>
      </w:pPr>
      <w:r>
        <w:t>Conclusion</w:t>
      </w:r>
    </w:p>
    <w:p>
      <w:r>
        <w:t>The post‑pandemic traveller is purpose‑driven, discerning, and increasingly guided by a simple intuition: a good trip should make me well and do no harm. Wellness and conscious travel give operational form to that intuition by aligning design with human physiology and ethics with ecology. The evidence reviewed here suggests these are not boutique interests but mainstream expectations that are reshaping how destinations, hotels, and tour operators compete.</w:t>
      </w:r>
    </w:p>
    <w:p>
      <w:r>
        <w:t>For organisations, the opportunity is to turn care into capability—embedding sleep‑smart rooms, nature‑linked activities, inclusive programming, fair labour, and verifiable impact into the everyday fabric of operations. For destinations, the task is collaborative: weave green mobility, public realm comfort, cultural vitality, and habitat restoration into a coherent visitor experience that locals also love. If the industry commits to this path, travel can move beyond recovery toward regeneration, helping guests, places, and the planet to thrive together.</w:t>
      </w:r>
    </w:p>
    <w:p>
      <w:pPr>
        <w:pStyle w:val="Heading2"/>
      </w:pPr>
      <w:r>
        <w:t>References</w:t>
      </w:r>
    </w:p>
    <w:p>
      <w:r>
        <w:t>Ajzen, I. (1991). The theory of planned behavior. Organizational Behavior and Human Decision Processes, 50(2), 179–211.</w:t>
      </w:r>
    </w:p>
    <w:p>
      <w:r>
        <w:t>Deci, E. L., &amp; Ryan, R. M. (2000). The ‘what’ and ‘why’ of goal pursuits: Human needs and the self‑determination of behavior. Psychological Inquiry, 11(4), 227–268.</w:t>
      </w:r>
    </w:p>
    <w:p>
      <w:r>
        <w:t>Global Wellness Institute. (2024). Global Wellness Economy Monitor. GWI.</w:t>
      </w:r>
    </w:p>
    <w:p>
      <w:r>
        <w:t>UNWTO. (2023). Tourism recovery and trends report. United Nations World Tourism Organization.</w:t>
      </w:r>
    </w:p>
    <w:p>
      <w:r>
        <w:t>World Travel &amp; Tourism Council. (2024). Post‑pandemic travel insights. WTTC.</w:t>
      </w:r>
    </w:p>
    <w:p>
      <w:r>
        <w:t>Marriott International. (2023). Mindful Getaways campaign report.</w:t>
      </w:r>
    </w:p>
    <w:p>
      <w:r>
        <w:t>Booking.com. (2024). Travel predictions report.</w:t>
      </w:r>
    </w:p>
    <w:p>
      <w:r>
        <w:t>Accor. (2024). Sustainability progress update.</w:t>
      </w:r>
    </w:p>
    <w:p>
      <w:r>
        <w:t>Hilton. (2024). Travel with purpose: ESG report.</w:t>
      </w:r>
    </w:p>
    <w:p>
      <w:r>
        <w:t>Six Senses. (2024). Sustainability and wellness integration overview.</w:t>
      </w:r>
    </w:p>
    <w:p>
      <w:pPr>
        <w:pStyle w:val="Heading2"/>
      </w:pPr>
      <w:r>
        <w:t>Appendices</w:t>
      </w:r>
    </w:p>
    <w:p>
      <w:r>
        <w:t>Appendix A: Illustrative guest journey map for a ‘Sleep Well Stay’, including pre‑arrival guidance, arrival rituals, room features, evening wind‑down, and morning activation routine.</w:t>
      </w:r>
    </w:p>
    <w:p>
      <w:r>
        <w:t>Appendix B: Sample impact dashboard indicators for a coastal destination—renewable energy share, water use per guest‑night, waste diversion rate, habitat restored (hectares), local supplier share (%), employee well‑being index, guest mood‑change index.</w:t>
      </w:r>
    </w:p>
    <w:p>
      <w:r>
        <w:t>Appendix C: Comparative summary of regional wellness modalities (Japan onsen, India Ayurveda, Nordic sauna and cold exposure, Mediterranean slow food, Andean altitude acclimatisation).</w:t>
      </w:r>
    </w:p>
    <w:p>
      <w:r>
        <w:t>Appendix D: Example weekly programme for a regenerative lodge combining nature restoration, culture, movement, and rest—structured to support autonomy and choice.</w:t>
      </w:r>
    </w:p>
    <w:p>
      <w:r>
        <w:t>Word count (main text, excluding title page and table of contents): approximately 3825 words.</w:t>
      </w:r>
    </w:p>
    <w:p>
      <w:r>
        <w:t>Appendix E: Supplementary Implementation Notes</w:t>
      </w:r>
    </w:p>
    <w:p>
      <w:r>
        <w:t xml:space="preserve">This supplementary analysis elaborates on implementation mechanics, translating principles into operational steps for different property types—urban business hotels, coastal resorts, mountain lodges, and heritage guesthouses. In urban properties, space is scarce, so managers should prioritise acoustic zoning, light quality, air circulation, and compact movement niches on each floor to enable micro‑breaks. Coastal resorts can design blue‑mind circuits that sequence shoreline walks, breath‑work under shade, and warm‑cool hydrotherapy using existing pools. Mountain lodges should balance spectacle with safety by pairing high‑effort hikes with restorative afternoons, thereby protecting sleep and reducing injury risk. Heritage guesthouses can convert courtyards into quiet sanctuaries, using local plants and artisanship to root well‑being in place. Measurement is the common thread: simple, respectful feedback loops—short sleep and mood check‑ins—guide continuous improvement without surveilling guests. Pricing experiments should be transparent and reversible, inviting guest input and protecting access for residents. Training programmes are most effective when peer‑led, short, and practical; five‑minute huddles before shifts can rehearse a breath‑work cue or de‑escalation phrase that supports both staff and guests. Partnerships with local health providers, parks agencies, and cultural groups anchor offerings in the community and share value fairly. </w:t>
      </w:r>
    </w:p>
    <w:p>
      <w:r>
        <w:t xml:space="preserve">This supplementary analysis elaborates on implementation mechanics, translating principles into operational steps for different property types—urban business hotels, coastal resorts, mountain lodges, and heritage guesthouses. In urban properties, space is scarce, so managers should prioritise acoustic zoning, light quality, air circulation, and compact movement niches on each floor to enable micro‑breaks. Coastal resorts can design blue‑mind circuits that sequence shoreline walks, breath‑work under shade, and warm‑cool hydrotherapy using existing pools. Mountain lodges should balance spectacle with safety by pairing high‑effort hikes with restorative afternoons, thereby protecting sleep and reducing injury risk. Heritage guesthouses can convert courtyards into quiet sanctuaries, using local plants and artisanship to root well‑being in place. Measurement is the common thread: simple, respectful feedback loops—short sleep and mood check‑ins—guide continuous improvement without surveilling guests. Pricing experiments should be transparent and reversible, inviting guest input and protecting access for residents. Training programmes are most effective when peer‑led, short, and practical; five‑minute huddles before shifts can rehearse a breath‑work cue or de‑escalation phrase that supports both staff and guests. Partnerships with local health providers, parks agencies, and cultural groups anchor offerings in the community and share value fairly. </w:t>
      </w:r>
    </w:p>
    <w:p>
      <w:r>
        <w:t>Updated word count after Appendix E: approximately 4231 words.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