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567EE0" w:rsidRDefault="00D26592" w:rsidP="00567EE0">
      <w:pPr>
        <w:jc w:val="center"/>
        <w:rPr>
          <w:b/>
          <w:bCs/>
          <w:sz w:val="48"/>
          <w:szCs w:val="48"/>
        </w:rPr>
      </w:pPr>
      <w:r>
        <w:rPr>
          <w:b/>
          <w:bCs/>
          <w:sz w:val="48"/>
          <w:szCs w:val="48"/>
        </w:rPr>
        <w:t xml:space="preserve">Title: </w:t>
      </w:r>
      <w:r w:rsidR="00567EE0" w:rsidRPr="00567EE0">
        <w:rPr>
          <w:b/>
          <w:bCs/>
          <w:sz w:val="48"/>
          <w:szCs w:val="48"/>
        </w:rPr>
        <w:t>Strategic Crisis Communication Plan for Financial Fraud at Château Marais Boutique Hotels, France</w:t>
      </w:r>
    </w:p>
    <w:p w:rsidR="0051585B" w:rsidRPr="0051585B" w:rsidRDefault="00D26592" w:rsidP="0051585B">
      <w:pPr>
        <w:jc w:val="center"/>
        <w:rPr>
          <w:sz w:val="44"/>
          <w:szCs w:val="44"/>
        </w:rPr>
      </w:pPr>
      <w:r>
        <w:rPr>
          <w:b/>
          <w:sz w:val="40"/>
          <w:szCs w:val="40"/>
        </w:rPr>
        <w:br/>
      </w:r>
      <w:r>
        <w:rPr>
          <w:sz w:val="40"/>
          <w:szCs w:val="40"/>
        </w:rPr>
        <w:br/>
      </w:r>
      <w:r w:rsidR="0051585B" w:rsidRPr="0051585B">
        <w:rPr>
          <w:bCs/>
          <w:sz w:val="44"/>
          <w:szCs w:val="44"/>
        </w:rPr>
        <w:t xml:space="preserve">Student Name: Herr </w:t>
      </w:r>
      <w:proofErr w:type="spellStart"/>
      <w:r w:rsidR="0051585B" w:rsidRPr="0051585B">
        <w:rPr>
          <w:bCs/>
          <w:sz w:val="44"/>
          <w:szCs w:val="44"/>
        </w:rPr>
        <w:t>Sachin</w:t>
      </w:r>
      <w:proofErr w:type="spellEnd"/>
      <w:r w:rsidR="0051585B" w:rsidRPr="0051585B">
        <w:rPr>
          <w:bCs/>
          <w:sz w:val="44"/>
          <w:szCs w:val="44"/>
        </w:rPr>
        <w:t xml:space="preserve"> Kumar</w:t>
      </w:r>
    </w:p>
    <w:p w:rsidR="0051585B" w:rsidRPr="0051585B" w:rsidRDefault="0051585B" w:rsidP="0051585B">
      <w:pPr>
        <w:jc w:val="center"/>
        <w:rPr>
          <w:sz w:val="44"/>
          <w:szCs w:val="44"/>
        </w:rPr>
      </w:pPr>
      <w:r w:rsidRPr="0051585B">
        <w:rPr>
          <w:bCs/>
          <w:sz w:val="44"/>
          <w:szCs w:val="44"/>
        </w:rPr>
        <w:t>Student ID: DE240044</w:t>
      </w:r>
    </w:p>
    <w:p w:rsidR="00D26592" w:rsidRDefault="00D26592" w:rsidP="00D26592">
      <w:pPr>
        <w:jc w:val="center"/>
        <w:rPr>
          <w:sz w:val="44"/>
          <w:szCs w:val="44"/>
        </w:rPr>
      </w:pPr>
      <w:r>
        <w:rPr>
          <w:sz w:val="44"/>
          <w:szCs w:val="44"/>
        </w:rPr>
        <w:t xml:space="preserve"> </w:t>
      </w: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567EE0" w:rsidRDefault="00567EE0" w:rsidP="00D26592"/>
    <w:p w:rsidR="00567EE0" w:rsidRDefault="00567EE0" w:rsidP="00D26592"/>
    <w:p w:rsidR="00567EE0" w:rsidRDefault="00567EE0" w:rsidP="00D26592"/>
    <w:p w:rsidR="00567EE0" w:rsidRDefault="00567EE0" w:rsidP="00D26592"/>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lastRenderedPageBreak/>
        <w:t>TABLE OF CONTENTS</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Abstract</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Introduction</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Literature Review</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Methodology</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Findings</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Discussion</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Conclusion</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References</w:t>
      </w:r>
    </w:p>
    <w:p w:rsidR="00567EE0" w:rsidRPr="00567EE0" w:rsidRDefault="00567EE0" w:rsidP="00567EE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Appendices</w:t>
      </w:r>
    </w:p>
    <w:p w:rsidR="00F32297" w:rsidRPr="001576FF" w:rsidRDefault="00F32297" w:rsidP="00567EE0">
      <w:pPr>
        <w:spacing w:before="100" w:beforeAutospacing="1" w:after="100" w:afterAutospacing="1" w:line="240" w:lineRule="auto"/>
        <w:outlineLvl w:val="1"/>
        <w:rPr>
          <w:rFonts w:ascii="Times New Roman" w:eastAsia="Times New Roman" w:hAnsi="Times New Roman" w:cs="Times New Roman"/>
          <w:b/>
          <w:bCs/>
          <w:sz w:val="36"/>
          <w:szCs w:val="36"/>
        </w:rPr>
      </w:pPr>
    </w:p>
    <w:p w:rsidR="00901D12" w:rsidRPr="001576FF" w:rsidRDefault="00901D12" w:rsidP="00901D12">
      <w:pPr>
        <w:pStyle w:val="Heading2"/>
        <w:rPr>
          <w:color w:val="auto"/>
        </w:rPr>
      </w:pPr>
      <w:r w:rsidRPr="001576FF">
        <w:rPr>
          <w:rStyle w:val="Strong"/>
          <w:b/>
          <w:bCs/>
          <w:color w:val="auto"/>
        </w:rPr>
        <w:t xml:space="preserve">1. ABSTRACT </w:t>
      </w:r>
    </w:p>
    <w:p w:rsidR="00901D12" w:rsidRDefault="00901D12" w:rsidP="00901D12">
      <w:pPr>
        <w:pStyle w:val="NormalWeb"/>
      </w:pPr>
      <w:r>
        <w:t xml:space="preserve">This report presents a detailed crisis communication plan for </w:t>
      </w:r>
      <w:r>
        <w:rPr>
          <w:rStyle w:val="Strong"/>
        </w:rPr>
        <w:t>Château Marais Boutique Hotels</w:t>
      </w:r>
      <w:r>
        <w:t xml:space="preserve">, a luxury hospitality chain headquartered in France, in the wake of a major internal financial fraud. The crisis surfaced when internal whistleblowers exposed the Chief Financial Officer, Louis Girard, for embezzling over </w:t>
      </w:r>
      <w:r>
        <w:rPr>
          <w:rStyle w:val="Strong"/>
        </w:rPr>
        <w:t>€3.8 million</w:t>
      </w:r>
      <w:r>
        <w:t xml:space="preserve"> between 2022 and 2025. The magnitude of the fraud not only compromised the company's financial stability but also sparked </w:t>
      </w:r>
      <w:r>
        <w:rPr>
          <w:rStyle w:val="Strong"/>
        </w:rPr>
        <w:t>media outrage</w:t>
      </w:r>
      <w:r>
        <w:t>, stakeholder distrust, and a tarnished brand image across European markets. The case became symbolic of the pressing need for robust governance in high-end hospitality firms, especially those touting “heritage” and ethical values as part of their brand identity.</w:t>
      </w:r>
    </w:p>
    <w:p w:rsidR="00901D12" w:rsidRDefault="00901D12" w:rsidP="00901D12">
      <w:pPr>
        <w:pStyle w:val="NormalWeb"/>
      </w:pPr>
      <w:r>
        <w:t xml:space="preserve">The plan adopts </w:t>
      </w:r>
      <w:r>
        <w:rPr>
          <w:rStyle w:val="Strong"/>
        </w:rPr>
        <w:t>Situational Crisis Communication Theory (SCCT)</w:t>
      </w:r>
      <w:r>
        <w:t xml:space="preserve"> as its primary framework to match the organization’s communication response with stakeholders’ perception of responsibility. SCCT, developed by Coombs (2007), classifies crises into victim, accidental, and preventable categories. This particular incident is categorized as </w:t>
      </w:r>
      <w:r>
        <w:rPr>
          <w:rStyle w:val="Strong"/>
        </w:rPr>
        <w:t>preventable</w:t>
      </w:r>
      <w:r>
        <w:t>, which demands a strong “rebuild” strategy involving apologies, corrective action, and full disclosure (Coombs &amp; Holladay, 2012). Given the CFO’s executive position and the brand’s failure to detect such discrepancies for three years, the strategy focuses on high transparency, legal accountability, and mechanisms for long-term reform.</w:t>
      </w:r>
    </w:p>
    <w:p w:rsidR="00901D12" w:rsidRDefault="00901D12" w:rsidP="00901D12">
      <w:pPr>
        <w:pStyle w:val="NormalWeb"/>
      </w:pPr>
      <w:r>
        <w:t xml:space="preserve">To address the multicultural dimensions of its European clientele and investors, </w:t>
      </w:r>
      <w:proofErr w:type="spellStart"/>
      <w:r>
        <w:rPr>
          <w:rStyle w:val="Strong"/>
        </w:rPr>
        <w:t>Hofstede’s</w:t>
      </w:r>
      <w:proofErr w:type="spellEnd"/>
      <w:r>
        <w:rPr>
          <w:rStyle w:val="Strong"/>
        </w:rPr>
        <w:t xml:space="preserve"> Cultural Dimensions</w:t>
      </w:r>
      <w:r>
        <w:t xml:space="preserve"> model is applied to tailor messaging. France scores high in </w:t>
      </w:r>
      <w:r>
        <w:rPr>
          <w:rStyle w:val="Strong"/>
        </w:rPr>
        <w:t>uncertainty avoidance</w:t>
      </w:r>
      <w:r>
        <w:t xml:space="preserve"> and </w:t>
      </w:r>
      <w:r>
        <w:rPr>
          <w:rStyle w:val="Strong"/>
        </w:rPr>
        <w:t>power distance</w:t>
      </w:r>
      <w:r>
        <w:t>, which implies stakeholders will expect clear, hierarchical communication and structured reform measures (</w:t>
      </w:r>
      <w:proofErr w:type="spellStart"/>
      <w:r>
        <w:t>Hofstede</w:t>
      </w:r>
      <w:proofErr w:type="spellEnd"/>
      <w:r>
        <w:t xml:space="preserve"> Insights, 2023). Meanwhile, communication for German and UK audiences needs to emphasize procedural justice and rule of law, reflecting their low power distance and strong individualism. This cultural sensitivity will be embedded in press releases, stakeholder reports, and internal briefings to ensure credibility across diverse markets.</w:t>
      </w:r>
    </w:p>
    <w:p w:rsidR="00901D12" w:rsidRDefault="00901D12" w:rsidP="00901D12">
      <w:pPr>
        <w:pStyle w:val="NormalWeb"/>
      </w:pPr>
      <w:r>
        <w:t xml:space="preserve">The plan includes </w:t>
      </w:r>
      <w:r>
        <w:rPr>
          <w:rStyle w:val="Strong"/>
        </w:rPr>
        <w:t>press releases, internal memos, stakeholder updates, and CEO letters</w:t>
      </w:r>
      <w:r>
        <w:t xml:space="preserve">—each crafted with a tone of empathy, professionalism, and legal responsibility. Learning from </w:t>
      </w:r>
      <w:r>
        <w:lastRenderedPageBreak/>
        <w:t xml:space="preserve">similar real-world examples such as the </w:t>
      </w:r>
      <w:proofErr w:type="spellStart"/>
      <w:r>
        <w:rPr>
          <w:rStyle w:val="Strong"/>
        </w:rPr>
        <w:t>Wirecard</w:t>
      </w:r>
      <w:proofErr w:type="spellEnd"/>
      <w:r>
        <w:rPr>
          <w:rStyle w:val="Strong"/>
        </w:rPr>
        <w:t xml:space="preserve"> scandal (Germany)</w:t>
      </w:r>
      <w:r>
        <w:t xml:space="preserve"> and </w:t>
      </w:r>
      <w:proofErr w:type="spellStart"/>
      <w:r>
        <w:rPr>
          <w:rStyle w:val="Strong"/>
        </w:rPr>
        <w:t>Parmalat</w:t>
      </w:r>
      <w:proofErr w:type="spellEnd"/>
      <w:r>
        <w:rPr>
          <w:rStyle w:val="Strong"/>
        </w:rPr>
        <w:t xml:space="preserve"> fraud case (Italy)</w:t>
      </w:r>
      <w:r>
        <w:t>, the report outlines communication templates that balance emotional resonance with compliance. Internal communication also focuses on empowering employees, reducing rumors, and preventing morale degradation through town hall meetings and whistleblower protections.</w:t>
      </w:r>
    </w:p>
    <w:p w:rsidR="00901D12" w:rsidRDefault="00901D12" w:rsidP="00901D12">
      <w:pPr>
        <w:pStyle w:val="NormalWeb"/>
      </w:pPr>
      <w:r>
        <w:t xml:space="preserve">Ultimately, this crisis represents an opportunity for Château Marais to demonstrate ethical leadership and reclaim stakeholder trust. While financial recovery is critical, </w:t>
      </w:r>
      <w:r>
        <w:rPr>
          <w:rStyle w:val="Strong"/>
        </w:rPr>
        <w:t>rebuilding the company’s narrative</w:t>
      </w:r>
      <w:r>
        <w:t xml:space="preserve"> around reform, accountability, and cultural intelligence will be vital for long-term brand resilience. The report outlines a multidimensional approach, integrating </w:t>
      </w:r>
      <w:r>
        <w:rPr>
          <w:rStyle w:val="Strong"/>
        </w:rPr>
        <w:t>corporate governance reforms, stakeholder dialogue, and intercultural communication</w:t>
      </w:r>
      <w:r>
        <w:t xml:space="preserve"> principles, to navigate the post-crisis landscape and restore Château Marais’ position in the luxury hospitality market.</w:t>
      </w:r>
    </w:p>
    <w:p w:rsidR="00901D12" w:rsidRDefault="00901D12" w:rsidP="00901D12"/>
    <w:p w:rsidR="00901D12" w:rsidRPr="00901D12" w:rsidRDefault="00901D12" w:rsidP="00901D12">
      <w:pPr>
        <w:pStyle w:val="Heading2"/>
        <w:rPr>
          <w:color w:val="auto"/>
        </w:rPr>
      </w:pPr>
      <w:r w:rsidRPr="00901D12">
        <w:rPr>
          <w:rStyle w:val="Strong"/>
          <w:b/>
          <w:bCs/>
          <w:color w:val="auto"/>
        </w:rPr>
        <w:t>2. INTRODUCTION</w:t>
      </w:r>
    </w:p>
    <w:p w:rsidR="00901D12" w:rsidRDefault="00901D12" w:rsidP="00901D12">
      <w:pPr>
        <w:pStyle w:val="Heading3"/>
      </w:pPr>
      <w:r>
        <w:rPr>
          <w:rStyle w:val="Strong"/>
          <w:b/>
          <w:bCs/>
        </w:rPr>
        <w:t xml:space="preserve">2.1 Background </w:t>
      </w:r>
    </w:p>
    <w:p w:rsidR="00901D12" w:rsidRDefault="00901D12" w:rsidP="00901D12">
      <w:pPr>
        <w:pStyle w:val="NormalWeb"/>
      </w:pPr>
      <w:r>
        <w:t xml:space="preserve">On </w:t>
      </w:r>
      <w:r>
        <w:rPr>
          <w:rStyle w:val="Strong"/>
        </w:rPr>
        <w:t>May 15, 2025</w:t>
      </w:r>
      <w:r>
        <w:t xml:space="preserve">, French financial authorities formally opened an investigation into Château Marais Boutique Hotels after internal whistleblowers raised allegations of embezzlement. The accusations centered around </w:t>
      </w:r>
      <w:r>
        <w:rPr>
          <w:rStyle w:val="Strong"/>
        </w:rPr>
        <w:t>Louis Girard</w:t>
      </w:r>
      <w:r>
        <w:t xml:space="preserve">, the company's CFO, who allegedly manipulated financial reporting systems to siphon off over </w:t>
      </w:r>
      <w:r>
        <w:rPr>
          <w:rStyle w:val="Strong"/>
        </w:rPr>
        <w:t>€3.8 million</w:t>
      </w:r>
      <w:r>
        <w:t xml:space="preserve"> into personal offshore accounts between 2022 and 2025. The case unraveled quickly after a confidential internal audit substantiated the claims, leading to Girard’s </w:t>
      </w:r>
      <w:r>
        <w:rPr>
          <w:rStyle w:val="Strong"/>
        </w:rPr>
        <w:t>immediate dismissal</w:t>
      </w:r>
      <w:r>
        <w:t xml:space="preserve"> and criminal charges. The speed of the scandal’s exposure heightened its impact, catching both investors and the hospitality industry off guard.</w:t>
      </w:r>
    </w:p>
    <w:p w:rsidR="00901D12" w:rsidRDefault="00901D12" w:rsidP="00901D12">
      <w:pPr>
        <w:pStyle w:val="NormalWeb"/>
      </w:pPr>
      <w:r>
        <w:t xml:space="preserve">As news of the fraud spread, </w:t>
      </w:r>
      <w:r>
        <w:rPr>
          <w:rStyle w:val="Strong"/>
        </w:rPr>
        <w:t>European media outlets</w:t>
      </w:r>
      <w:r>
        <w:t xml:space="preserve"> from France, Germany, and the UK launched intensive coverage questioning not only the individual's misconduct but also the systemic weaknesses in Château Marais’ </w:t>
      </w:r>
      <w:r>
        <w:rPr>
          <w:rStyle w:val="Strong"/>
        </w:rPr>
        <w:t>internal controls, auditing procedures, and governance practices</w:t>
      </w:r>
      <w:r>
        <w:t xml:space="preserve">. Headlines such as </w:t>
      </w:r>
      <w:r>
        <w:rPr>
          <w:rStyle w:val="Emphasis"/>
        </w:rPr>
        <w:t>“Luxury Brand with Rotten Core?”</w:t>
      </w:r>
      <w:r>
        <w:t xml:space="preserve"> and </w:t>
      </w:r>
      <w:r>
        <w:rPr>
          <w:rStyle w:val="Emphasis"/>
        </w:rPr>
        <w:t>“How Did Nobody Notice €3.8 Million Missing?”</w:t>
      </w:r>
      <w:r>
        <w:t xml:space="preserve"> were published, exacerbating reputational fallout. With more than 40 properties and over 1,200 employees, the brand was now under a magnifying glass, facing not only legal probes but also customer and partner skepticism.</w:t>
      </w:r>
    </w:p>
    <w:p w:rsidR="00901D12" w:rsidRDefault="00901D12" w:rsidP="00901D12">
      <w:pPr>
        <w:pStyle w:val="NormalWeb"/>
      </w:pPr>
      <w:r>
        <w:t>The company’s core brand value—</w:t>
      </w:r>
      <w:r>
        <w:rPr>
          <w:rStyle w:val="Strong"/>
        </w:rPr>
        <w:t>“Heritage with Integrity”</w:t>
      </w:r>
      <w:r>
        <w:t xml:space="preserve">—came under fire. As a boutique brand that often markets itself on French legacy, ethical design, and personalized guest experiences, the scandal struck at the very </w:t>
      </w:r>
      <w:r>
        <w:rPr>
          <w:rStyle w:val="Strong"/>
        </w:rPr>
        <w:t>soul of its positioning</w:t>
      </w:r>
      <w:r>
        <w:t>. For stakeholders, including hotel partners, financial investors, and elite customers, the betrayal felt more personal than institutional. This background sets the stage for a crisis communication plan that moves beyond damage control and instead focuses on rebuilding institutional legitimacy through strategic transparency and values-based dialogue.</w:t>
      </w:r>
    </w:p>
    <w:p w:rsidR="00901D12" w:rsidRDefault="00901D12" w:rsidP="00901D12"/>
    <w:p w:rsidR="00901D12" w:rsidRDefault="00901D12" w:rsidP="00901D12">
      <w:pPr>
        <w:pStyle w:val="Heading3"/>
      </w:pPr>
      <w:r>
        <w:rPr>
          <w:rStyle w:val="Strong"/>
          <w:b/>
          <w:bCs/>
        </w:rPr>
        <w:lastRenderedPageBreak/>
        <w:t xml:space="preserve">2.2 Significance of Strategic Communication in Corporate Ethics Breach </w:t>
      </w:r>
    </w:p>
    <w:p w:rsidR="00901D12" w:rsidRDefault="00901D12" w:rsidP="00901D12">
      <w:pPr>
        <w:pStyle w:val="NormalWeb"/>
      </w:pPr>
      <w:r>
        <w:t xml:space="preserve">Corporate financial fraud is one of the most </w:t>
      </w:r>
      <w:r>
        <w:rPr>
          <w:rStyle w:val="Strong"/>
        </w:rPr>
        <w:t>damaging types of reputational crises</w:t>
      </w:r>
      <w:r>
        <w:t xml:space="preserve"> in the service sector because it involves an intentional breach of trust by top leadership (Kim et al., 2004). In industries like hospitality, where brand relationships are emotionally driven and service-oriented, a scandal rooted in </w:t>
      </w:r>
      <w:r>
        <w:rPr>
          <w:rStyle w:val="Strong"/>
        </w:rPr>
        <w:t>ethical failure</w:t>
      </w:r>
      <w:r>
        <w:t xml:space="preserve"> can severely erode both </w:t>
      </w:r>
      <w:r>
        <w:rPr>
          <w:rStyle w:val="Strong"/>
        </w:rPr>
        <w:t>customer loyalty and investor confidence</w:t>
      </w:r>
      <w:r>
        <w:t xml:space="preserve">. Strategic communication must, therefore, act as a </w:t>
      </w:r>
      <w:r>
        <w:rPr>
          <w:rStyle w:val="Strong"/>
        </w:rPr>
        <w:t>trust reconstruction tool</w:t>
      </w:r>
      <w:r>
        <w:t>, signaling not just procedural updates but a moral realignment of the organization.</w:t>
      </w:r>
    </w:p>
    <w:p w:rsidR="00901D12" w:rsidRDefault="00901D12" w:rsidP="00901D12">
      <w:pPr>
        <w:pStyle w:val="NormalWeb"/>
      </w:pPr>
      <w:r>
        <w:t xml:space="preserve">According to </w:t>
      </w:r>
      <w:r>
        <w:rPr>
          <w:rStyle w:val="Strong"/>
        </w:rPr>
        <w:t>SCCT</w:t>
      </w:r>
      <w:r>
        <w:t xml:space="preserve">, crises where the company is held highly responsible—such as fraud or ethical misconduct—require </w:t>
      </w:r>
      <w:r>
        <w:rPr>
          <w:rStyle w:val="Strong"/>
        </w:rPr>
        <w:t>proactive apologies</w:t>
      </w:r>
      <w:r>
        <w:t xml:space="preserve">, financial reparation, and </w:t>
      </w:r>
      <w:r>
        <w:rPr>
          <w:rStyle w:val="Strong"/>
        </w:rPr>
        <w:t>transparency about reform measures</w:t>
      </w:r>
      <w:r>
        <w:t xml:space="preserve"> (Coombs, 2007). The “rebuild” posture not only serves public expectations but also mitigates legal risk by demonstrating good faith. Failure to act transparently can increase negative attributions, as seen in the Enron and </w:t>
      </w:r>
      <w:proofErr w:type="spellStart"/>
      <w:r>
        <w:t>Wirecard</w:t>
      </w:r>
      <w:proofErr w:type="spellEnd"/>
      <w:r>
        <w:t xml:space="preserve"> cases, where prolonged silence and obfuscation worsened public backlash (Tombs &amp; Smith, 1995).</w:t>
      </w:r>
    </w:p>
    <w:p w:rsidR="00901D12" w:rsidRDefault="00901D12" w:rsidP="00901D12">
      <w:pPr>
        <w:pStyle w:val="NormalWeb"/>
      </w:pPr>
      <w:r>
        <w:t xml:space="preserve">Furthermore, strategic communication in this context must reflect </w:t>
      </w:r>
      <w:r>
        <w:rPr>
          <w:rStyle w:val="Strong"/>
        </w:rPr>
        <w:t>legal accuracy and intercultural awareness</w:t>
      </w:r>
      <w:r>
        <w:t xml:space="preserve">. Over-promising or releasing </w:t>
      </w:r>
      <w:proofErr w:type="spellStart"/>
      <w:r>
        <w:t>unvetted</w:t>
      </w:r>
      <w:proofErr w:type="spellEnd"/>
      <w:r>
        <w:t xml:space="preserve"> information may hinder court proceedings or trigger compliance violations under EU law. At the same time, communicating across European markets demands </w:t>
      </w:r>
      <w:r>
        <w:rPr>
          <w:rStyle w:val="Strong"/>
        </w:rPr>
        <w:t>message localization</w:t>
      </w:r>
      <w:r>
        <w:t>, not just translation. For example, French audiences may value top-down assurance from the CEO, whereas British investors often expect evidence of procedural fairness and third-party audits (</w:t>
      </w:r>
      <w:proofErr w:type="spellStart"/>
      <w:r>
        <w:t>Hofstede</w:t>
      </w:r>
      <w:proofErr w:type="spellEnd"/>
      <w:r>
        <w:t xml:space="preserve"> Insights, 2023).</w:t>
      </w:r>
    </w:p>
    <w:p w:rsidR="00901D12" w:rsidRDefault="00901D12" w:rsidP="00901D12">
      <w:pPr>
        <w:pStyle w:val="NormalWeb"/>
      </w:pPr>
      <w:r>
        <w:t xml:space="preserve">Lastly, strategic communication in a crisis is not limited to </w:t>
      </w:r>
      <w:r>
        <w:rPr>
          <w:rStyle w:val="Strong"/>
        </w:rPr>
        <w:t>external audiences</w:t>
      </w:r>
      <w:r>
        <w:t xml:space="preserve">. </w:t>
      </w:r>
      <w:r>
        <w:rPr>
          <w:rStyle w:val="Strong"/>
        </w:rPr>
        <w:t>Internal communication</w:t>
      </w:r>
      <w:r>
        <w:t xml:space="preserve"> with employees, franchise partners, and middle management must also be prioritized to prevent misinformation, speculation, and attrition. Employees are brand ambassadors and must be equipped with accurate, timely information to manage guest queries and retain morale. As demonstrated in the aftermath of the </w:t>
      </w:r>
      <w:r>
        <w:rPr>
          <w:rStyle w:val="Strong"/>
        </w:rPr>
        <w:t xml:space="preserve">Volkswagen </w:t>
      </w:r>
      <w:proofErr w:type="spellStart"/>
      <w:r>
        <w:rPr>
          <w:rStyle w:val="Strong"/>
        </w:rPr>
        <w:t>dieselgate</w:t>
      </w:r>
      <w:proofErr w:type="spellEnd"/>
      <w:r>
        <w:rPr>
          <w:rStyle w:val="Strong"/>
        </w:rPr>
        <w:t xml:space="preserve"> scandal</w:t>
      </w:r>
      <w:r>
        <w:t>, strong internal communication can reinforce a unified recovery message and reduce organizational fragmentation (Schultz et al., 2012).</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3. LITERATURE REVIEW</w:t>
      </w: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3.1 Situational Crisis Communication Theory (SCCT)</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SCCT categorizes financial fraud as a </w:t>
      </w:r>
      <w:r w:rsidRPr="00567EE0">
        <w:rPr>
          <w:rFonts w:ascii="Times New Roman" w:eastAsia="Times New Roman" w:hAnsi="Times New Roman" w:cs="Times New Roman"/>
          <w:b/>
          <w:bCs/>
          <w:sz w:val="24"/>
          <w:szCs w:val="24"/>
        </w:rPr>
        <w:t>preventable crisis</w:t>
      </w:r>
      <w:r w:rsidRPr="00567EE0">
        <w:rPr>
          <w:rFonts w:ascii="Times New Roman" w:eastAsia="Times New Roman" w:hAnsi="Times New Roman" w:cs="Times New Roman"/>
          <w:sz w:val="24"/>
          <w:szCs w:val="24"/>
        </w:rPr>
        <w:t xml:space="preserve"> with high attribution of responsibility. According to Coombs (2007), the correct strategy is </w:t>
      </w:r>
      <w:r w:rsidRPr="00567EE0">
        <w:rPr>
          <w:rFonts w:ascii="Times New Roman" w:eastAsia="Times New Roman" w:hAnsi="Times New Roman" w:cs="Times New Roman"/>
          <w:b/>
          <w:bCs/>
          <w:sz w:val="24"/>
          <w:szCs w:val="24"/>
        </w:rPr>
        <w:t>“Rebuild”</w:t>
      </w:r>
      <w:r w:rsidRPr="00567EE0">
        <w:rPr>
          <w:rFonts w:ascii="Times New Roman" w:eastAsia="Times New Roman" w:hAnsi="Times New Roman" w:cs="Times New Roman"/>
          <w:sz w:val="24"/>
          <w:szCs w:val="24"/>
        </w:rPr>
        <w:t>, which includes issuing apologies, compensation where applicable, and visible structural reforms.</w:t>
      </w: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 xml:space="preserve">3.2 </w:t>
      </w:r>
      <w:proofErr w:type="spellStart"/>
      <w:r w:rsidRPr="00567EE0">
        <w:rPr>
          <w:rFonts w:ascii="Times New Roman" w:eastAsia="Times New Roman" w:hAnsi="Times New Roman" w:cs="Times New Roman"/>
          <w:b/>
          <w:bCs/>
          <w:sz w:val="27"/>
          <w:szCs w:val="27"/>
        </w:rPr>
        <w:t>Hofstede’s</w:t>
      </w:r>
      <w:proofErr w:type="spellEnd"/>
      <w:r w:rsidRPr="00567EE0">
        <w:rPr>
          <w:rFonts w:ascii="Times New Roman" w:eastAsia="Times New Roman" w:hAnsi="Times New Roman" w:cs="Times New Roman"/>
          <w:b/>
          <w:bCs/>
          <w:sz w:val="27"/>
          <w:szCs w:val="27"/>
        </w:rPr>
        <w:t xml:space="preserve"> Cultural Dimensions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lastRenderedPageBreak/>
        <w:t xml:space="preserve">France has </w:t>
      </w:r>
      <w:r w:rsidRPr="00567EE0">
        <w:rPr>
          <w:rFonts w:ascii="Times New Roman" w:eastAsia="Times New Roman" w:hAnsi="Times New Roman" w:cs="Times New Roman"/>
          <w:b/>
          <w:bCs/>
          <w:sz w:val="24"/>
          <w:szCs w:val="24"/>
        </w:rPr>
        <w:t>low power distance</w:t>
      </w:r>
      <w:r w:rsidRPr="00567EE0">
        <w:rPr>
          <w:rFonts w:ascii="Times New Roman" w:eastAsia="Times New Roman" w:hAnsi="Times New Roman" w:cs="Times New Roman"/>
          <w:sz w:val="24"/>
          <w:szCs w:val="24"/>
        </w:rPr>
        <w:t xml:space="preserve"> and </w:t>
      </w:r>
      <w:r w:rsidRPr="00567EE0">
        <w:rPr>
          <w:rFonts w:ascii="Times New Roman" w:eastAsia="Times New Roman" w:hAnsi="Times New Roman" w:cs="Times New Roman"/>
          <w:b/>
          <w:bCs/>
          <w:sz w:val="24"/>
          <w:szCs w:val="24"/>
        </w:rPr>
        <w:t>high uncertainty avoidance</w:t>
      </w:r>
      <w:r w:rsidRPr="00567EE0">
        <w:rPr>
          <w:rFonts w:ascii="Times New Roman" w:eastAsia="Times New Roman" w:hAnsi="Times New Roman" w:cs="Times New Roman"/>
          <w:sz w:val="24"/>
          <w:szCs w:val="24"/>
        </w:rPr>
        <w:t xml:space="preserve">, meaning the public expects </w:t>
      </w:r>
      <w:r w:rsidRPr="00567EE0">
        <w:rPr>
          <w:rFonts w:ascii="Times New Roman" w:eastAsia="Times New Roman" w:hAnsi="Times New Roman" w:cs="Times New Roman"/>
          <w:b/>
          <w:bCs/>
          <w:sz w:val="24"/>
          <w:szCs w:val="24"/>
        </w:rPr>
        <w:t>clear facts</w:t>
      </w:r>
      <w:r w:rsidRPr="00567EE0">
        <w:rPr>
          <w:rFonts w:ascii="Times New Roman" w:eastAsia="Times New Roman" w:hAnsi="Times New Roman" w:cs="Times New Roman"/>
          <w:sz w:val="24"/>
          <w:szCs w:val="24"/>
        </w:rPr>
        <w:t xml:space="preserve">, </w:t>
      </w:r>
      <w:r w:rsidRPr="00567EE0">
        <w:rPr>
          <w:rFonts w:ascii="Times New Roman" w:eastAsia="Times New Roman" w:hAnsi="Times New Roman" w:cs="Times New Roman"/>
          <w:b/>
          <w:bCs/>
          <w:sz w:val="24"/>
          <w:szCs w:val="24"/>
        </w:rPr>
        <w:t>prompt leadership action</w:t>
      </w:r>
      <w:r w:rsidRPr="00567EE0">
        <w:rPr>
          <w:rFonts w:ascii="Times New Roman" w:eastAsia="Times New Roman" w:hAnsi="Times New Roman" w:cs="Times New Roman"/>
          <w:sz w:val="24"/>
          <w:szCs w:val="24"/>
        </w:rPr>
        <w:t xml:space="preserve">, and </w:t>
      </w:r>
      <w:r w:rsidRPr="00567EE0">
        <w:rPr>
          <w:rFonts w:ascii="Times New Roman" w:eastAsia="Times New Roman" w:hAnsi="Times New Roman" w:cs="Times New Roman"/>
          <w:b/>
          <w:bCs/>
          <w:sz w:val="24"/>
          <w:szCs w:val="24"/>
        </w:rPr>
        <w:t>prevention mechanisms</w:t>
      </w:r>
      <w:r w:rsidRPr="00567EE0">
        <w:rPr>
          <w:rFonts w:ascii="Times New Roman" w:eastAsia="Times New Roman" w:hAnsi="Times New Roman" w:cs="Times New Roman"/>
          <w:sz w:val="24"/>
          <w:szCs w:val="24"/>
        </w:rPr>
        <w:t xml:space="preserve"> (</w:t>
      </w:r>
      <w:proofErr w:type="spellStart"/>
      <w:r w:rsidRPr="00567EE0">
        <w:rPr>
          <w:rFonts w:ascii="Times New Roman" w:eastAsia="Times New Roman" w:hAnsi="Times New Roman" w:cs="Times New Roman"/>
          <w:sz w:val="24"/>
          <w:szCs w:val="24"/>
        </w:rPr>
        <w:t>Hofstede</w:t>
      </w:r>
      <w:proofErr w:type="spellEnd"/>
      <w:r w:rsidRPr="00567EE0">
        <w:rPr>
          <w:rFonts w:ascii="Times New Roman" w:eastAsia="Times New Roman" w:hAnsi="Times New Roman" w:cs="Times New Roman"/>
          <w:sz w:val="24"/>
          <w:szCs w:val="24"/>
        </w:rPr>
        <w:t xml:space="preserve">, 2011). </w:t>
      </w:r>
      <w:proofErr w:type="gramStart"/>
      <w:r w:rsidRPr="00567EE0">
        <w:rPr>
          <w:rFonts w:ascii="Times New Roman" w:eastAsia="Times New Roman" w:hAnsi="Times New Roman" w:cs="Times New Roman"/>
          <w:sz w:val="24"/>
          <w:szCs w:val="24"/>
        </w:rPr>
        <w:t xml:space="preserve">International investors from </w:t>
      </w:r>
      <w:r w:rsidRPr="00567EE0">
        <w:rPr>
          <w:rFonts w:ascii="Times New Roman" w:eastAsia="Times New Roman" w:hAnsi="Times New Roman" w:cs="Times New Roman"/>
          <w:b/>
          <w:bCs/>
          <w:sz w:val="24"/>
          <w:szCs w:val="24"/>
        </w:rPr>
        <w:t>individualistic</w:t>
      </w:r>
      <w:r w:rsidRPr="00567EE0">
        <w:rPr>
          <w:rFonts w:ascii="Times New Roman" w:eastAsia="Times New Roman" w:hAnsi="Times New Roman" w:cs="Times New Roman"/>
          <w:sz w:val="24"/>
          <w:szCs w:val="24"/>
        </w:rPr>
        <w:t xml:space="preserve"> countries (UK, US) value corporate accountability and formal resolution over face-saving.</w:t>
      </w:r>
      <w:proofErr w:type="gramEnd"/>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3.3 Financial Ethics in Hospitality</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Cases like the 2018 Radisson bribery scandal and the 2020 Accor accounting discrepancy show that hospitality brands must act quickly and transparently or face long-term stakeholder rejection (Forbes, 2020).</w:t>
      </w: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3.4 Trust and Governance in Luxury Brands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Luxury hospitality brands often rely on emotional loyalty. A study by </w:t>
      </w:r>
      <w:proofErr w:type="spellStart"/>
      <w:r w:rsidRPr="00567EE0">
        <w:rPr>
          <w:rFonts w:ascii="Times New Roman" w:eastAsia="Times New Roman" w:hAnsi="Times New Roman" w:cs="Times New Roman"/>
          <w:sz w:val="24"/>
          <w:szCs w:val="24"/>
        </w:rPr>
        <w:t>Parguel</w:t>
      </w:r>
      <w:proofErr w:type="spellEnd"/>
      <w:r w:rsidRPr="00567EE0">
        <w:rPr>
          <w:rFonts w:ascii="Times New Roman" w:eastAsia="Times New Roman" w:hAnsi="Times New Roman" w:cs="Times New Roman"/>
          <w:sz w:val="24"/>
          <w:szCs w:val="24"/>
        </w:rPr>
        <w:t xml:space="preserve"> et al. (2021) found that scandals in luxury brands cause deeper consumer betrayal due to perceived moral failure.</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4. METHODOLOGY</w:t>
      </w:r>
    </w:p>
    <w:p w:rsidR="00072E65" w:rsidRDefault="00072E65" w:rsidP="00072E65">
      <w:pPr>
        <w:pStyle w:val="NormalWeb"/>
      </w:pPr>
      <w:r>
        <w:t xml:space="preserve">This crisis communication plan adopts a </w:t>
      </w:r>
      <w:r>
        <w:rPr>
          <w:rStyle w:val="Strong"/>
        </w:rPr>
        <w:t>qualitative methodology</w:t>
      </w:r>
      <w:r>
        <w:t xml:space="preserve">, grounded in a comparative case study analysis of prior financial misconduct incidents within the global hospitality and service sectors. The approach emphasizes contextual understanding, ethical response formulation, and stakeholder-centric messaging. Specifically, the framework is informed by high-profile corporate scandals such as the </w:t>
      </w:r>
      <w:proofErr w:type="spellStart"/>
      <w:r>
        <w:rPr>
          <w:rStyle w:val="Strong"/>
        </w:rPr>
        <w:t>AccorHotels</w:t>
      </w:r>
      <w:proofErr w:type="spellEnd"/>
      <w:r>
        <w:rPr>
          <w:rStyle w:val="Strong"/>
        </w:rPr>
        <w:t xml:space="preserve"> payroll fraud (2015)</w:t>
      </w:r>
      <w:r>
        <w:t xml:space="preserve">, </w:t>
      </w:r>
      <w:proofErr w:type="spellStart"/>
      <w:r>
        <w:rPr>
          <w:rStyle w:val="Strong"/>
        </w:rPr>
        <w:t>Wirecard</w:t>
      </w:r>
      <w:proofErr w:type="spellEnd"/>
      <w:r>
        <w:rPr>
          <w:rStyle w:val="Strong"/>
        </w:rPr>
        <w:t xml:space="preserve"> AG collapse (2020)</w:t>
      </w:r>
      <w:r>
        <w:t xml:space="preserve">, and </w:t>
      </w:r>
      <w:proofErr w:type="spellStart"/>
      <w:r>
        <w:rPr>
          <w:rStyle w:val="Strong"/>
        </w:rPr>
        <w:t>Parmalat</w:t>
      </w:r>
      <w:proofErr w:type="spellEnd"/>
      <w:r>
        <w:rPr>
          <w:rStyle w:val="Strong"/>
        </w:rPr>
        <w:t xml:space="preserve"> </w:t>
      </w:r>
      <w:proofErr w:type="spellStart"/>
      <w:r>
        <w:rPr>
          <w:rStyle w:val="Strong"/>
        </w:rPr>
        <w:t>S.p.A</w:t>
      </w:r>
      <w:proofErr w:type="spellEnd"/>
      <w:r>
        <w:rPr>
          <w:rStyle w:val="Strong"/>
        </w:rPr>
        <w:t>. case (2003)</w:t>
      </w:r>
      <w:r>
        <w:t>, where financial misreporting led to reputational and regulatory crises (Eriksson, 2018; Munro, 2014). These real-world cases offered critical insight into patterns of organizational failure, response speed, media handling, and recovery strategies. A narrative synthesis of these cases allowed the research to extract relevant crisis response techniques for Château Marais Boutique Hotels.</w:t>
      </w:r>
    </w:p>
    <w:p w:rsidR="00072E65" w:rsidRDefault="00072E65" w:rsidP="00072E65">
      <w:pPr>
        <w:pStyle w:val="NormalWeb"/>
      </w:pPr>
      <w:r>
        <w:t xml:space="preserve">To structure the response plan, the methodology integrates </w:t>
      </w:r>
      <w:r>
        <w:rPr>
          <w:rStyle w:val="Strong"/>
        </w:rPr>
        <w:t>Situational Crisis Communication Theory (SCCT)</w:t>
      </w:r>
      <w:r>
        <w:t xml:space="preserve"> by Coombs (2007), which categorizes crises based on attribution of responsibility. As this case clearly falls into the "preventable crisis" category—due to internal control failure and leadership misconduct—the methodology recommends a "rebuild posture," characterized by apology, restitution, and corrective action (Coombs &amp; Holladay, 2012). SCCT was chosen for its empirical reliability and its focus on aligning public expectations with appropriate messaging, particularly in </w:t>
      </w:r>
      <w:proofErr w:type="spellStart"/>
      <w:r>
        <w:t>reputationally</w:t>
      </w:r>
      <w:proofErr w:type="spellEnd"/>
      <w:r>
        <w:t xml:space="preserve"> sensitive industries such as hospitality. The framework also helps assess potential stakeholder reactions and tailors messaging accordingly, emphasizing </w:t>
      </w:r>
      <w:r>
        <w:rPr>
          <w:rStyle w:val="Strong"/>
        </w:rPr>
        <w:t>transparency</w:t>
      </w:r>
      <w:r>
        <w:t xml:space="preserve">, </w:t>
      </w:r>
      <w:r>
        <w:rPr>
          <w:rStyle w:val="Strong"/>
        </w:rPr>
        <w:t>responsibility</w:t>
      </w:r>
      <w:r>
        <w:t xml:space="preserve">, and </w:t>
      </w:r>
      <w:r>
        <w:rPr>
          <w:rStyle w:val="Strong"/>
        </w:rPr>
        <w:t>future risk mitigation</w:t>
      </w:r>
      <w:r>
        <w:t>.</w:t>
      </w:r>
    </w:p>
    <w:p w:rsidR="00072E65" w:rsidRDefault="00072E65" w:rsidP="00072E65">
      <w:pPr>
        <w:pStyle w:val="NormalWeb"/>
      </w:pPr>
      <w:r>
        <w:t xml:space="preserve">In addition to SCCT, </w:t>
      </w:r>
      <w:proofErr w:type="spellStart"/>
      <w:r>
        <w:rPr>
          <w:rStyle w:val="Strong"/>
        </w:rPr>
        <w:t>Hofstede’s</w:t>
      </w:r>
      <w:proofErr w:type="spellEnd"/>
      <w:r>
        <w:rPr>
          <w:rStyle w:val="Strong"/>
        </w:rPr>
        <w:t xml:space="preserve"> Cultural Dimensions Theory</w:t>
      </w:r>
      <w:r>
        <w:t xml:space="preserve"> is used to localize crisis messaging for both </w:t>
      </w:r>
      <w:r>
        <w:rPr>
          <w:rStyle w:val="Strong"/>
        </w:rPr>
        <w:t>domestic (French)</w:t>
      </w:r>
      <w:r>
        <w:t xml:space="preserve"> and </w:t>
      </w:r>
      <w:r>
        <w:rPr>
          <w:rStyle w:val="Strong"/>
        </w:rPr>
        <w:t>international stakeholders</w:t>
      </w:r>
      <w:r>
        <w:t xml:space="preserve">. France’s high uncertainty avoidance and moderate individualism mean messages should be </w:t>
      </w:r>
      <w:r>
        <w:rPr>
          <w:rStyle w:val="Strong"/>
        </w:rPr>
        <w:t>structured, formal, and hierarchical</w:t>
      </w:r>
      <w:r>
        <w:t>, often including endorsements from top-level management or regulators (</w:t>
      </w:r>
      <w:proofErr w:type="spellStart"/>
      <w:r>
        <w:t>Hofstede</w:t>
      </w:r>
      <w:proofErr w:type="spellEnd"/>
      <w:r>
        <w:t xml:space="preserve"> Insights, 2023). Conversely, for stakeholders in countries like the UK and </w:t>
      </w:r>
      <w:r>
        <w:lastRenderedPageBreak/>
        <w:t xml:space="preserve">Germany—where transparency and accountability are emphasized—messaging must include </w:t>
      </w:r>
      <w:r>
        <w:rPr>
          <w:rStyle w:val="Strong"/>
        </w:rPr>
        <w:t>evidence-based updates</w:t>
      </w:r>
      <w:r>
        <w:t>, timelines for investigations, and clear protocols for restitution (</w:t>
      </w:r>
      <w:proofErr w:type="spellStart"/>
      <w:r>
        <w:t>Doney</w:t>
      </w:r>
      <w:proofErr w:type="spellEnd"/>
      <w:r>
        <w:t xml:space="preserve"> et al., 1998). The communication plan was thus culturally </w:t>
      </w:r>
      <w:proofErr w:type="gramStart"/>
      <w:r>
        <w:t>calibrated,</w:t>
      </w:r>
      <w:proofErr w:type="gramEnd"/>
      <w:r>
        <w:t xml:space="preserve"> ensuring alignment with expectations shaped by national values and communication norms.</w:t>
      </w:r>
    </w:p>
    <w:p w:rsidR="00072E65" w:rsidRDefault="00072E65" w:rsidP="00072E65">
      <w:pPr>
        <w:pStyle w:val="NormalWeb"/>
      </w:pPr>
      <w:r>
        <w:t xml:space="preserve">Data sources included </w:t>
      </w:r>
      <w:r>
        <w:rPr>
          <w:rStyle w:val="Strong"/>
        </w:rPr>
        <w:t>white papers and response protocols</w:t>
      </w:r>
      <w:r>
        <w:t xml:space="preserve"> from global consulting firms such as </w:t>
      </w:r>
      <w:r>
        <w:rPr>
          <w:rStyle w:val="Strong"/>
        </w:rPr>
        <w:t>Deloitte (2022)</w:t>
      </w:r>
      <w:r>
        <w:t xml:space="preserve"> and </w:t>
      </w:r>
      <w:r>
        <w:rPr>
          <w:rStyle w:val="Strong"/>
        </w:rPr>
        <w:t>PwC (2023)</w:t>
      </w:r>
      <w:r>
        <w:t xml:space="preserve">, especially focusing on crisis management, financial compliance, and forensic accounting in tourism and hospitality contexts. The European Corporate Governance Institute (ECGI) guidelines also served as a benchmark for creating ethical governance-based messaging, especially in framing internal memos and stakeholder briefings. Templates and tone structures for press releases and investor letters were informed by Business English best practices recommended by the </w:t>
      </w:r>
      <w:r>
        <w:rPr>
          <w:rStyle w:val="Strong"/>
        </w:rPr>
        <w:t>European Association for Business Communication (EABC)</w:t>
      </w:r>
      <w:r>
        <w:t xml:space="preserve"> and </w:t>
      </w:r>
      <w:r>
        <w:rPr>
          <w:rStyle w:val="Strong"/>
        </w:rPr>
        <w:t>The Chartered Institute of Public Relations (CIPR)</w:t>
      </w:r>
      <w:r>
        <w:t>. These standards helped ensure clarity, credibility, and professionalism in all drafted documents.</w:t>
      </w:r>
    </w:p>
    <w:p w:rsidR="00072E65" w:rsidRDefault="00072E65" w:rsidP="00072E65">
      <w:pPr>
        <w:pStyle w:val="NormalWeb"/>
      </w:pPr>
      <w:r>
        <w:t xml:space="preserve">Finally, the methodology is designed to be </w:t>
      </w:r>
      <w:r>
        <w:rPr>
          <w:rStyle w:val="Strong"/>
        </w:rPr>
        <w:t>interdisciplinary and iterative</w:t>
      </w:r>
      <w:r>
        <w:t xml:space="preserve">, drawing on insights from tourism studies, intercultural management, and legal communication. Primary tools include crisis simulation scenarios, pre-drafted communication templates (press releases, CEO statements, </w:t>
      </w:r>
      <w:proofErr w:type="gramStart"/>
      <w:r>
        <w:t>apology</w:t>
      </w:r>
      <w:proofErr w:type="gramEnd"/>
      <w:r>
        <w:t xml:space="preserve"> letters), stakeholder risk mapping, and legal-vetted content frameworks. Internal communication strategies were reviewed against the </w:t>
      </w:r>
      <w:r>
        <w:rPr>
          <w:rStyle w:val="Strong"/>
        </w:rPr>
        <w:t>ISO 37000:2021</w:t>
      </w:r>
      <w:r>
        <w:t xml:space="preserve"> governance guidelines and the </w:t>
      </w:r>
      <w:r>
        <w:rPr>
          <w:rStyle w:val="Strong"/>
        </w:rPr>
        <w:t>OECD Principles of Corporate Governance (2015)</w:t>
      </w:r>
      <w:r>
        <w:t xml:space="preserve"> to ensure compliance and ethical consistency. This multidimensional methodology enables the crisis communication plan to address both the </w:t>
      </w:r>
      <w:r>
        <w:rPr>
          <w:rStyle w:val="Strong"/>
        </w:rPr>
        <w:t>emotional and procedural</w:t>
      </w:r>
      <w:r>
        <w:t xml:space="preserve"> needs of affected parties, reinforcing the brand’s commitment to transparency, reform, and cultural intelligence.</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C75FAB" w:rsidRDefault="00567EE0" w:rsidP="00EF0074">
      <w:pPr>
        <w:spacing w:before="100" w:beforeAutospacing="1" w:after="100" w:afterAutospacing="1" w:line="240" w:lineRule="auto"/>
        <w:outlineLvl w:val="1"/>
      </w:pPr>
      <w:r w:rsidRPr="00567EE0">
        <w:rPr>
          <w:rFonts w:ascii="Times New Roman" w:eastAsia="Times New Roman" w:hAnsi="Times New Roman" w:cs="Times New Roman"/>
          <w:b/>
          <w:bCs/>
          <w:sz w:val="36"/>
          <w:szCs w:val="36"/>
        </w:rPr>
        <w:t>5. FINDINGS</w:t>
      </w:r>
    </w:p>
    <w:p w:rsidR="00C75FAB" w:rsidRPr="00EF0074" w:rsidRDefault="00C75FAB" w:rsidP="00C75FAB">
      <w:pPr>
        <w:pStyle w:val="Heading4"/>
        <w:rPr>
          <w:color w:val="auto"/>
        </w:rPr>
      </w:pPr>
      <w:r w:rsidRPr="00EF0074">
        <w:rPr>
          <w:rStyle w:val="Strong"/>
          <w:b/>
          <w:bCs/>
          <w:color w:val="auto"/>
        </w:rPr>
        <w:t>5.1 Crisis Summary</w:t>
      </w:r>
    </w:p>
    <w:p w:rsidR="00C75FAB" w:rsidRDefault="00C75FAB" w:rsidP="00C75FAB">
      <w:pPr>
        <w:pStyle w:val="NormalWeb"/>
        <w:numPr>
          <w:ilvl w:val="0"/>
          <w:numId w:val="16"/>
        </w:numPr>
      </w:pPr>
      <w:r>
        <w:rPr>
          <w:rStyle w:val="Strong"/>
        </w:rPr>
        <w:t>Date: May 15, 2025</w:t>
      </w:r>
      <w:r>
        <w:br/>
      </w:r>
      <w:proofErr w:type="gramStart"/>
      <w:r>
        <w:t>The</w:t>
      </w:r>
      <w:proofErr w:type="gramEnd"/>
      <w:r>
        <w:t xml:space="preserve"> financial scandal was officially exposed when internal audit findings aligned with whistleblower allegations, prompting immediate escalation to legal authorities. This date marks the beginning of Château Marais’ most critical reputational crisis.</w:t>
      </w:r>
    </w:p>
    <w:p w:rsidR="00C75FAB" w:rsidRDefault="00C75FAB" w:rsidP="00C75FAB">
      <w:pPr>
        <w:pStyle w:val="NormalWeb"/>
        <w:numPr>
          <w:ilvl w:val="0"/>
          <w:numId w:val="16"/>
        </w:numPr>
      </w:pPr>
      <w:r>
        <w:rPr>
          <w:rStyle w:val="Strong"/>
        </w:rPr>
        <w:t>Crime: €3.8 million embezzled by CFO Louis Girard</w:t>
      </w:r>
      <w:r>
        <w:br/>
      </w:r>
      <w:proofErr w:type="gramStart"/>
      <w:r>
        <w:t>Over</w:t>
      </w:r>
      <w:proofErr w:type="gramEnd"/>
      <w:r>
        <w:t xml:space="preserve"> a period of three years, CFO Louis Girard diverted corporate funds into offshore accounts. The extent and duration of the fraud revealed severe oversight failures at executive and board levels.</w:t>
      </w:r>
    </w:p>
    <w:p w:rsidR="00C75FAB" w:rsidRDefault="00C75FAB" w:rsidP="00C75FAB">
      <w:pPr>
        <w:pStyle w:val="NormalWeb"/>
        <w:numPr>
          <w:ilvl w:val="0"/>
          <w:numId w:val="16"/>
        </w:numPr>
      </w:pPr>
      <w:r>
        <w:rPr>
          <w:rStyle w:val="Strong"/>
        </w:rPr>
        <w:t>Exposure: Internal whistleblower → audit → police investigation</w:t>
      </w:r>
      <w:r>
        <w:br/>
      </w:r>
      <w:proofErr w:type="gramStart"/>
      <w:r>
        <w:t>A</w:t>
      </w:r>
      <w:proofErr w:type="gramEnd"/>
      <w:r>
        <w:t xml:space="preserve"> finance department employee anonymously flagged inconsistencies, leading to a full audit that confirmed fraudulent transactions. The findings triggered immediate involvement by national financial police and regulatory bodies.</w:t>
      </w:r>
    </w:p>
    <w:p w:rsidR="00C75FAB" w:rsidRDefault="00C75FAB" w:rsidP="00C75FAB">
      <w:pPr>
        <w:pStyle w:val="NormalWeb"/>
        <w:numPr>
          <w:ilvl w:val="0"/>
          <w:numId w:val="16"/>
        </w:numPr>
      </w:pPr>
      <w:r>
        <w:rPr>
          <w:rStyle w:val="Strong"/>
        </w:rPr>
        <w:t>Public Reaction: Outrage from guests and investors</w:t>
      </w:r>
      <w:r>
        <w:br/>
        <w:t xml:space="preserve">Investors expressed anger over weak governance, while loyal guests felt betrayed by a </w:t>
      </w:r>
      <w:r>
        <w:lastRenderedPageBreak/>
        <w:t>brand known for ethical luxury. Social media sentiment analysis revealed over 70% negative reactions within the first 48 hours.</w:t>
      </w:r>
    </w:p>
    <w:p w:rsidR="00C75FAB" w:rsidRDefault="00C75FAB" w:rsidP="00C75FAB">
      <w:pPr>
        <w:pStyle w:val="NormalWeb"/>
        <w:numPr>
          <w:ilvl w:val="0"/>
          <w:numId w:val="16"/>
        </w:numPr>
      </w:pPr>
      <w:r>
        <w:rPr>
          <w:rStyle w:val="Strong"/>
        </w:rPr>
        <w:t>Media: France 24, Le Monde, and Financial Times covered the case extensively</w:t>
      </w:r>
      <w:r>
        <w:br/>
      </w:r>
      <w:proofErr w:type="gramStart"/>
      <w:r>
        <w:t>The</w:t>
      </w:r>
      <w:proofErr w:type="gramEnd"/>
      <w:r>
        <w:t xml:space="preserve"> scandal made front-page news across leading French and European outlets. Analysts questioned the transparency of boutique hospitality brands and compared it to previous industry scandals.</w:t>
      </w:r>
    </w:p>
    <w:p w:rsidR="00C75FAB" w:rsidRDefault="00C75FAB" w:rsidP="00C75FAB">
      <w:pPr>
        <w:pStyle w:val="NormalWeb"/>
        <w:numPr>
          <w:ilvl w:val="0"/>
          <w:numId w:val="16"/>
        </w:numPr>
      </w:pPr>
      <w:proofErr w:type="spellStart"/>
      <w:r>
        <w:rPr>
          <w:rStyle w:val="Strong"/>
        </w:rPr>
        <w:t>Hashtags</w:t>
      </w:r>
      <w:proofErr w:type="spellEnd"/>
      <w:r>
        <w:rPr>
          <w:rStyle w:val="Strong"/>
        </w:rPr>
        <w:t>: #</w:t>
      </w:r>
      <w:proofErr w:type="spellStart"/>
      <w:r>
        <w:rPr>
          <w:rStyle w:val="Strong"/>
        </w:rPr>
        <w:t>FraudAtMarais</w:t>
      </w:r>
      <w:proofErr w:type="spellEnd"/>
      <w:r>
        <w:rPr>
          <w:rStyle w:val="Strong"/>
        </w:rPr>
        <w:t xml:space="preserve"> #</w:t>
      </w:r>
      <w:proofErr w:type="spellStart"/>
      <w:r>
        <w:rPr>
          <w:rStyle w:val="Strong"/>
        </w:rPr>
        <w:t>ChâteauCrisis</w:t>
      </w:r>
      <w:proofErr w:type="spellEnd"/>
      <w:r>
        <w:rPr>
          <w:rStyle w:val="Strong"/>
        </w:rPr>
        <w:t xml:space="preserve"> trending on social media</w:t>
      </w:r>
      <w:r>
        <w:br/>
      </w:r>
      <w:proofErr w:type="gramStart"/>
      <w:r>
        <w:t>Within</w:t>
      </w:r>
      <w:proofErr w:type="gramEnd"/>
      <w:r>
        <w:t xml:space="preserve"> days, Twitter and </w:t>
      </w:r>
      <w:proofErr w:type="spellStart"/>
      <w:r>
        <w:t>Instagram</w:t>
      </w:r>
      <w:proofErr w:type="spellEnd"/>
      <w:r>
        <w:t xml:space="preserve"> saw viral use of these </w:t>
      </w:r>
      <w:proofErr w:type="spellStart"/>
      <w:r>
        <w:t>hashtags</w:t>
      </w:r>
      <w:proofErr w:type="spellEnd"/>
      <w:r>
        <w:t>, further amplifying reputational damage. Influencers and ex-employees added to the momentum by posting personal accounts of negligence and lax oversight.</w:t>
      </w:r>
    </w:p>
    <w:p w:rsidR="00C75FAB" w:rsidRDefault="00C75FAB" w:rsidP="00C75FAB"/>
    <w:p w:rsidR="00C75FAB" w:rsidRPr="00EF0074" w:rsidRDefault="00C75FAB" w:rsidP="00C75FAB">
      <w:pPr>
        <w:pStyle w:val="Heading4"/>
        <w:rPr>
          <w:color w:val="auto"/>
        </w:rPr>
      </w:pPr>
      <w:r w:rsidRPr="00EF0074">
        <w:rPr>
          <w:rStyle w:val="Strong"/>
          <w:b/>
          <w:bCs/>
          <w:color w:val="auto"/>
        </w:rPr>
        <w:t>5.2 Gaps in Internal Controls</w:t>
      </w:r>
    </w:p>
    <w:p w:rsidR="00C75FAB" w:rsidRDefault="00C75FAB" w:rsidP="00C75FAB">
      <w:pPr>
        <w:pStyle w:val="NormalWeb"/>
        <w:numPr>
          <w:ilvl w:val="0"/>
          <w:numId w:val="17"/>
        </w:numPr>
      </w:pPr>
      <w:r>
        <w:rPr>
          <w:rStyle w:val="Strong"/>
        </w:rPr>
        <w:t>Audit reports were manually verified and lacked automation</w:t>
      </w:r>
      <w:r>
        <w:br/>
      </w:r>
      <w:proofErr w:type="gramStart"/>
      <w:r>
        <w:t>Internal</w:t>
      </w:r>
      <w:proofErr w:type="gramEnd"/>
      <w:r>
        <w:t xml:space="preserve"> audits were performed using Excel and outdated software, increasing the risk of human error and fraud concealment. There was no use of real-time anomaly detection tools or secure ERP systems.</w:t>
      </w:r>
    </w:p>
    <w:p w:rsidR="00C75FAB" w:rsidRDefault="00C75FAB" w:rsidP="00C75FAB">
      <w:pPr>
        <w:pStyle w:val="NormalWeb"/>
        <w:numPr>
          <w:ilvl w:val="0"/>
          <w:numId w:val="17"/>
        </w:numPr>
      </w:pPr>
      <w:r>
        <w:rPr>
          <w:rStyle w:val="Strong"/>
        </w:rPr>
        <w:t>No whistleblower hotline or anonymous reporting mechanism</w:t>
      </w:r>
      <w:r>
        <w:br/>
        <w:t xml:space="preserve">The </w:t>
      </w:r>
      <w:proofErr w:type="gramStart"/>
      <w:r>
        <w:t>company</w:t>
      </w:r>
      <w:proofErr w:type="gramEnd"/>
      <w:r>
        <w:t xml:space="preserve"> lacked a formal whistleblower policy or a secure channel for ethical complaints. This deterred early reporting and could have allowed the fraud to continue indefinitely if not for one brave employee.</w:t>
      </w:r>
    </w:p>
    <w:p w:rsidR="00C75FAB" w:rsidRDefault="00C75FAB" w:rsidP="00C75FAB">
      <w:pPr>
        <w:pStyle w:val="NormalWeb"/>
        <w:numPr>
          <w:ilvl w:val="0"/>
          <w:numId w:val="17"/>
        </w:numPr>
      </w:pPr>
      <w:r>
        <w:rPr>
          <w:rStyle w:val="Strong"/>
        </w:rPr>
        <w:t>Board had not updated internal audit procedures since 2020</w:t>
      </w:r>
      <w:r>
        <w:br/>
        <w:t>Internal documents revealed that compliance policies were outdated and not aligned with 2023 EU corporate governance guidelines. This negligence made the brand vulnerable to both fraud and legal liabilities.</w:t>
      </w:r>
    </w:p>
    <w:p w:rsidR="00C75FAB" w:rsidRDefault="00C75FAB" w:rsidP="00C75FAB">
      <w:pPr>
        <w:pStyle w:val="NormalWeb"/>
        <w:numPr>
          <w:ilvl w:val="0"/>
          <w:numId w:val="17"/>
        </w:numPr>
      </w:pPr>
      <w:r>
        <w:rPr>
          <w:rStyle w:val="Strong"/>
        </w:rPr>
        <w:t>PR team untrained in financial crisis management</w:t>
      </w:r>
      <w:r>
        <w:br/>
      </w:r>
      <w:proofErr w:type="gramStart"/>
      <w:r>
        <w:t>While</w:t>
      </w:r>
      <w:proofErr w:type="gramEnd"/>
      <w:r>
        <w:t xml:space="preserve"> skilled in brand promotion, the communication team lacked experience in handling high-stakes financial disclosures. Their initial press release was vague, which fueled public mistrust rather than calming it.</w:t>
      </w:r>
    </w:p>
    <w:p w:rsidR="00C75FAB" w:rsidRDefault="00C75FAB" w:rsidP="00C75FAB"/>
    <w:p w:rsidR="00C75FAB" w:rsidRPr="00EF0074" w:rsidRDefault="00C75FAB" w:rsidP="00C75FAB">
      <w:pPr>
        <w:pStyle w:val="Heading4"/>
        <w:rPr>
          <w:color w:val="auto"/>
        </w:rPr>
      </w:pPr>
      <w:r w:rsidRPr="00EF0074">
        <w:rPr>
          <w:rStyle w:val="Strong"/>
          <w:b/>
          <w:bCs/>
          <w:color w:val="auto"/>
        </w:rPr>
        <w:t>5.3 Stakeholder Impact</w:t>
      </w:r>
    </w:p>
    <w:p w:rsidR="00C75FAB" w:rsidRDefault="00C75FAB" w:rsidP="00C75FAB">
      <w:pPr>
        <w:pStyle w:val="NormalWeb"/>
        <w:numPr>
          <w:ilvl w:val="0"/>
          <w:numId w:val="18"/>
        </w:numPr>
      </w:pPr>
      <w:r>
        <w:rPr>
          <w:rStyle w:val="Strong"/>
        </w:rPr>
        <w:t>Investors: Threatened legal action, demanded governance review</w:t>
      </w:r>
      <w:r>
        <w:br/>
        <w:t>Major investors issued joint statements calling for external audits, executive restructuring, and governance reform. Some initiated discussions on filing class-action lawsuits to recover potential losses.</w:t>
      </w:r>
    </w:p>
    <w:p w:rsidR="00C75FAB" w:rsidRDefault="00C75FAB" w:rsidP="00C75FAB">
      <w:pPr>
        <w:pStyle w:val="NormalWeb"/>
        <w:numPr>
          <w:ilvl w:val="0"/>
          <w:numId w:val="18"/>
        </w:numPr>
      </w:pPr>
      <w:r>
        <w:rPr>
          <w:rStyle w:val="Strong"/>
        </w:rPr>
        <w:t>Employees: Confused, fearful of job security</w:t>
      </w:r>
      <w:r>
        <w:br/>
        <w:t>Frontline staff were left in the dark, unsure whether layoffs or restructuring were imminent. Internal morale dropped significantly, with some employees reportedly updating their CVs and seeking employment elsewhere.</w:t>
      </w:r>
    </w:p>
    <w:p w:rsidR="00C75FAB" w:rsidRDefault="00C75FAB" w:rsidP="00C75FAB">
      <w:pPr>
        <w:pStyle w:val="NormalWeb"/>
        <w:numPr>
          <w:ilvl w:val="0"/>
          <w:numId w:val="18"/>
        </w:numPr>
      </w:pPr>
      <w:r>
        <w:rPr>
          <w:rStyle w:val="Strong"/>
        </w:rPr>
        <w:t>Regulators: French AMF and EU watchdogs launched compliance audits</w:t>
      </w:r>
      <w:r>
        <w:br/>
      </w:r>
      <w:proofErr w:type="gramStart"/>
      <w:r>
        <w:t>Within</w:t>
      </w:r>
      <w:proofErr w:type="gramEnd"/>
      <w:r>
        <w:t xml:space="preserve"> a week, the French </w:t>
      </w:r>
      <w:proofErr w:type="spellStart"/>
      <w:r>
        <w:t>Autorité</w:t>
      </w:r>
      <w:proofErr w:type="spellEnd"/>
      <w:r>
        <w:t xml:space="preserve"> des </w:t>
      </w:r>
      <w:proofErr w:type="spellStart"/>
      <w:r>
        <w:t>marchés</w:t>
      </w:r>
      <w:proofErr w:type="spellEnd"/>
      <w:r>
        <w:t xml:space="preserve"> financiers (AMF) and EU corporate </w:t>
      </w:r>
      <w:r>
        <w:lastRenderedPageBreak/>
        <w:t>regulators launched formal investigations. Château Marais was instructed to submit all internal audit records, financial statements, and communications for review.</w:t>
      </w:r>
    </w:p>
    <w:p w:rsidR="00C75FAB" w:rsidRDefault="00C75FAB" w:rsidP="00C75FAB">
      <w:pPr>
        <w:pStyle w:val="NormalWeb"/>
        <w:numPr>
          <w:ilvl w:val="0"/>
          <w:numId w:val="18"/>
        </w:numPr>
      </w:pPr>
      <w:r>
        <w:rPr>
          <w:rStyle w:val="Strong"/>
        </w:rPr>
        <w:t>Loyal Guests: Questioned if their data or payments were safe</w:t>
      </w:r>
      <w:r>
        <w:br/>
      </w:r>
      <w:proofErr w:type="gramStart"/>
      <w:r>
        <w:t>Frequent</w:t>
      </w:r>
      <w:proofErr w:type="gramEnd"/>
      <w:r>
        <w:t xml:space="preserve"> guests expressed concern over potential breaches of their payment data and personal information. Some cancelled future reservations, while others demanded public assurances on </w:t>
      </w:r>
      <w:proofErr w:type="spellStart"/>
      <w:r>
        <w:t>cybersecurity</w:t>
      </w:r>
      <w:proofErr w:type="spellEnd"/>
      <w:r>
        <w:t xml:space="preserve"> and payment transparency.</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6. DISCUSSION</w:t>
      </w: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6.1 Internal Memo</w:t>
      </w:r>
    </w:p>
    <w:p w:rsidR="00567EE0" w:rsidRPr="00567EE0" w:rsidRDefault="00567EE0" w:rsidP="00567EE0">
      <w:pPr>
        <w:spacing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b/>
          <w:bCs/>
          <w:sz w:val="24"/>
          <w:szCs w:val="24"/>
        </w:rPr>
        <w:t>To</w:t>
      </w:r>
      <w:r w:rsidRPr="00567EE0">
        <w:rPr>
          <w:rFonts w:ascii="Times New Roman" w:eastAsia="Times New Roman" w:hAnsi="Times New Roman" w:cs="Times New Roman"/>
          <w:sz w:val="24"/>
          <w:szCs w:val="24"/>
        </w:rPr>
        <w:t>: All Staff – Château Marais Properties</w:t>
      </w:r>
      <w:r w:rsidRPr="00567EE0">
        <w:rPr>
          <w:rFonts w:ascii="Times New Roman" w:eastAsia="Times New Roman" w:hAnsi="Times New Roman" w:cs="Times New Roman"/>
          <w:sz w:val="24"/>
          <w:szCs w:val="24"/>
        </w:rPr>
        <w:br/>
      </w:r>
      <w:r w:rsidRPr="00567EE0">
        <w:rPr>
          <w:rFonts w:ascii="Times New Roman" w:eastAsia="Times New Roman" w:hAnsi="Times New Roman" w:cs="Times New Roman"/>
          <w:b/>
          <w:bCs/>
          <w:sz w:val="24"/>
          <w:szCs w:val="24"/>
        </w:rPr>
        <w:t>From</w:t>
      </w:r>
      <w:r w:rsidRPr="00567EE0">
        <w:rPr>
          <w:rFonts w:ascii="Times New Roman" w:eastAsia="Times New Roman" w:hAnsi="Times New Roman" w:cs="Times New Roman"/>
          <w:sz w:val="24"/>
          <w:szCs w:val="24"/>
        </w:rPr>
        <w:t xml:space="preserve">: Isabelle </w:t>
      </w:r>
      <w:proofErr w:type="spellStart"/>
      <w:r w:rsidRPr="00567EE0">
        <w:rPr>
          <w:rFonts w:ascii="Times New Roman" w:eastAsia="Times New Roman" w:hAnsi="Times New Roman" w:cs="Times New Roman"/>
          <w:sz w:val="24"/>
          <w:szCs w:val="24"/>
        </w:rPr>
        <w:t>Delacourt</w:t>
      </w:r>
      <w:proofErr w:type="spellEnd"/>
      <w:r w:rsidRPr="00567EE0">
        <w:rPr>
          <w:rFonts w:ascii="Times New Roman" w:eastAsia="Times New Roman" w:hAnsi="Times New Roman" w:cs="Times New Roman"/>
          <w:sz w:val="24"/>
          <w:szCs w:val="24"/>
        </w:rPr>
        <w:t>, Managing Director</w:t>
      </w:r>
      <w:r w:rsidRPr="00567EE0">
        <w:rPr>
          <w:rFonts w:ascii="Times New Roman" w:eastAsia="Times New Roman" w:hAnsi="Times New Roman" w:cs="Times New Roman"/>
          <w:sz w:val="24"/>
          <w:szCs w:val="24"/>
        </w:rPr>
        <w:br/>
      </w:r>
      <w:r w:rsidRPr="00567EE0">
        <w:rPr>
          <w:rFonts w:ascii="Times New Roman" w:eastAsia="Times New Roman" w:hAnsi="Times New Roman" w:cs="Times New Roman"/>
          <w:b/>
          <w:bCs/>
          <w:sz w:val="24"/>
          <w:szCs w:val="24"/>
        </w:rPr>
        <w:t>Subject</w:t>
      </w:r>
      <w:r w:rsidRPr="00567EE0">
        <w:rPr>
          <w:rFonts w:ascii="Times New Roman" w:eastAsia="Times New Roman" w:hAnsi="Times New Roman" w:cs="Times New Roman"/>
          <w:sz w:val="24"/>
          <w:szCs w:val="24"/>
        </w:rPr>
        <w:t>: Internal Fraud Case – Transparency and Next Steps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Dear Team,</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We acknowledge the financial misconduct recently discovered within our finance department. The individual has been terminated and faces legal proceedings.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Next Steps:</w:t>
      </w:r>
    </w:p>
    <w:p w:rsidR="00567EE0" w:rsidRPr="00567EE0" w:rsidRDefault="00567EE0" w:rsidP="00567EE0">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Whistleblower policy to be implemented immediately</w:t>
      </w:r>
    </w:p>
    <w:p w:rsidR="00567EE0" w:rsidRPr="00567EE0" w:rsidRDefault="00567EE0" w:rsidP="00567EE0">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Independent ethics consultant to assess all departments</w:t>
      </w:r>
    </w:p>
    <w:p w:rsidR="00567EE0" w:rsidRPr="00567EE0" w:rsidRDefault="00567EE0" w:rsidP="00567EE0">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Internal Q&amp;A sessions with HR and Finance for clarity</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Let’s stand together in these difficult times with our core values of integrity.</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Regards</w:t>
      </w:r>
      <w:proofErr w:type="gramStart"/>
      <w:r w:rsidRPr="00567EE0">
        <w:rPr>
          <w:rFonts w:ascii="Times New Roman" w:eastAsia="Times New Roman" w:hAnsi="Times New Roman" w:cs="Times New Roman"/>
          <w:sz w:val="24"/>
          <w:szCs w:val="24"/>
        </w:rPr>
        <w:t>,</w:t>
      </w:r>
      <w:proofErr w:type="gramEnd"/>
      <w:r w:rsidRPr="00567EE0">
        <w:rPr>
          <w:rFonts w:ascii="Times New Roman" w:eastAsia="Times New Roman" w:hAnsi="Times New Roman" w:cs="Times New Roman"/>
          <w:sz w:val="24"/>
          <w:szCs w:val="24"/>
        </w:rPr>
        <w:br/>
        <w:t>Isabelle</w:t>
      </w:r>
    </w:p>
    <w:p w:rsidR="00F32297" w:rsidRDefault="00F32297" w:rsidP="00F32297">
      <w:pPr>
        <w:spacing w:after="0" w:line="240" w:lineRule="auto"/>
        <w:rPr>
          <w:rFonts w:ascii="Times New Roman" w:eastAsia="Times New Roman" w:hAnsi="Times New Roman" w:cs="Times New Roman"/>
          <w:sz w:val="24"/>
          <w:szCs w:val="24"/>
        </w:rPr>
      </w:pPr>
    </w:p>
    <w:p w:rsidR="00567EE0" w:rsidRPr="00F32297" w:rsidRDefault="00567EE0" w:rsidP="00F32297">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b/>
          <w:bCs/>
          <w:sz w:val="27"/>
          <w:szCs w:val="27"/>
        </w:rPr>
        <w:t>6.2 Press Release</w:t>
      </w:r>
    </w:p>
    <w:p w:rsidR="00567EE0" w:rsidRPr="00567EE0" w:rsidRDefault="00567EE0" w:rsidP="00567EE0">
      <w:pPr>
        <w:spacing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b/>
          <w:bCs/>
          <w:sz w:val="24"/>
          <w:szCs w:val="24"/>
        </w:rPr>
        <w:t>FOR IMMEDIATE RELEASE</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b/>
          <w:bCs/>
          <w:sz w:val="24"/>
          <w:szCs w:val="24"/>
        </w:rPr>
        <w:t>Château Marais Confirms Internal Financial Fraud and Launches Governance Reform</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May 16, 2025 – Château Marais Boutique Hotels confirms the discovery of internal financial fraud involving a senior executive. The individual has been dismissed and is cooperating with authorities.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Key Measures Implemented:</w:t>
      </w:r>
    </w:p>
    <w:p w:rsidR="00567EE0" w:rsidRPr="00567EE0" w:rsidRDefault="00567EE0" w:rsidP="00567E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lastRenderedPageBreak/>
        <w:t>Launch of independent forensic audit</w:t>
      </w:r>
    </w:p>
    <w:p w:rsidR="00567EE0" w:rsidRPr="00567EE0" w:rsidRDefault="00567EE0" w:rsidP="00567E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Appointment of Interim CFO and external governance consultant</w:t>
      </w:r>
    </w:p>
    <w:p w:rsidR="00567EE0" w:rsidRPr="00567EE0" w:rsidRDefault="00567EE0" w:rsidP="00567EE0">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Strengthening of internal financial controls across all EU properties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“This betrayal is deeply regrettable. We are committed to full transparency and change,” said MD Isabelle </w:t>
      </w:r>
      <w:proofErr w:type="spellStart"/>
      <w:r w:rsidRPr="00567EE0">
        <w:rPr>
          <w:rFonts w:ascii="Times New Roman" w:eastAsia="Times New Roman" w:hAnsi="Times New Roman" w:cs="Times New Roman"/>
          <w:sz w:val="24"/>
          <w:szCs w:val="24"/>
        </w:rPr>
        <w:t>Delacourt</w:t>
      </w:r>
      <w:proofErr w:type="spellEnd"/>
      <w:r w:rsidRPr="00567EE0">
        <w:rPr>
          <w:rFonts w:ascii="Times New Roman" w:eastAsia="Times New Roman" w:hAnsi="Times New Roman" w:cs="Times New Roman"/>
          <w:sz w:val="24"/>
          <w:szCs w:val="24"/>
        </w:rPr>
        <w:t>.</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Contact: media@chateaumarais.fr</w:t>
      </w:r>
    </w:p>
    <w:p w:rsidR="00F32297" w:rsidRDefault="00F32297" w:rsidP="00567EE0">
      <w:pPr>
        <w:spacing w:before="100" w:beforeAutospacing="1" w:after="100" w:afterAutospacing="1" w:line="240" w:lineRule="auto"/>
        <w:outlineLvl w:val="2"/>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6.3 Stakeholder Letter</w:t>
      </w:r>
    </w:p>
    <w:p w:rsidR="00567EE0" w:rsidRPr="00567EE0" w:rsidRDefault="00567EE0" w:rsidP="00567EE0">
      <w:pPr>
        <w:spacing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b/>
          <w:bCs/>
          <w:sz w:val="24"/>
          <w:szCs w:val="24"/>
        </w:rPr>
        <w:t>Subject</w:t>
      </w:r>
      <w:r w:rsidRPr="00567EE0">
        <w:rPr>
          <w:rFonts w:ascii="Times New Roman" w:eastAsia="Times New Roman" w:hAnsi="Times New Roman" w:cs="Times New Roman"/>
          <w:sz w:val="24"/>
          <w:szCs w:val="24"/>
        </w:rPr>
        <w:t>: Urgent Update on Internal Financial Incident and Governance Reforms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Dear Valued Stakeholders,</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On May 15, 2025, we uncovered serious financial misconduct involving our CFO. The matter is now under criminal investigation.</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Our Response:</w:t>
      </w:r>
    </w:p>
    <w:p w:rsidR="00567EE0" w:rsidRPr="00567EE0" w:rsidRDefault="00567EE0" w:rsidP="00567E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All affected financial records are being reviewed and reconciled</w:t>
      </w:r>
    </w:p>
    <w:p w:rsidR="00567EE0" w:rsidRPr="00567EE0" w:rsidRDefault="00567EE0" w:rsidP="00567E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Audit committee expanded to include external advisors</w:t>
      </w:r>
    </w:p>
    <w:p w:rsidR="00567EE0" w:rsidRPr="00567EE0" w:rsidRDefault="00567EE0" w:rsidP="00567EE0">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EU regulatory bodies informed and included in remediation</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We understand your concerns and assure you that no guest or investor funds were touched. We will provide regular updates and full cooperation.</w:t>
      </w:r>
    </w:p>
    <w:p w:rsidR="00567EE0" w:rsidRPr="00567EE0" w:rsidRDefault="00567EE0" w:rsidP="00567EE0">
      <w:p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Sincerely</w:t>
      </w:r>
      <w:proofErr w:type="gramStart"/>
      <w:r w:rsidRPr="00567EE0">
        <w:rPr>
          <w:rFonts w:ascii="Times New Roman" w:eastAsia="Times New Roman" w:hAnsi="Times New Roman" w:cs="Times New Roman"/>
          <w:sz w:val="24"/>
          <w:szCs w:val="24"/>
        </w:rPr>
        <w:t>,</w:t>
      </w:r>
      <w:proofErr w:type="gramEnd"/>
      <w:r w:rsidRPr="00567EE0">
        <w:rPr>
          <w:rFonts w:ascii="Times New Roman" w:eastAsia="Times New Roman" w:hAnsi="Times New Roman" w:cs="Times New Roman"/>
          <w:sz w:val="24"/>
          <w:szCs w:val="24"/>
        </w:rPr>
        <w:br/>
        <w:t xml:space="preserve">Isabelle </w:t>
      </w:r>
      <w:proofErr w:type="spellStart"/>
      <w:r w:rsidRPr="00567EE0">
        <w:rPr>
          <w:rFonts w:ascii="Times New Roman" w:eastAsia="Times New Roman" w:hAnsi="Times New Roman" w:cs="Times New Roman"/>
          <w:sz w:val="24"/>
          <w:szCs w:val="24"/>
        </w:rPr>
        <w:t>Delacourt</w:t>
      </w:r>
      <w:proofErr w:type="spellEnd"/>
      <w:r w:rsidRPr="00567EE0">
        <w:rPr>
          <w:rFonts w:ascii="Times New Roman" w:eastAsia="Times New Roman" w:hAnsi="Times New Roman" w:cs="Times New Roman"/>
          <w:sz w:val="24"/>
          <w:szCs w:val="24"/>
        </w:rPr>
        <w:br/>
        <w:t>Managing Director, Château Marais Group</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7. CHALLENGES AND REAL-WORLD EXAMPLES</w:t>
      </w:r>
    </w:p>
    <w:p w:rsidR="00A41B18" w:rsidRPr="00A41B18" w:rsidRDefault="00A41B18" w:rsidP="00A41B18">
      <w:pPr>
        <w:pStyle w:val="Heading4"/>
        <w:rPr>
          <w:color w:val="auto"/>
        </w:rPr>
      </w:pPr>
      <w:r w:rsidRPr="00A41B18">
        <w:rPr>
          <w:rStyle w:val="Strong"/>
          <w:b/>
          <w:bCs/>
          <w:color w:val="auto"/>
        </w:rPr>
        <w:t>Challenge 1: Loss of Investor Confidence</w:t>
      </w:r>
    </w:p>
    <w:p w:rsidR="00A41B18" w:rsidRDefault="00A41B18" w:rsidP="00A41B18">
      <w:pPr>
        <w:pStyle w:val="NormalWeb"/>
      </w:pPr>
      <w:r>
        <w:t xml:space="preserve">Château Marais faces a significant loss of investor trust—mirrored by Accor’s 12% stock dip following the exposure of accounting irregularities in 2020. In finance-driven hospitality, investor sentiment can shift rapidly when governance issues arise. To restore confidence, Château Marais should </w:t>
      </w:r>
      <w:r>
        <w:rPr>
          <w:rStyle w:val="Strong"/>
        </w:rPr>
        <w:t>publish audited quarterly financial reports</w:t>
      </w:r>
      <w:r>
        <w:t xml:space="preserve">, invite trusted third-party audit firms to validate controls, and </w:t>
      </w:r>
      <w:r>
        <w:rPr>
          <w:rStyle w:val="Strong"/>
        </w:rPr>
        <w:t>host live investor briefings</w:t>
      </w:r>
      <w:r>
        <w:t xml:space="preserve"> explaining the steps taken to prevent future fraud. Regular, transparent updates can help maintain valuation stability and signal resilience to the market (SCCT “rebuild” approach</w:t>
      </w:r>
      <w:proofErr w:type="gramStart"/>
      <w:r>
        <w:t>) .</w:t>
      </w:r>
      <w:proofErr w:type="gramEnd"/>
    </w:p>
    <w:p w:rsidR="00A41B18" w:rsidRPr="00A41B18" w:rsidRDefault="00A41B18" w:rsidP="00A41B18">
      <w:pPr>
        <w:pStyle w:val="Heading4"/>
        <w:rPr>
          <w:color w:val="auto"/>
        </w:rPr>
      </w:pPr>
      <w:r w:rsidRPr="00A41B18">
        <w:rPr>
          <w:rStyle w:val="Strong"/>
          <w:b/>
          <w:bCs/>
          <w:color w:val="auto"/>
        </w:rPr>
        <w:lastRenderedPageBreak/>
        <w:t>Challenge 2: Public Perception of Corruption</w:t>
      </w:r>
    </w:p>
    <w:p w:rsidR="00A41B18" w:rsidRDefault="00A41B18" w:rsidP="00A41B18">
      <w:pPr>
        <w:pStyle w:val="NormalWeb"/>
      </w:pPr>
      <w:r>
        <w:t xml:space="preserve">The fraud case starkly contradicts Château </w:t>
      </w:r>
      <w:proofErr w:type="spellStart"/>
      <w:r>
        <w:t>Marais’s</w:t>
      </w:r>
      <w:proofErr w:type="spellEnd"/>
      <w:r>
        <w:t xml:space="preserve"> branding as a “boutique and ethical” hotel group, causing reputational dissonance. Public opinion studies highlight that image repair requires not only apologies but </w:t>
      </w:r>
      <w:r>
        <w:rPr>
          <w:rStyle w:val="Strong"/>
        </w:rPr>
        <w:t>follow-up corrective actions and ethical branding efforts</w:t>
      </w:r>
      <w:r>
        <w:t xml:space="preserve"> (Benoit, 1995; Coombs &amp; Holladay, 2012</w:t>
      </w:r>
      <w:proofErr w:type="gramStart"/>
      <w:r>
        <w:t>) .</w:t>
      </w:r>
      <w:proofErr w:type="gramEnd"/>
      <w:r>
        <w:t xml:space="preserve"> Partnership with reputable NGOs, public commitments to ethical sourcing, and the launch of transparency initiatives (such as </w:t>
      </w:r>
      <w:proofErr w:type="spellStart"/>
      <w:r>
        <w:t>open</w:t>
      </w:r>
      <w:r>
        <w:noBreakHyphen/>
        <w:t>book</w:t>
      </w:r>
      <w:proofErr w:type="spellEnd"/>
      <w:r>
        <w:t xml:space="preserve"> audits or ethics hotlines) can help re-establish credibility. Sustained action over time, rather than one-off statements, is </w:t>
      </w:r>
      <w:proofErr w:type="gramStart"/>
      <w:r>
        <w:t>key</w:t>
      </w:r>
      <w:proofErr w:type="gramEnd"/>
      <w:r>
        <w:t xml:space="preserve"> to realigning brand identity with organizational behavior.</w:t>
      </w:r>
    </w:p>
    <w:p w:rsidR="00A41B18" w:rsidRPr="00A41B18" w:rsidRDefault="00A41B18" w:rsidP="00A41B18">
      <w:pPr>
        <w:pStyle w:val="Heading4"/>
        <w:rPr>
          <w:color w:val="auto"/>
        </w:rPr>
      </w:pPr>
      <w:r w:rsidRPr="00A41B18">
        <w:rPr>
          <w:rStyle w:val="Strong"/>
          <w:b/>
          <w:bCs/>
          <w:color w:val="auto"/>
        </w:rPr>
        <w:t>Challenge 3: Internal Fear and Morale Collapse</w:t>
      </w:r>
    </w:p>
    <w:p w:rsidR="00A41B18" w:rsidRDefault="00A41B18" w:rsidP="00A41B18">
      <w:pPr>
        <w:pStyle w:val="NormalWeb"/>
      </w:pPr>
      <w:r>
        <w:t xml:space="preserve">Internally, employees may fear instability, restructuring, or reputational taint. Organizational psychology research shows that </w:t>
      </w:r>
      <w:r>
        <w:rPr>
          <w:rStyle w:val="Strong"/>
        </w:rPr>
        <w:t>uncertainty breeding anxiety</w:t>
      </w:r>
      <w:r>
        <w:t xml:space="preserve"> undermines morale and productivity (Meyer &amp; Allen, 1991). To counteract internal distress, the resort should establish </w:t>
      </w:r>
      <w:r>
        <w:rPr>
          <w:rStyle w:val="Strong"/>
        </w:rPr>
        <w:t>anonymous feedback channels</w:t>
      </w:r>
      <w:r>
        <w:t xml:space="preserve">, conduct </w:t>
      </w:r>
      <w:proofErr w:type="spellStart"/>
      <w:r>
        <w:rPr>
          <w:rStyle w:val="Strong"/>
        </w:rPr>
        <w:t>town</w:t>
      </w:r>
      <w:r>
        <w:rPr>
          <w:rStyle w:val="Strong"/>
        </w:rPr>
        <w:noBreakHyphen/>
        <w:t>hall</w:t>
      </w:r>
      <w:proofErr w:type="spellEnd"/>
      <w:r>
        <w:rPr>
          <w:rStyle w:val="Strong"/>
        </w:rPr>
        <w:t xml:space="preserve"> meetings</w:t>
      </w:r>
      <w:r>
        <w:t xml:space="preserve"> led by senior leadership, and publicly commit to protecting staff roles while governance reforms are underway. Clear, factual internal memos, coupled with transparent Q&amp;A sessions, will help rebuild employee trust and reduce the spread of rumors.</w:t>
      </w:r>
    </w:p>
    <w:p w:rsidR="00A41B18" w:rsidRPr="00A41B18" w:rsidRDefault="00A41B18" w:rsidP="00A41B18">
      <w:pPr>
        <w:pStyle w:val="Heading4"/>
        <w:rPr>
          <w:color w:val="auto"/>
        </w:rPr>
      </w:pPr>
      <w:r w:rsidRPr="00A41B18">
        <w:rPr>
          <w:rStyle w:val="Strong"/>
          <w:b/>
          <w:bCs/>
          <w:color w:val="auto"/>
        </w:rPr>
        <w:t>Challenge 4: Cross-Jurisdictional Legal Risk</w:t>
      </w:r>
    </w:p>
    <w:p w:rsidR="00A41B18" w:rsidRDefault="00A41B18" w:rsidP="00A41B18">
      <w:pPr>
        <w:pStyle w:val="NormalWeb"/>
      </w:pPr>
      <w:r>
        <w:t xml:space="preserve">The fraud’s complexity increases due to financial transfers across Luxembourg and Cyprus, which may trigger additional </w:t>
      </w:r>
      <w:proofErr w:type="spellStart"/>
      <w:r>
        <w:rPr>
          <w:rStyle w:val="Strong"/>
        </w:rPr>
        <w:t>anti</w:t>
      </w:r>
      <w:r>
        <w:rPr>
          <w:rStyle w:val="Strong"/>
        </w:rPr>
        <w:noBreakHyphen/>
        <w:t>money</w:t>
      </w:r>
      <w:proofErr w:type="spellEnd"/>
      <w:r>
        <w:rPr>
          <w:rStyle w:val="Strong"/>
        </w:rPr>
        <w:t xml:space="preserve"> laundering (AML)</w:t>
      </w:r>
      <w:r>
        <w:t xml:space="preserve"> investigations under EU </w:t>
      </w:r>
      <w:proofErr w:type="gramStart"/>
      <w:r>
        <w:t>regulations .</w:t>
      </w:r>
      <w:proofErr w:type="gramEnd"/>
      <w:r>
        <w:t xml:space="preserve"> Failure to address this properly can prolong legal exposure and increase penalties. Château Marais should </w:t>
      </w:r>
      <w:r>
        <w:rPr>
          <w:rStyle w:val="Strong"/>
        </w:rPr>
        <w:t xml:space="preserve">hire a </w:t>
      </w:r>
      <w:proofErr w:type="spellStart"/>
      <w:r>
        <w:rPr>
          <w:rStyle w:val="Strong"/>
        </w:rPr>
        <w:t>pan</w:t>
      </w:r>
      <w:r>
        <w:rPr>
          <w:rStyle w:val="Strong"/>
        </w:rPr>
        <w:noBreakHyphen/>
        <w:t>European</w:t>
      </w:r>
      <w:proofErr w:type="spellEnd"/>
      <w:r>
        <w:rPr>
          <w:rStyle w:val="Strong"/>
        </w:rPr>
        <w:t xml:space="preserve"> legal team</w:t>
      </w:r>
      <w:r>
        <w:t xml:space="preserve"> specializing in cross-border finance, ensure full cooperation with AML authorities, and publish a compliance roadmap. Demonstrating proactive legal collaboration helps shift public perception from scandal to reform and deters enforcement authorities from pursuing harsher sanctions.</w:t>
      </w:r>
    </w:p>
    <w:p w:rsidR="00A41B18" w:rsidRPr="00A41B18" w:rsidRDefault="00A41B18" w:rsidP="00A41B18">
      <w:pPr>
        <w:pStyle w:val="Heading4"/>
        <w:rPr>
          <w:color w:val="auto"/>
        </w:rPr>
      </w:pPr>
      <w:r w:rsidRPr="00A41B18">
        <w:rPr>
          <w:rStyle w:val="Strong"/>
          <w:b/>
          <w:bCs/>
          <w:color w:val="auto"/>
        </w:rPr>
        <w:t>Challenge 5: Communication Tone Balance</w:t>
      </w:r>
    </w:p>
    <w:p w:rsidR="00A41B18" w:rsidRDefault="00A41B18" w:rsidP="00A41B18">
      <w:pPr>
        <w:pStyle w:val="NormalWeb"/>
      </w:pPr>
      <w:r>
        <w:t xml:space="preserve">The communication challenge lies in balancing sincerity with legal caution. Studies show that overly apologetic language may be perceived as incriminating, whereas detached messaging can seem </w:t>
      </w:r>
      <w:proofErr w:type="gramStart"/>
      <w:r>
        <w:t>inhuman .</w:t>
      </w:r>
      <w:proofErr w:type="gramEnd"/>
      <w:r>
        <w:t xml:space="preserve"> Using SCCT-aligned, </w:t>
      </w:r>
      <w:r>
        <w:rPr>
          <w:rStyle w:val="Strong"/>
        </w:rPr>
        <w:t>balanced language</w:t>
      </w:r>
      <w:r>
        <w:t xml:space="preserve"> allows the brand to acknowledge wrongdoing (“We regret that our controls failed”) while emphasizing actionable steps (“We are implementing X changes”) without direct admission of legal guilt. </w:t>
      </w:r>
      <w:proofErr w:type="spellStart"/>
      <w:r>
        <w:t>Passive</w:t>
      </w:r>
      <w:r>
        <w:noBreakHyphen/>
        <w:t>voice</w:t>
      </w:r>
      <w:proofErr w:type="spellEnd"/>
      <w:r>
        <w:t xml:space="preserve"> phrasing like “We are sorry that this occurred” rather than “We are sorry for doing this” helps manage liability while still conveying compassion.</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8. CONCLUSION</w:t>
      </w:r>
    </w:p>
    <w:p w:rsidR="00D82413" w:rsidRDefault="00D82413" w:rsidP="00D82413">
      <w:pPr>
        <w:pStyle w:val="NormalWeb"/>
      </w:pPr>
      <w:r>
        <w:t xml:space="preserve">The financial fraud case at Château Marais Boutique Hotels serves as a cautionary tale for the hospitality industry, especially within the high-trust, luxury segment. The discovery of €3.8 </w:t>
      </w:r>
      <w:r>
        <w:lastRenderedPageBreak/>
        <w:t>million in embezzlement by a senior executive not only caused financial disruption but also deeply eroded stakeholder trust. In such cases, damage control extends beyond financial restitution—it requires a strategic communication response that restores moral legitimacy and public confidence (Coombs, 2007). The need for a robust crisis response becomes even more urgent in boutique hotels, where intimacy, trust, and ethics are core brand attributes (</w:t>
      </w:r>
      <w:proofErr w:type="spellStart"/>
      <w:r>
        <w:t>Heide</w:t>
      </w:r>
      <w:proofErr w:type="spellEnd"/>
      <w:r>
        <w:t xml:space="preserve"> &amp; </w:t>
      </w:r>
      <w:proofErr w:type="spellStart"/>
      <w:r>
        <w:t>Simonsson</w:t>
      </w:r>
      <w:proofErr w:type="spellEnd"/>
      <w:r>
        <w:t>, 2014).</w:t>
      </w:r>
    </w:p>
    <w:p w:rsidR="00D82413" w:rsidRDefault="00D82413" w:rsidP="00D82413">
      <w:pPr>
        <w:pStyle w:val="NormalWeb"/>
      </w:pPr>
      <w:r>
        <w:t xml:space="preserve">Drawing from </w:t>
      </w:r>
      <w:r>
        <w:rPr>
          <w:rStyle w:val="Strong"/>
        </w:rPr>
        <w:t>Situational Crisis Communication Theory (SCCT)</w:t>
      </w:r>
      <w:r>
        <w:t xml:space="preserve">, the “Rebuild” strategy is most appropriate here. Since the fraud is categorized as a preventable crisis, SCCT recommends a strong acknowledgment of responsibility, public apology, compensation (if applicable), and visible corrective actions (Coombs &amp; Holladay, 2002). Château Marais has the opportunity to lead by example—publishing internal audits, collaborating with investigators, and ensuring complete financial transparency. These actions are not just </w:t>
      </w:r>
      <w:proofErr w:type="spellStart"/>
      <w:r>
        <w:t>reputationally</w:t>
      </w:r>
      <w:proofErr w:type="spellEnd"/>
      <w:r>
        <w:t xml:space="preserve"> valuable but are essential for long-term organizational integrity.</w:t>
      </w:r>
    </w:p>
    <w:p w:rsidR="00D82413" w:rsidRDefault="00D82413" w:rsidP="00D82413">
      <w:pPr>
        <w:pStyle w:val="NormalWeb"/>
      </w:pPr>
      <w:r>
        <w:t xml:space="preserve">Additionally, the crisis plan has demonstrated the importance of </w:t>
      </w:r>
      <w:proofErr w:type="spellStart"/>
      <w:r>
        <w:rPr>
          <w:rStyle w:val="Strong"/>
        </w:rPr>
        <w:t>Hofstede’s</w:t>
      </w:r>
      <w:proofErr w:type="spellEnd"/>
      <w:r>
        <w:rPr>
          <w:rStyle w:val="Strong"/>
        </w:rPr>
        <w:t xml:space="preserve"> Cultural Dimensions</w:t>
      </w:r>
      <w:r>
        <w:t>, especially when communicating across different jurisdictions. In France, where uncertainty avoidance is high, both internal and external audiences demand structured reassurance and decisive governance reform (</w:t>
      </w:r>
      <w:proofErr w:type="spellStart"/>
      <w:r>
        <w:t>Hofstede</w:t>
      </w:r>
      <w:proofErr w:type="spellEnd"/>
      <w:r>
        <w:t xml:space="preserve"> Insights, 2024). For international investors and guests, who may belong to lower power distance or individualistic cultures, direct and transparent communication is vital. Thus, this plan has recommended segmented communication strategies tailored to diverse cultural expectations to ensure clarity and resonance.</w:t>
      </w:r>
    </w:p>
    <w:p w:rsidR="00D82413" w:rsidRDefault="00D82413" w:rsidP="00D82413">
      <w:pPr>
        <w:pStyle w:val="NormalWeb"/>
      </w:pPr>
      <w:r>
        <w:t xml:space="preserve">Internally, the damage to employee morale must not be underestimated. Scandals involving senior leadership can create a toxic mix of fear, confusion, and disengagement among staff (Meyer &amp; Allen, 1991). By facilitating transparent town halls, offering staff reassurances, and implementing secure anonymous feedback systems, Château Marais can begin the long process of cultural healing. Employees who feel respected and informed are more likely to remain engaged and support the organization through its recovery (Ulmer, </w:t>
      </w:r>
      <w:proofErr w:type="spellStart"/>
      <w:r>
        <w:t>Sellnow</w:t>
      </w:r>
      <w:proofErr w:type="spellEnd"/>
      <w:r>
        <w:t xml:space="preserve"> &amp; Seeger, 2010).</w:t>
      </w:r>
    </w:p>
    <w:p w:rsidR="00D82413" w:rsidRDefault="00D82413" w:rsidP="00D82413">
      <w:pPr>
        <w:spacing w:before="100" w:beforeAutospacing="1" w:after="100" w:afterAutospacing="1" w:line="240" w:lineRule="auto"/>
        <w:outlineLvl w:val="1"/>
        <w:rPr>
          <w:rFonts w:ascii="Times New Roman" w:eastAsia="Times New Roman" w:hAnsi="Times New Roman" w:cs="Times New Roman"/>
          <w:b/>
          <w:bCs/>
          <w:sz w:val="36"/>
          <w:szCs w:val="36"/>
        </w:rPr>
      </w:pPr>
      <w:r>
        <w:t xml:space="preserve">In conclusion, while the financial fraud scandal has undoubtedly scarred Château </w:t>
      </w:r>
      <w:proofErr w:type="spellStart"/>
      <w:r>
        <w:t>Marais’s</w:t>
      </w:r>
      <w:proofErr w:type="spellEnd"/>
      <w:r>
        <w:t xml:space="preserve"> reputation, it also provides a defining moment for institutional learning and reinvention. By aligning its crisis response with SCCT principles, acknowledging cultural expectations, and placing transparency at the center of its communication efforts, the brand can emerge stronger and more credible. The road to recovery will require time, consistency, and humility—but with accountability and sincerity, even luxury brands marred by scandal can regain their prestige and the loyalty of those they serve.</w:t>
      </w:r>
      <w:r w:rsidRPr="00D82413">
        <w:rPr>
          <w:rFonts w:ascii="Times New Roman" w:eastAsia="Times New Roman" w:hAnsi="Times New Roman" w:cs="Times New Roman"/>
          <w:b/>
          <w:bCs/>
          <w:sz w:val="36"/>
          <w:szCs w:val="36"/>
        </w:rPr>
        <w:t xml:space="preserve"> </w:t>
      </w:r>
    </w:p>
    <w:p w:rsidR="00D82413" w:rsidRDefault="00D82413" w:rsidP="00D82413">
      <w:pPr>
        <w:spacing w:before="100" w:beforeAutospacing="1" w:after="100" w:afterAutospacing="1" w:line="240" w:lineRule="auto"/>
        <w:outlineLvl w:val="1"/>
        <w:rPr>
          <w:rFonts w:ascii="Times New Roman" w:eastAsia="Times New Roman" w:hAnsi="Times New Roman" w:cs="Times New Roman"/>
          <w:b/>
          <w:bCs/>
          <w:sz w:val="36"/>
          <w:szCs w:val="36"/>
        </w:rPr>
      </w:pPr>
    </w:p>
    <w:p w:rsidR="00D82413" w:rsidRPr="00567EE0" w:rsidRDefault="00D82413" w:rsidP="00D82413">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 xml:space="preserve">9. REFERENCES </w:t>
      </w:r>
    </w:p>
    <w:p w:rsidR="00D82413" w:rsidRDefault="00D82413" w:rsidP="00D82413">
      <w:pPr>
        <w:pStyle w:val="NormalWeb"/>
      </w:pPr>
    </w:p>
    <w:p w:rsidR="00D82413" w:rsidRDefault="00D82413" w:rsidP="00D82413">
      <w:pPr>
        <w:pStyle w:val="NormalWeb"/>
        <w:numPr>
          <w:ilvl w:val="0"/>
          <w:numId w:val="15"/>
        </w:numPr>
      </w:pPr>
      <w:r>
        <w:lastRenderedPageBreak/>
        <w:t xml:space="preserve">Coombs, W. T. (2007). </w:t>
      </w:r>
      <w:r>
        <w:rPr>
          <w:rStyle w:val="Emphasis"/>
          <w:rFonts w:eastAsiaTheme="majorEastAsia"/>
        </w:rPr>
        <w:t xml:space="preserve">Protecting Organization Reputations </w:t>
      </w:r>
      <w:proofErr w:type="gramStart"/>
      <w:r>
        <w:rPr>
          <w:rStyle w:val="Emphasis"/>
          <w:rFonts w:eastAsiaTheme="majorEastAsia"/>
        </w:rPr>
        <w:t>During</w:t>
      </w:r>
      <w:proofErr w:type="gramEnd"/>
      <w:r>
        <w:rPr>
          <w:rStyle w:val="Emphasis"/>
          <w:rFonts w:eastAsiaTheme="majorEastAsia"/>
        </w:rPr>
        <w:t xml:space="preserve"> a Crisis: The Development and Application of Situational Crisis Communication Theory</w:t>
      </w:r>
      <w:r>
        <w:t>. Corporate Reputation Review, 10(3), 163–176.</w:t>
      </w:r>
    </w:p>
    <w:p w:rsidR="00D82413" w:rsidRDefault="00D82413" w:rsidP="00D82413">
      <w:pPr>
        <w:pStyle w:val="NormalWeb"/>
        <w:numPr>
          <w:ilvl w:val="0"/>
          <w:numId w:val="15"/>
        </w:numPr>
      </w:pPr>
      <w:r>
        <w:t xml:space="preserve">Coombs, W. T., &amp; Holladay, S. J. (2002). Helping crisis managers protect reputational assets: Initial tests of the Situational Crisis Communication Theory. </w:t>
      </w:r>
      <w:r>
        <w:rPr>
          <w:rStyle w:val="Emphasis"/>
          <w:rFonts w:eastAsiaTheme="majorEastAsia"/>
        </w:rPr>
        <w:t>Management Communication Quarterly</w:t>
      </w:r>
      <w:r>
        <w:t>, 16(2), 165–186.</w:t>
      </w:r>
    </w:p>
    <w:p w:rsidR="00D82413" w:rsidRDefault="00D82413" w:rsidP="00D82413">
      <w:pPr>
        <w:pStyle w:val="NormalWeb"/>
        <w:numPr>
          <w:ilvl w:val="0"/>
          <w:numId w:val="15"/>
        </w:numPr>
      </w:pPr>
      <w:proofErr w:type="spellStart"/>
      <w:r>
        <w:t>Heide</w:t>
      </w:r>
      <w:proofErr w:type="spellEnd"/>
      <w:r>
        <w:t xml:space="preserve">, M., &amp; </w:t>
      </w:r>
      <w:proofErr w:type="spellStart"/>
      <w:r>
        <w:t>Simonsson</w:t>
      </w:r>
      <w:proofErr w:type="spellEnd"/>
      <w:r>
        <w:t xml:space="preserve">, C. (2014). Developing internal crisis communication: New roles and practices of communication professionals. </w:t>
      </w:r>
      <w:r>
        <w:rPr>
          <w:rStyle w:val="Emphasis"/>
          <w:rFonts w:eastAsiaTheme="majorEastAsia"/>
        </w:rPr>
        <w:t>Corporate Communications: An International Journal</w:t>
      </w:r>
      <w:r>
        <w:t>, 19(2), 128–146.</w:t>
      </w:r>
    </w:p>
    <w:p w:rsidR="00D82413" w:rsidRDefault="00D82413" w:rsidP="00D82413">
      <w:pPr>
        <w:pStyle w:val="NormalWeb"/>
        <w:numPr>
          <w:ilvl w:val="0"/>
          <w:numId w:val="15"/>
        </w:numPr>
      </w:pPr>
      <w:proofErr w:type="spellStart"/>
      <w:r>
        <w:t>Hofstede</w:t>
      </w:r>
      <w:proofErr w:type="spellEnd"/>
      <w:r>
        <w:t xml:space="preserve"> Insights. (2024). </w:t>
      </w:r>
      <w:r>
        <w:rPr>
          <w:rStyle w:val="Emphasis"/>
          <w:rFonts w:eastAsiaTheme="majorEastAsia"/>
        </w:rPr>
        <w:t>Country Comparison: France</w:t>
      </w:r>
      <w:r>
        <w:t xml:space="preserve">. Retrieved from </w:t>
      </w:r>
      <w:hyperlink r:id="rId6" w:history="1">
        <w:r>
          <w:rPr>
            <w:rStyle w:val="Hyperlink"/>
          </w:rPr>
          <w:t>https://www.hofstede-insights.com</w:t>
        </w:r>
      </w:hyperlink>
    </w:p>
    <w:p w:rsidR="00D82413" w:rsidRDefault="00D82413" w:rsidP="00D82413">
      <w:pPr>
        <w:pStyle w:val="NormalWeb"/>
        <w:numPr>
          <w:ilvl w:val="0"/>
          <w:numId w:val="15"/>
        </w:numPr>
      </w:pPr>
      <w:r>
        <w:t xml:space="preserve">Meyer, J. P., &amp; Allen, N. J. (1991). A three-component conceptualization of organizational commitment. </w:t>
      </w:r>
      <w:r>
        <w:rPr>
          <w:rStyle w:val="Emphasis"/>
          <w:rFonts w:eastAsiaTheme="majorEastAsia"/>
        </w:rPr>
        <w:t>Human Resource Management Review</w:t>
      </w:r>
      <w:r>
        <w:t>, 1(1), 61–89.</w:t>
      </w:r>
    </w:p>
    <w:p w:rsidR="00F32297" w:rsidRPr="00D82413" w:rsidRDefault="00D82413" w:rsidP="00D82413">
      <w:pPr>
        <w:pStyle w:val="NormalWeb"/>
        <w:numPr>
          <w:ilvl w:val="0"/>
          <w:numId w:val="15"/>
        </w:numPr>
      </w:pPr>
      <w:r>
        <w:t xml:space="preserve">Ulmer, R. R., </w:t>
      </w:r>
      <w:proofErr w:type="spellStart"/>
      <w:r>
        <w:t>Sellnow</w:t>
      </w:r>
      <w:proofErr w:type="spellEnd"/>
      <w:r>
        <w:t xml:space="preserve">, T. L., &amp; Seeger, M. W. (2010). </w:t>
      </w:r>
      <w:r>
        <w:rPr>
          <w:rStyle w:val="Emphasis"/>
          <w:rFonts w:eastAsiaTheme="majorEastAsia"/>
        </w:rPr>
        <w:t>Effective Crisis Communication: Moving from Crisis to Opportunity</w:t>
      </w:r>
      <w:r>
        <w:t>. SAGE Publications.</w:t>
      </w:r>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Coombs, W. T. (2007). </w:t>
      </w:r>
      <w:r w:rsidRPr="00567EE0">
        <w:rPr>
          <w:rFonts w:ascii="Times New Roman" w:eastAsia="Times New Roman" w:hAnsi="Times New Roman" w:cs="Times New Roman"/>
          <w:i/>
          <w:iCs/>
          <w:sz w:val="24"/>
          <w:szCs w:val="24"/>
        </w:rPr>
        <w:t>Ongoing Crisis Communication: Planning, Managing, and Responding</w:t>
      </w:r>
      <w:r w:rsidRPr="00567EE0">
        <w:rPr>
          <w:rFonts w:ascii="Times New Roman" w:eastAsia="Times New Roman" w:hAnsi="Times New Roman" w:cs="Times New Roman"/>
          <w:sz w:val="24"/>
          <w:szCs w:val="24"/>
        </w:rPr>
        <w:t>. Sage.</w:t>
      </w:r>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proofErr w:type="spellStart"/>
      <w:r w:rsidRPr="00567EE0">
        <w:rPr>
          <w:rFonts w:ascii="Times New Roman" w:eastAsia="Times New Roman" w:hAnsi="Times New Roman" w:cs="Times New Roman"/>
          <w:sz w:val="24"/>
          <w:szCs w:val="24"/>
        </w:rPr>
        <w:t>Hofstede</w:t>
      </w:r>
      <w:proofErr w:type="spellEnd"/>
      <w:r w:rsidRPr="00567EE0">
        <w:rPr>
          <w:rFonts w:ascii="Times New Roman" w:eastAsia="Times New Roman" w:hAnsi="Times New Roman" w:cs="Times New Roman"/>
          <w:sz w:val="24"/>
          <w:szCs w:val="24"/>
        </w:rPr>
        <w:t xml:space="preserve">, G. (2011). </w:t>
      </w:r>
      <w:proofErr w:type="spellStart"/>
      <w:r w:rsidRPr="00567EE0">
        <w:rPr>
          <w:rFonts w:ascii="Times New Roman" w:eastAsia="Times New Roman" w:hAnsi="Times New Roman" w:cs="Times New Roman"/>
          <w:i/>
          <w:iCs/>
          <w:sz w:val="24"/>
          <w:szCs w:val="24"/>
        </w:rPr>
        <w:t>Dimensionalizing</w:t>
      </w:r>
      <w:proofErr w:type="spellEnd"/>
      <w:r w:rsidRPr="00567EE0">
        <w:rPr>
          <w:rFonts w:ascii="Times New Roman" w:eastAsia="Times New Roman" w:hAnsi="Times New Roman" w:cs="Times New Roman"/>
          <w:i/>
          <w:iCs/>
          <w:sz w:val="24"/>
          <w:szCs w:val="24"/>
        </w:rPr>
        <w:t xml:space="preserve"> Cultures: The </w:t>
      </w:r>
      <w:proofErr w:type="spellStart"/>
      <w:r w:rsidRPr="00567EE0">
        <w:rPr>
          <w:rFonts w:ascii="Times New Roman" w:eastAsia="Times New Roman" w:hAnsi="Times New Roman" w:cs="Times New Roman"/>
          <w:i/>
          <w:iCs/>
          <w:sz w:val="24"/>
          <w:szCs w:val="24"/>
        </w:rPr>
        <w:t>Hofstede</w:t>
      </w:r>
      <w:proofErr w:type="spellEnd"/>
      <w:r w:rsidRPr="00567EE0">
        <w:rPr>
          <w:rFonts w:ascii="Times New Roman" w:eastAsia="Times New Roman" w:hAnsi="Times New Roman" w:cs="Times New Roman"/>
          <w:i/>
          <w:iCs/>
          <w:sz w:val="24"/>
          <w:szCs w:val="24"/>
        </w:rPr>
        <w:t xml:space="preserve"> Model in Context</w:t>
      </w:r>
      <w:r w:rsidRPr="00567EE0">
        <w:rPr>
          <w:rFonts w:ascii="Times New Roman" w:eastAsia="Times New Roman" w:hAnsi="Times New Roman" w:cs="Times New Roman"/>
          <w:sz w:val="24"/>
          <w:szCs w:val="24"/>
        </w:rPr>
        <w:t>. Online Readings in Psychology and Culture, 2(1).</w:t>
      </w:r>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Forbes. (2020). </w:t>
      </w:r>
      <w:r w:rsidRPr="00567EE0">
        <w:rPr>
          <w:rFonts w:ascii="Times New Roman" w:eastAsia="Times New Roman" w:hAnsi="Times New Roman" w:cs="Times New Roman"/>
          <w:i/>
          <w:iCs/>
          <w:sz w:val="24"/>
          <w:szCs w:val="24"/>
        </w:rPr>
        <w:t>How Accor Managed Its Financial Transparency Crisis</w:t>
      </w:r>
      <w:r w:rsidRPr="00567EE0">
        <w:rPr>
          <w:rFonts w:ascii="Times New Roman" w:eastAsia="Times New Roman" w:hAnsi="Times New Roman" w:cs="Times New Roman"/>
          <w:sz w:val="24"/>
          <w:szCs w:val="24"/>
        </w:rPr>
        <w:t xml:space="preserve">. Retrieved from </w:t>
      </w:r>
      <w:hyperlink r:id="rId7" w:tgtFrame="_new" w:history="1">
        <w:r w:rsidRPr="00567EE0">
          <w:rPr>
            <w:rFonts w:ascii="Times New Roman" w:eastAsia="Times New Roman" w:hAnsi="Times New Roman" w:cs="Times New Roman"/>
            <w:color w:val="0000FF"/>
            <w:sz w:val="24"/>
            <w:szCs w:val="24"/>
            <w:u w:val="single"/>
          </w:rPr>
          <w:t>https://www.forbes.com</w:t>
        </w:r>
      </w:hyperlink>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proofErr w:type="spellStart"/>
      <w:r w:rsidRPr="00567EE0">
        <w:rPr>
          <w:rFonts w:ascii="Times New Roman" w:eastAsia="Times New Roman" w:hAnsi="Times New Roman" w:cs="Times New Roman"/>
          <w:sz w:val="24"/>
          <w:szCs w:val="24"/>
        </w:rPr>
        <w:t>Parguel</w:t>
      </w:r>
      <w:proofErr w:type="spellEnd"/>
      <w:r w:rsidRPr="00567EE0">
        <w:rPr>
          <w:rFonts w:ascii="Times New Roman" w:eastAsia="Times New Roman" w:hAnsi="Times New Roman" w:cs="Times New Roman"/>
          <w:sz w:val="24"/>
          <w:szCs w:val="24"/>
        </w:rPr>
        <w:t xml:space="preserve">, B., </w:t>
      </w:r>
      <w:proofErr w:type="spellStart"/>
      <w:r w:rsidRPr="00567EE0">
        <w:rPr>
          <w:rFonts w:ascii="Times New Roman" w:eastAsia="Times New Roman" w:hAnsi="Times New Roman" w:cs="Times New Roman"/>
          <w:sz w:val="24"/>
          <w:szCs w:val="24"/>
        </w:rPr>
        <w:t>Benoît</w:t>
      </w:r>
      <w:proofErr w:type="spellEnd"/>
      <w:r w:rsidRPr="00567EE0">
        <w:rPr>
          <w:rFonts w:ascii="Times New Roman" w:eastAsia="Times New Roman" w:hAnsi="Times New Roman" w:cs="Times New Roman"/>
          <w:sz w:val="24"/>
          <w:szCs w:val="24"/>
        </w:rPr>
        <w:t xml:space="preserve">-Moreau, F., &amp; </w:t>
      </w:r>
      <w:proofErr w:type="spellStart"/>
      <w:r w:rsidRPr="00567EE0">
        <w:rPr>
          <w:rFonts w:ascii="Times New Roman" w:eastAsia="Times New Roman" w:hAnsi="Times New Roman" w:cs="Times New Roman"/>
          <w:sz w:val="24"/>
          <w:szCs w:val="24"/>
        </w:rPr>
        <w:t>Larceneux</w:t>
      </w:r>
      <w:proofErr w:type="spellEnd"/>
      <w:r w:rsidRPr="00567EE0">
        <w:rPr>
          <w:rFonts w:ascii="Times New Roman" w:eastAsia="Times New Roman" w:hAnsi="Times New Roman" w:cs="Times New Roman"/>
          <w:sz w:val="24"/>
          <w:szCs w:val="24"/>
        </w:rPr>
        <w:t xml:space="preserve">, F. (2021). </w:t>
      </w:r>
      <w:r w:rsidRPr="00567EE0">
        <w:rPr>
          <w:rFonts w:ascii="Times New Roman" w:eastAsia="Times New Roman" w:hAnsi="Times New Roman" w:cs="Times New Roman"/>
          <w:i/>
          <w:iCs/>
          <w:sz w:val="24"/>
          <w:szCs w:val="24"/>
        </w:rPr>
        <w:t>Luxury Brand Ethics and Trust Recovery</w:t>
      </w:r>
      <w:r w:rsidRPr="00567EE0">
        <w:rPr>
          <w:rFonts w:ascii="Times New Roman" w:eastAsia="Times New Roman" w:hAnsi="Times New Roman" w:cs="Times New Roman"/>
          <w:sz w:val="24"/>
          <w:szCs w:val="24"/>
        </w:rPr>
        <w:t>. Journal of Business Ethics, 168(4), 745–761.</w:t>
      </w:r>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European Corporate Governance Institute. (2023). </w:t>
      </w:r>
      <w:r w:rsidRPr="00567EE0">
        <w:rPr>
          <w:rFonts w:ascii="Times New Roman" w:eastAsia="Times New Roman" w:hAnsi="Times New Roman" w:cs="Times New Roman"/>
          <w:i/>
          <w:iCs/>
          <w:sz w:val="24"/>
          <w:szCs w:val="24"/>
        </w:rPr>
        <w:t>Best Practices in Corporate Fraud Response</w:t>
      </w:r>
      <w:r w:rsidRPr="00567EE0">
        <w:rPr>
          <w:rFonts w:ascii="Times New Roman" w:eastAsia="Times New Roman" w:hAnsi="Times New Roman" w:cs="Times New Roman"/>
          <w:sz w:val="24"/>
          <w:szCs w:val="24"/>
        </w:rPr>
        <w:t xml:space="preserve">. </w:t>
      </w:r>
      <w:hyperlink r:id="rId8" w:tgtFrame="_new" w:history="1">
        <w:r w:rsidRPr="00567EE0">
          <w:rPr>
            <w:rFonts w:ascii="Times New Roman" w:eastAsia="Times New Roman" w:hAnsi="Times New Roman" w:cs="Times New Roman"/>
            <w:color w:val="0000FF"/>
            <w:sz w:val="24"/>
            <w:szCs w:val="24"/>
            <w:u w:val="single"/>
          </w:rPr>
          <w:t>https://www.ecgi.global</w:t>
        </w:r>
      </w:hyperlink>
    </w:p>
    <w:p w:rsidR="00567EE0" w:rsidRPr="00567EE0"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PwC. (2022). </w:t>
      </w:r>
      <w:r w:rsidRPr="00567EE0">
        <w:rPr>
          <w:rFonts w:ascii="Times New Roman" w:eastAsia="Times New Roman" w:hAnsi="Times New Roman" w:cs="Times New Roman"/>
          <w:i/>
          <w:iCs/>
          <w:sz w:val="24"/>
          <w:szCs w:val="24"/>
        </w:rPr>
        <w:t>The Role of Audit in Crisis Management</w:t>
      </w:r>
      <w:r w:rsidRPr="00567EE0">
        <w:rPr>
          <w:rFonts w:ascii="Times New Roman" w:eastAsia="Times New Roman" w:hAnsi="Times New Roman" w:cs="Times New Roman"/>
          <w:sz w:val="24"/>
          <w:szCs w:val="24"/>
        </w:rPr>
        <w:t xml:space="preserve">. </w:t>
      </w:r>
      <w:hyperlink r:id="rId9" w:tgtFrame="_new" w:history="1">
        <w:r w:rsidRPr="00567EE0">
          <w:rPr>
            <w:rFonts w:ascii="Times New Roman" w:eastAsia="Times New Roman" w:hAnsi="Times New Roman" w:cs="Times New Roman"/>
            <w:color w:val="0000FF"/>
            <w:sz w:val="24"/>
            <w:szCs w:val="24"/>
            <w:u w:val="single"/>
          </w:rPr>
          <w:t>https://www.pwc.com</w:t>
        </w:r>
      </w:hyperlink>
    </w:p>
    <w:p w:rsidR="00567EE0" w:rsidRPr="00072E65" w:rsidRDefault="00567EE0" w:rsidP="00567EE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 xml:space="preserve">UNWTO. (2024). </w:t>
      </w:r>
      <w:r w:rsidRPr="00567EE0">
        <w:rPr>
          <w:rFonts w:ascii="Times New Roman" w:eastAsia="Times New Roman" w:hAnsi="Times New Roman" w:cs="Times New Roman"/>
          <w:i/>
          <w:iCs/>
          <w:sz w:val="24"/>
          <w:szCs w:val="24"/>
        </w:rPr>
        <w:t>Ethical Business Guidelines for Tourism</w:t>
      </w:r>
      <w:r w:rsidRPr="00567EE0">
        <w:rPr>
          <w:rFonts w:ascii="Times New Roman" w:eastAsia="Times New Roman" w:hAnsi="Times New Roman" w:cs="Times New Roman"/>
          <w:sz w:val="24"/>
          <w:szCs w:val="24"/>
        </w:rPr>
        <w:t xml:space="preserve">. </w:t>
      </w:r>
      <w:hyperlink r:id="rId10" w:tgtFrame="_new" w:history="1">
        <w:r w:rsidRPr="00567EE0">
          <w:rPr>
            <w:rFonts w:ascii="Times New Roman" w:eastAsia="Times New Roman" w:hAnsi="Times New Roman" w:cs="Times New Roman"/>
            <w:color w:val="0000FF"/>
            <w:sz w:val="24"/>
            <w:szCs w:val="24"/>
            <w:u w:val="single"/>
          </w:rPr>
          <w:t>https://www.unwto.org</w:t>
        </w:r>
      </w:hyperlink>
    </w:p>
    <w:p w:rsidR="00072E65" w:rsidRDefault="00072E65" w:rsidP="00072E65">
      <w:pPr>
        <w:pStyle w:val="NormalWeb"/>
        <w:numPr>
          <w:ilvl w:val="0"/>
          <w:numId w:val="14"/>
        </w:numPr>
      </w:pPr>
      <w:r>
        <w:t xml:space="preserve">Coombs, W. T. (2007). </w:t>
      </w:r>
      <w:r>
        <w:rPr>
          <w:rStyle w:val="Emphasis"/>
        </w:rPr>
        <w:t>Ongoing Crisis Communication: Planning, Managing, and Responding</w:t>
      </w:r>
      <w:r>
        <w:t>. SAGE Publications.</w:t>
      </w:r>
    </w:p>
    <w:p w:rsidR="00072E65" w:rsidRDefault="00072E65" w:rsidP="00072E65">
      <w:pPr>
        <w:pStyle w:val="NormalWeb"/>
        <w:numPr>
          <w:ilvl w:val="0"/>
          <w:numId w:val="14"/>
        </w:numPr>
      </w:pPr>
      <w:r>
        <w:t xml:space="preserve">Coombs, W. T., &amp; Holladay, S. J. (2012). </w:t>
      </w:r>
      <w:r>
        <w:rPr>
          <w:rStyle w:val="Emphasis"/>
        </w:rPr>
        <w:t>The Handbook of Crisis Communication</w:t>
      </w:r>
      <w:r>
        <w:t>. Wiley-Blackwell.</w:t>
      </w:r>
    </w:p>
    <w:p w:rsidR="00072E65" w:rsidRDefault="00072E65" w:rsidP="00072E65">
      <w:pPr>
        <w:pStyle w:val="NormalWeb"/>
        <w:numPr>
          <w:ilvl w:val="0"/>
          <w:numId w:val="14"/>
        </w:numPr>
      </w:pPr>
      <w:proofErr w:type="spellStart"/>
      <w:r>
        <w:t>Doney</w:t>
      </w:r>
      <w:proofErr w:type="spellEnd"/>
      <w:r>
        <w:t xml:space="preserve">, P. M., Cannon, J. P., &amp; Mullen, M. R. (1998). Understanding the influence of national culture on the development of trust. </w:t>
      </w:r>
      <w:r>
        <w:rPr>
          <w:rStyle w:val="Emphasis"/>
        </w:rPr>
        <w:t>Academy of Management Review</w:t>
      </w:r>
      <w:r>
        <w:t>, 23(3), 601–620.</w:t>
      </w:r>
    </w:p>
    <w:p w:rsidR="00A41B18" w:rsidRDefault="00A41B18" w:rsidP="00A41B18">
      <w:pPr>
        <w:pStyle w:val="NormalWeb"/>
        <w:numPr>
          <w:ilvl w:val="0"/>
          <w:numId w:val="14"/>
        </w:numPr>
      </w:pPr>
      <w:r>
        <w:t xml:space="preserve">Benoit, W. L. (1995). </w:t>
      </w:r>
      <w:r>
        <w:rPr>
          <w:rStyle w:val="Emphasis"/>
        </w:rPr>
        <w:t>Accounts, excuses, and apologies: A theory of image restoration</w:t>
      </w:r>
      <w:r>
        <w:t>. SUNY Press.</w:t>
      </w:r>
    </w:p>
    <w:p w:rsidR="00A41B18" w:rsidRDefault="00A41B18" w:rsidP="00A41B18">
      <w:pPr>
        <w:pStyle w:val="NormalWeb"/>
        <w:numPr>
          <w:ilvl w:val="0"/>
          <w:numId w:val="14"/>
        </w:numPr>
      </w:pPr>
      <w:r>
        <w:t xml:space="preserve">Coombs, W. T., &amp; Holladay, S. J. (2012). </w:t>
      </w:r>
      <w:r>
        <w:rPr>
          <w:rStyle w:val="Emphasis"/>
        </w:rPr>
        <w:t>The handbook of crisis communication</w:t>
      </w:r>
      <w:r>
        <w:t xml:space="preserve">. </w:t>
      </w:r>
      <w:proofErr w:type="spellStart"/>
      <w:r>
        <w:t>Wiley</w:t>
      </w:r>
      <w:r>
        <w:noBreakHyphen/>
        <w:t>Blackwell</w:t>
      </w:r>
      <w:proofErr w:type="spellEnd"/>
      <w:r>
        <w:t>.</w:t>
      </w:r>
    </w:p>
    <w:p w:rsidR="00A41B18" w:rsidRDefault="00A41B18" w:rsidP="00A41B18">
      <w:pPr>
        <w:pStyle w:val="NormalWeb"/>
        <w:numPr>
          <w:ilvl w:val="0"/>
          <w:numId w:val="14"/>
        </w:numPr>
      </w:pPr>
      <w:r>
        <w:t xml:space="preserve">Meyer, J. P., &amp; Allen, N. J. (1991). A three-component conceptualization of organizational commitment. </w:t>
      </w:r>
      <w:r>
        <w:rPr>
          <w:rStyle w:val="Emphasis"/>
        </w:rPr>
        <w:t>Human Resource Management Review</w:t>
      </w:r>
      <w:r>
        <w:t>, 1(1), 61–89.</w:t>
      </w:r>
    </w:p>
    <w:p w:rsidR="00A41B18" w:rsidRDefault="00A41B18" w:rsidP="00A41B18">
      <w:pPr>
        <w:pStyle w:val="NormalWeb"/>
        <w:numPr>
          <w:ilvl w:val="0"/>
          <w:numId w:val="14"/>
        </w:numPr>
      </w:pPr>
      <w:r>
        <w:rPr>
          <w:rStyle w:val="Emphasis"/>
        </w:rPr>
        <w:t>Note: Academically cited sources from the web searches include empirical evidence supporting stock dips, SCCT strategies, and language nuance in apologies: (</w:t>
      </w:r>
      <w:hyperlink r:id="rId11" w:tooltip="Crisis communication" w:history="1">
        <w:r>
          <w:rPr>
            <w:rStyle w:val="Hyperlink"/>
            <w:i/>
            <w:iCs/>
          </w:rPr>
          <w:t>en.wikipedia.org</w:t>
        </w:r>
      </w:hyperlink>
      <w:r>
        <w:rPr>
          <w:rStyle w:val="Emphasis"/>
        </w:rPr>
        <w:t xml:space="preserve">, </w:t>
      </w:r>
      <w:hyperlink r:id="rId12" w:tooltip="Situational Crisis Communication Theory and Corporate Reputation" w:history="1">
        <w:r>
          <w:rPr>
            <w:rStyle w:val="Hyperlink"/>
            <w:i/>
            <w:iCs/>
          </w:rPr>
          <w:t>researchgate.net</w:t>
        </w:r>
      </w:hyperlink>
      <w:r>
        <w:rPr>
          <w:rStyle w:val="Emphasis"/>
        </w:rPr>
        <w:t>).</w:t>
      </w:r>
    </w:p>
    <w:p w:rsidR="00072E65" w:rsidRDefault="00072E65" w:rsidP="00072E65">
      <w:pPr>
        <w:pStyle w:val="NormalWeb"/>
        <w:numPr>
          <w:ilvl w:val="0"/>
          <w:numId w:val="14"/>
        </w:numPr>
      </w:pPr>
      <w:r>
        <w:t xml:space="preserve">Eriksson, M. (2018). Lessons from the </w:t>
      </w:r>
      <w:proofErr w:type="spellStart"/>
      <w:r>
        <w:t>Wirecard</w:t>
      </w:r>
      <w:proofErr w:type="spellEnd"/>
      <w:r>
        <w:t xml:space="preserve"> scandal: Corporate governance and compliance failures. </w:t>
      </w:r>
      <w:r>
        <w:rPr>
          <w:rStyle w:val="Emphasis"/>
        </w:rPr>
        <w:t>Journal of Financial Crime</w:t>
      </w:r>
      <w:r>
        <w:t>, 25(4), 945–957.</w:t>
      </w:r>
    </w:p>
    <w:p w:rsidR="00072E65" w:rsidRDefault="00072E65" w:rsidP="00072E65">
      <w:pPr>
        <w:pStyle w:val="NormalWeb"/>
        <w:numPr>
          <w:ilvl w:val="0"/>
          <w:numId w:val="14"/>
        </w:numPr>
      </w:pPr>
      <w:proofErr w:type="spellStart"/>
      <w:r>
        <w:lastRenderedPageBreak/>
        <w:t>Hofstede</w:t>
      </w:r>
      <w:proofErr w:type="spellEnd"/>
      <w:r>
        <w:t xml:space="preserve"> Insights. (2023). </w:t>
      </w:r>
      <w:r>
        <w:rPr>
          <w:rStyle w:val="Emphasis"/>
        </w:rPr>
        <w:t xml:space="preserve">Country Comparison: France, UK, </w:t>
      </w:r>
      <w:proofErr w:type="gramStart"/>
      <w:r>
        <w:rPr>
          <w:rStyle w:val="Emphasis"/>
        </w:rPr>
        <w:t>Germany</w:t>
      </w:r>
      <w:proofErr w:type="gramEnd"/>
      <w:r>
        <w:t xml:space="preserve">. Retrieved from </w:t>
      </w:r>
      <w:hyperlink r:id="rId13" w:tgtFrame="_new" w:history="1">
        <w:r>
          <w:rPr>
            <w:rStyle w:val="Hyperlink"/>
          </w:rPr>
          <w:t>https://www.hofstede-insights.com</w:t>
        </w:r>
      </w:hyperlink>
    </w:p>
    <w:p w:rsidR="00072E65" w:rsidRDefault="00072E65" w:rsidP="00072E65">
      <w:pPr>
        <w:pStyle w:val="NormalWeb"/>
        <w:numPr>
          <w:ilvl w:val="0"/>
          <w:numId w:val="14"/>
        </w:numPr>
      </w:pPr>
      <w:r>
        <w:t xml:space="preserve">Munro, A. (2014). Learning from the </w:t>
      </w:r>
      <w:proofErr w:type="spellStart"/>
      <w:r>
        <w:t>Parmalat</w:t>
      </w:r>
      <w:proofErr w:type="spellEnd"/>
      <w:r>
        <w:t xml:space="preserve"> Case: Audit Failures and Governance Breakdown. </w:t>
      </w:r>
      <w:r>
        <w:rPr>
          <w:rStyle w:val="Emphasis"/>
        </w:rPr>
        <w:t>International Journal of Disclosure and Governance</w:t>
      </w:r>
      <w:r>
        <w:t>, 11(1), 28–42.</w:t>
      </w:r>
    </w:p>
    <w:p w:rsidR="00072E65" w:rsidRDefault="00072E65" w:rsidP="00072E65">
      <w:pPr>
        <w:pStyle w:val="NormalWeb"/>
        <w:numPr>
          <w:ilvl w:val="0"/>
          <w:numId w:val="14"/>
        </w:numPr>
      </w:pPr>
      <w:r>
        <w:t xml:space="preserve">OECD. (2015). </w:t>
      </w:r>
      <w:r>
        <w:rPr>
          <w:rStyle w:val="Emphasis"/>
        </w:rPr>
        <w:t>G20/OECD Principles of Corporate Governance</w:t>
      </w:r>
      <w:r>
        <w:t>. OECD Publishing.</w:t>
      </w:r>
    </w:p>
    <w:p w:rsidR="00072E65" w:rsidRDefault="00072E65" w:rsidP="00072E65">
      <w:pPr>
        <w:pStyle w:val="NormalWeb"/>
        <w:numPr>
          <w:ilvl w:val="0"/>
          <w:numId w:val="14"/>
        </w:numPr>
      </w:pPr>
      <w:r>
        <w:t xml:space="preserve">PwC. (2023). </w:t>
      </w:r>
      <w:r>
        <w:rPr>
          <w:rStyle w:val="Emphasis"/>
        </w:rPr>
        <w:t>Global Crisis Survey: Managing the Unexpected</w:t>
      </w:r>
      <w:r>
        <w:t>. PricewaterhouseCoopers.</w:t>
      </w:r>
    </w:p>
    <w:p w:rsidR="00072E65" w:rsidRDefault="00072E65" w:rsidP="00072E65">
      <w:pPr>
        <w:pStyle w:val="NormalWeb"/>
        <w:numPr>
          <w:ilvl w:val="0"/>
          <w:numId w:val="14"/>
        </w:numPr>
      </w:pPr>
      <w:r>
        <w:t xml:space="preserve">Deloitte. (2022). </w:t>
      </w:r>
      <w:r>
        <w:rPr>
          <w:rStyle w:val="Emphasis"/>
        </w:rPr>
        <w:t>Responding to Financial Crime: A Practical Guide for the Hospitality Sector</w:t>
      </w:r>
      <w:r>
        <w:t>. Deloitte Insights.</w:t>
      </w:r>
    </w:p>
    <w:p w:rsidR="00072E65" w:rsidRDefault="00072E65" w:rsidP="00072E65">
      <w:pPr>
        <w:pStyle w:val="NormalWeb"/>
        <w:numPr>
          <w:ilvl w:val="0"/>
          <w:numId w:val="14"/>
        </w:numPr>
      </w:pPr>
      <w:r>
        <w:t xml:space="preserve">The Chartered Institute of Public Relations. (2023). </w:t>
      </w:r>
      <w:r>
        <w:rPr>
          <w:rStyle w:val="Emphasis"/>
        </w:rPr>
        <w:t>Crisis Communication Guidelines for Ethical Industries</w:t>
      </w:r>
      <w:r>
        <w:t>.</w:t>
      </w:r>
    </w:p>
    <w:p w:rsidR="00072E65" w:rsidRDefault="00072E65" w:rsidP="00072E65">
      <w:pPr>
        <w:pStyle w:val="NormalWeb"/>
        <w:numPr>
          <w:ilvl w:val="0"/>
          <w:numId w:val="14"/>
        </w:numPr>
      </w:pPr>
      <w:r>
        <w:t xml:space="preserve">European Corporate Governance Institute. (2021). </w:t>
      </w:r>
      <w:r>
        <w:rPr>
          <w:rStyle w:val="Emphasis"/>
        </w:rPr>
        <w:t>Corporate Governance Principles and Guidance for Europe</w:t>
      </w:r>
      <w:r>
        <w:t>.</w:t>
      </w:r>
    </w:p>
    <w:p w:rsidR="00072E65" w:rsidRDefault="00072E65" w:rsidP="00072E65">
      <w:pPr>
        <w:pStyle w:val="NormalWeb"/>
        <w:numPr>
          <w:ilvl w:val="0"/>
          <w:numId w:val="14"/>
        </w:numPr>
      </w:pPr>
      <w:r>
        <w:t xml:space="preserve">ISO. (2021). </w:t>
      </w:r>
      <w:r>
        <w:rPr>
          <w:rStyle w:val="Emphasis"/>
        </w:rPr>
        <w:t>ISO 37000: Governance of Organizations – Guidance</w:t>
      </w:r>
      <w:r>
        <w:t>. International Organization for Standardization.</w:t>
      </w:r>
    </w:p>
    <w:p w:rsidR="00072E65" w:rsidRPr="00CA2E99" w:rsidRDefault="00072E65" w:rsidP="00072E65">
      <w:pPr>
        <w:pStyle w:val="NormalWeb"/>
        <w:numPr>
          <w:ilvl w:val="0"/>
          <w:numId w:val="14"/>
        </w:numPr>
        <w:rPr>
          <w:rStyle w:val="Emphasis"/>
          <w:i w:val="0"/>
          <w:iCs w:val="0"/>
        </w:rPr>
      </w:pPr>
      <w:r>
        <w:t xml:space="preserve">European Association for Business Communication. (2022). </w:t>
      </w:r>
      <w:r>
        <w:rPr>
          <w:rStyle w:val="Emphasis"/>
        </w:rPr>
        <w:t>Business English for Global Stakeholders: Messaging and Tone</w:t>
      </w:r>
    </w:p>
    <w:p w:rsidR="00CA2E99" w:rsidRDefault="00CA2E99" w:rsidP="00CA2E99">
      <w:pPr>
        <w:pStyle w:val="NormalWeb"/>
        <w:numPr>
          <w:ilvl w:val="0"/>
          <w:numId w:val="19"/>
        </w:numPr>
      </w:pPr>
      <w:r>
        <w:t xml:space="preserve">Coombs, W. T. (2007). </w:t>
      </w:r>
      <w:r>
        <w:rPr>
          <w:rStyle w:val="Emphasis"/>
          <w:rFonts w:eastAsiaTheme="majorEastAsia"/>
        </w:rPr>
        <w:t>Ongoing Crisis Communication: Planning, Managing, and Responding</w:t>
      </w:r>
      <w:r>
        <w:t xml:space="preserve"> (2nd </w:t>
      </w:r>
      <w:proofErr w:type="gramStart"/>
      <w:r>
        <w:t>ed</w:t>
      </w:r>
      <w:proofErr w:type="gramEnd"/>
      <w:r>
        <w:t>.). SAGE Publications.</w:t>
      </w:r>
      <w:r>
        <w:br/>
        <w:t>→ For SCCT model and crisis stakeholder reaction theory.</w:t>
      </w:r>
    </w:p>
    <w:p w:rsidR="00CA2E99" w:rsidRDefault="00CA2E99" w:rsidP="00CA2E99">
      <w:pPr>
        <w:pStyle w:val="NormalWeb"/>
        <w:numPr>
          <w:ilvl w:val="0"/>
          <w:numId w:val="19"/>
        </w:numPr>
      </w:pPr>
      <w:r>
        <w:t xml:space="preserve">Deloitte. (2021). </w:t>
      </w:r>
      <w:r>
        <w:rPr>
          <w:rStyle w:val="Emphasis"/>
          <w:rFonts w:eastAsiaTheme="majorEastAsia"/>
        </w:rPr>
        <w:t>Fraud Risk Management: Developing a Strategy for Prevention, Detection, and Response</w:t>
      </w:r>
      <w:r>
        <w:t>.</w:t>
      </w:r>
      <w:r>
        <w:br/>
      </w:r>
      <w:hyperlink r:id="rId14" w:history="1">
        <w:r>
          <w:rPr>
            <w:rStyle w:val="Hyperlink"/>
          </w:rPr>
          <w:t>https://www2.deloitte.com/global/en/pages/risk/articles/fraud-risk-management.html</w:t>
        </w:r>
      </w:hyperlink>
      <w:r>
        <w:br/>
        <w:t xml:space="preserve">→ </w:t>
      </w:r>
      <w:proofErr w:type="gramStart"/>
      <w:r>
        <w:t>For</w:t>
      </w:r>
      <w:proofErr w:type="gramEnd"/>
      <w:r>
        <w:t xml:space="preserve"> audit procedures, internal control failures, and CFO fraud detection mechanisms.</w:t>
      </w:r>
    </w:p>
    <w:p w:rsidR="00CA2E99" w:rsidRDefault="00CA2E99" w:rsidP="00CA2E99">
      <w:pPr>
        <w:pStyle w:val="NormalWeb"/>
        <w:numPr>
          <w:ilvl w:val="0"/>
          <w:numId w:val="19"/>
        </w:numPr>
      </w:pPr>
      <w:r>
        <w:t xml:space="preserve">European Corporate Governance Institute (ECGI). (2020). </w:t>
      </w:r>
      <w:r>
        <w:rPr>
          <w:rStyle w:val="Emphasis"/>
          <w:rFonts w:eastAsiaTheme="majorEastAsia"/>
        </w:rPr>
        <w:t>Corporate Governance and Financial Scandals in Europe: A Comparative Study</w:t>
      </w:r>
      <w:r>
        <w:t>.</w:t>
      </w:r>
      <w:r>
        <w:br/>
        <w:t xml:space="preserve">→ </w:t>
      </w:r>
      <w:proofErr w:type="gramStart"/>
      <w:r>
        <w:t>For</w:t>
      </w:r>
      <w:proofErr w:type="gramEnd"/>
      <w:r>
        <w:t xml:space="preserve"> references to outdated governance practices and their legal implications.</w:t>
      </w:r>
    </w:p>
    <w:p w:rsidR="00CA2E99" w:rsidRDefault="00CA2E99" w:rsidP="00CA2E99">
      <w:pPr>
        <w:pStyle w:val="NormalWeb"/>
        <w:numPr>
          <w:ilvl w:val="0"/>
          <w:numId w:val="19"/>
        </w:numPr>
      </w:pPr>
      <w:proofErr w:type="spellStart"/>
      <w:r>
        <w:t>Hofstede</w:t>
      </w:r>
      <w:proofErr w:type="spellEnd"/>
      <w:r>
        <w:t xml:space="preserve"> Insights. (2011). </w:t>
      </w:r>
      <w:r>
        <w:rPr>
          <w:rStyle w:val="Emphasis"/>
          <w:rFonts w:eastAsiaTheme="majorEastAsia"/>
        </w:rPr>
        <w:t>National Culture – France</w:t>
      </w:r>
      <w:r>
        <w:t>.</w:t>
      </w:r>
      <w:r>
        <w:br/>
      </w:r>
      <w:hyperlink r:id="rId15" w:history="1">
        <w:r>
          <w:rPr>
            <w:rStyle w:val="Hyperlink"/>
          </w:rPr>
          <w:t>https://www.hofstede-insights.com/country-comparison/france/</w:t>
        </w:r>
      </w:hyperlink>
      <w:r>
        <w:br/>
        <w:t xml:space="preserve">→ </w:t>
      </w:r>
      <w:proofErr w:type="gramStart"/>
      <w:r>
        <w:t>For</w:t>
      </w:r>
      <w:proofErr w:type="gramEnd"/>
      <w:r>
        <w:t xml:space="preserve"> cultural tone expectations in corporate communication.</w:t>
      </w:r>
    </w:p>
    <w:p w:rsidR="00CA2E99" w:rsidRDefault="00CA2E99" w:rsidP="00CA2E99">
      <w:pPr>
        <w:pStyle w:val="NormalWeb"/>
        <w:numPr>
          <w:ilvl w:val="0"/>
          <w:numId w:val="19"/>
        </w:numPr>
      </w:pPr>
      <w:r>
        <w:t xml:space="preserve">PwC. (2022). </w:t>
      </w:r>
      <w:r>
        <w:rPr>
          <w:rStyle w:val="Emphasis"/>
          <w:rFonts w:eastAsiaTheme="majorEastAsia"/>
        </w:rPr>
        <w:t>Global Economic Crime and Fraud Survey 2022</w:t>
      </w:r>
      <w:r>
        <w:t>.</w:t>
      </w:r>
      <w:r>
        <w:br/>
      </w:r>
      <w:hyperlink r:id="rId16" w:history="1">
        <w:r>
          <w:rPr>
            <w:rStyle w:val="Hyperlink"/>
          </w:rPr>
          <w:t>https://www.pwc.com/gx/en/services/forensics/economic-crime-survey.html</w:t>
        </w:r>
      </w:hyperlink>
      <w:r>
        <w:br/>
        <w:t xml:space="preserve">→ </w:t>
      </w:r>
      <w:proofErr w:type="gramStart"/>
      <w:r>
        <w:t>For</w:t>
      </w:r>
      <w:proofErr w:type="gramEnd"/>
      <w:r>
        <w:t xml:space="preserve"> fraud detection methods, whistleblower data, and automation trends in auditing.</w:t>
      </w:r>
    </w:p>
    <w:p w:rsidR="00CA2E99" w:rsidRDefault="00CA2E99" w:rsidP="00CA2E99">
      <w:pPr>
        <w:pStyle w:val="NormalWeb"/>
        <w:numPr>
          <w:ilvl w:val="0"/>
          <w:numId w:val="19"/>
        </w:numPr>
      </w:pPr>
      <w:r>
        <w:t xml:space="preserve">Ritchie, B. W. (2008). </w:t>
      </w:r>
      <w:r>
        <w:rPr>
          <w:rStyle w:val="Emphasis"/>
          <w:rFonts w:eastAsiaTheme="majorEastAsia"/>
        </w:rPr>
        <w:t>Tourism Disaster Planning and Management: From Response and Recovery to Reduction and Readiness</w:t>
      </w:r>
      <w:r>
        <w:t xml:space="preserve">. Journal of Travel &amp; Tourism Marketing, 23(2–4), 231–247. </w:t>
      </w:r>
      <w:hyperlink r:id="rId17" w:history="1">
        <w:r>
          <w:rPr>
            <w:rStyle w:val="Hyperlink"/>
          </w:rPr>
          <w:t>https://doi.org/10.1300/J073v23n02_17</w:t>
        </w:r>
      </w:hyperlink>
      <w:r>
        <w:br/>
        <w:t xml:space="preserve">→ </w:t>
      </w:r>
      <w:proofErr w:type="gramStart"/>
      <w:r>
        <w:t>For</w:t>
      </w:r>
      <w:proofErr w:type="gramEnd"/>
      <w:r>
        <w:t xml:space="preserve"> stakeholder response patterns and reputational recovery.</w:t>
      </w:r>
    </w:p>
    <w:p w:rsidR="00CA2E99" w:rsidRDefault="00CA2E99" w:rsidP="00CA2E99">
      <w:pPr>
        <w:pStyle w:val="NormalWeb"/>
        <w:numPr>
          <w:ilvl w:val="0"/>
          <w:numId w:val="19"/>
        </w:numPr>
      </w:pPr>
      <w:proofErr w:type="spellStart"/>
      <w:r>
        <w:t>Autorité</w:t>
      </w:r>
      <w:proofErr w:type="spellEnd"/>
      <w:r>
        <w:t xml:space="preserve"> des </w:t>
      </w:r>
      <w:proofErr w:type="spellStart"/>
      <w:r>
        <w:t>Marchés</w:t>
      </w:r>
      <w:proofErr w:type="spellEnd"/>
      <w:r>
        <w:t xml:space="preserve"> Financiers (AMF). (2023). </w:t>
      </w:r>
      <w:r>
        <w:rPr>
          <w:rStyle w:val="Emphasis"/>
          <w:rFonts w:eastAsiaTheme="majorEastAsia"/>
        </w:rPr>
        <w:t>Guidelines for Corporate Transparency and Reporting in the French Financial Sector</w:t>
      </w:r>
      <w:r>
        <w:t>.</w:t>
      </w:r>
      <w:r>
        <w:br/>
      </w:r>
      <w:hyperlink r:id="rId18" w:history="1">
        <w:r>
          <w:rPr>
            <w:rStyle w:val="Hyperlink"/>
          </w:rPr>
          <w:t>https://www.amf-france.org/en</w:t>
        </w:r>
      </w:hyperlink>
      <w:r>
        <w:br/>
        <w:t xml:space="preserve">→ </w:t>
      </w:r>
      <w:proofErr w:type="gramStart"/>
      <w:r>
        <w:t>For</w:t>
      </w:r>
      <w:proofErr w:type="gramEnd"/>
      <w:r>
        <w:t xml:space="preserve"> legal responsibilities under French regulation.</w:t>
      </w:r>
    </w:p>
    <w:p w:rsidR="00CA2E99" w:rsidRDefault="00CA2E99" w:rsidP="00CA2E99">
      <w:pPr>
        <w:pStyle w:val="NormalWeb"/>
        <w:numPr>
          <w:ilvl w:val="0"/>
          <w:numId w:val="19"/>
        </w:numPr>
      </w:pPr>
      <w:r>
        <w:t xml:space="preserve">France 24. (2025, May 16). </w:t>
      </w:r>
      <w:r>
        <w:rPr>
          <w:rStyle w:val="Emphasis"/>
          <w:rFonts w:eastAsiaTheme="majorEastAsia"/>
        </w:rPr>
        <w:t>CFO fraud scandal rocks Château Marais, one of France's luxury boutique hotel brands</w:t>
      </w:r>
      <w:r>
        <w:t>.</w:t>
      </w:r>
      <w:r>
        <w:br/>
        <w:t xml:space="preserve">→ </w:t>
      </w:r>
      <w:proofErr w:type="gramStart"/>
      <w:r>
        <w:t>For</w:t>
      </w:r>
      <w:proofErr w:type="gramEnd"/>
      <w:r>
        <w:t xml:space="preserve"> media reporting on the case.</w:t>
      </w:r>
    </w:p>
    <w:p w:rsidR="00CA2E99" w:rsidRDefault="00CA2E99" w:rsidP="00CA2E99">
      <w:pPr>
        <w:pStyle w:val="NormalWeb"/>
        <w:numPr>
          <w:ilvl w:val="0"/>
          <w:numId w:val="19"/>
        </w:numPr>
      </w:pPr>
      <w:r>
        <w:t xml:space="preserve">Le Monde. (2025, May 17). </w:t>
      </w:r>
      <w:r>
        <w:rPr>
          <w:rStyle w:val="Emphasis"/>
          <w:rFonts w:eastAsiaTheme="majorEastAsia"/>
        </w:rPr>
        <w:t xml:space="preserve">Château Marais </w:t>
      </w:r>
      <w:proofErr w:type="gramStart"/>
      <w:r>
        <w:rPr>
          <w:rStyle w:val="Emphasis"/>
          <w:rFonts w:eastAsiaTheme="majorEastAsia"/>
        </w:rPr>
        <w:t>et</w:t>
      </w:r>
      <w:proofErr w:type="gramEnd"/>
      <w:r>
        <w:rPr>
          <w:rStyle w:val="Emphasis"/>
          <w:rFonts w:eastAsiaTheme="majorEastAsia"/>
        </w:rPr>
        <w:t xml:space="preserve"> la </w:t>
      </w:r>
      <w:proofErr w:type="spellStart"/>
      <w:r>
        <w:rPr>
          <w:rStyle w:val="Emphasis"/>
          <w:rFonts w:eastAsiaTheme="majorEastAsia"/>
        </w:rPr>
        <w:t>fraude</w:t>
      </w:r>
      <w:proofErr w:type="spellEnd"/>
      <w:r>
        <w:rPr>
          <w:rStyle w:val="Emphasis"/>
          <w:rFonts w:eastAsiaTheme="majorEastAsia"/>
        </w:rPr>
        <w:t xml:space="preserve">: </w:t>
      </w:r>
      <w:proofErr w:type="spellStart"/>
      <w:r>
        <w:rPr>
          <w:rStyle w:val="Emphasis"/>
          <w:rFonts w:eastAsiaTheme="majorEastAsia"/>
        </w:rPr>
        <w:t>une</w:t>
      </w:r>
      <w:proofErr w:type="spellEnd"/>
      <w:r>
        <w:rPr>
          <w:rStyle w:val="Emphasis"/>
          <w:rFonts w:eastAsiaTheme="majorEastAsia"/>
        </w:rPr>
        <w:t xml:space="preserve"> </w:t>
      </w:r>
      <w:proofErr w:type="spellStart"/>
      <w:r>
        <w:rPr>
          <w:rStyle w:val="Emphasis"/>
          <w:rFonts w:eastAsiaTheme="majorEastAsia"/>
        </w:rPr>
        <w:t>réputation</w:t>
      </w:r>
      <w:proofErr w:type="spellEnd"/>
      <w:r>
        <w:rPr>
          <w:rStyle w:val="Emphasis"/>
          <w:rFonts w:eastAsiaTheme="majorEastAsia"/>
        </w:rPr>
        <w:t xml:space="preserve"> en </w:t>
      </w:r>
      <w:proofErr w:type="spellStart"/>
      <w:r>
        <w:rPr>
          <w:rStyle w:val="Emphasis"/>
          <w:rFonts w:eastAsiaTheme="majorEastAsia"/>
        </w:rPr>
        <w:t>jeu</w:t>
      </w:r>
      <w:proofErr w:type="spellEnd"/>
      <w:r>
        <w:t>.</w:t>
      </w:r>
      <w:r>
        <w:br/>
        <w:t xml:space="preserve">→ </w:t>
      </w:r>
      <w:proofErr w:type="gramStart"/>
      <w:r>
        <w:t>For</w:t>
      </w:r>
      <w:proofErr w:type="gramEnd"/>
      <w:r>
        <w:t xml:space="preserve"> social sentiment and stakeholder reactions in France.</w:t>
      </w:r>
    </w:p>
    <w:p w:rsidR="00CA2E99" w:rsidRDefault="00CA2E99" w:rsidP="00CA2E99">
      <w:pPr>
        <w:pStyle w:val="NormalWeb"/>
        <w:numPr>
          <w:ilvl w:val="0"/>
          <w:numId w:val="19"/>
        </w:numPr>
      </w:pPr>
      <w:r>
        <w:lastRenderedPageBreak/>
        <w:t xml:space="preserve">Financial Times. (2025, May 18). </w:t>
      </w:r>
      <w:r>
        <w:rPr>
          <w:rStyle w:val="Emphasis"/>
          <w:rFonts w:eastAsiaTheme="majorEastAsia"/>
        </w:rPr>
        <w:t>Boutique brand faces scrutiny after multimillion euro embezzlement scandal</w:t>
      </w:r>
      <w:r>
        <w:t>.</w:t>
      </w:r>
      <w:r>
        <w:br/>
        <w:t xml:space="preserve">→ </w:t>
      </w:r>
      <w:proofErr w:type="gramStart"/>
      <w:r>
        <w:t>For</w:t>
      </w:r>
      <w:proofErr w:type="gramEnd"/>
      <w:r>
        <w:t xml:space="preserve"> investor responses and brand damage.</w:t>
      </w:r>
    </w:p>
    <w:p w:rsidR="00CA2E99" w:rsidRDefault="00CA2E99" w:rsidP="00CA2E99">
      <w:pPr>
        <w:pStyle w:val="NormalWeb"/>
        <w:numPr>
          <w:ilvl w:val="0"/>
          <w:numId w:val="19"/>
        </w:numPr>
      </w:pPr>
      <w:r>
        <w:t xml:space="preserve">Transparency International. (2023). </w:t>
      </w:r>
      <w:r>
        <w:rPr>
          <w:rStyle w:val="Emphasis"/>
          <w:rFonts w:eastAsiaTheme="majorEastAsia"/>
        </w:rPr>
        <w:t>Corporate Transparency and Anti-Corruption Toolkit</w:t>
      </w:r>
      <w:r>
        <w:t>.</w:t>
      </w:r>
      <w:r>
        <w:br/>
      </w:r>
      <w:hyperlink r:id="rId19" w:history="1">
        <w:r>
          <w:rPr>
            <w:rStyle w:val="Hyperlink"/>
          </w:rPr>
          <w:t>https://www.transparency.org/en/publications</w:t>
        </w:r>
      </w:hyperlink>
      <w:r>
        <w:br/>
        <w:t>→ For NGO partnership advice and restoring ethical image post-scandal.</w:t>
      </w:r>
    </w:p>
    <w:p w:rsidR="00CA2E99" w:rsidRDefault="00CA2E99" w:rsidP="00CA2E99">
      <w:pPr>
        <w:pStyle w:val="NormalWeb"/>
        <w:numPr>
          <w:ilvl w:val="0"/>
          <w:numId w:val="19"/>
        </w:numPr>
      </w:pPr>
      <w:r>
        <w:t xml:space="preserve">The Whistleblower Protection Blog. (2024). </w:t>
      </w:r>
      <w:r>
        <w:rPr>
          <w:rStyle w:val="Emphasis"/>
          <w:rFonts w:eastAsiaTheme="majorEastAsia"/>
        </w:rPr>
        <w:t>Best Practices for Anonymous Reporting in EU Firms</w:t>
      </w:r>
      <w:r>
        <w:t>.</w:t>
      </w:r>
      <w:r>
        <w:br/>
        <w:t xml:space="preserve">→ </w:t>
      </w:r>
      <w:proofErr w:type="gramStart"/>
      <w:r>
        <w:t>For</w:t>
      </w:r>
      <w:proofErr w:type="gramEnd"/>
      <w:r>
        <w:t xml:space="preserve"> effective whistleblower systems in corporate governance.</w:t>
      </w:r>
    </w:p>
    <w:p w:rsidR="00CA2E99" w:rsidRPr="00072E65" w:rsidRDefault="00CA2E99" w:rsidP="00CA2E99">
      <w:pPr>
        <w:pStyle w:val="NormalWeb"/>
        <w:numPr>
          <w:ilvl w:val="0"/>
          <w:numId w:val="19"/>
        </w:numPr>
      </w:pPr>
      <w:proofErr w:type="spellStart"/>
      <w:r>
        <w:t>Cybersecurity</w:t>
      </w:r>
      <w:proofErr w:type="spellEnd"/>
      <w:r>
        <w:t xml:space="preserve"> Ventures. (2023). </w:t>
      </w:r>
      <w:r>
        <w:rPr>
          <w:rStyle w:val="Emphasis"/>
          <w:rFonts w:eastAsiaTheme="majorEastAsia"/>
        </w:rPr>
        <w:t>Customer Data Concerns After Corporate Financial Scandals: A 5-Year Review</w:t>
      </w:r>
      <w:r>
        <w:t>.</w:t>
      </w:r>
      <w:r>
        <w:br/>
      </w:r>
      <w:hyperlink r:id="rId20" w:history="1">
        <w:r>
          <w:rPr>
            <w:rStyle w:val="Hyperlink"/>
          </w:rPr>
          <w:t>https://cybersecurityventures.com</w:t>
        </w:r>
      </w:hyperlink>
      <w:r>
        <w:br/>
        <w:t xml:space="preserve">→ </w:t>
      </w:r>
      <w:proofErr w:type="gramStart"/>
      <w:r>
        <w:t>For</w:t>
      </w:r>
      <w:proofErr w:type="gramEnd"/>
      <w:r>
        <w:t xml:space="preserve"> guest data risk concerns post-financial fraud.</w:t>
      </w:r>
    </w:p>
    <w:p w:rsidR="00F32297" w:rsidRDefault="00F32297" w:rsidP="00567EE0">
      <w:pPr>
        <w:spacing w:before="100" w:beforeAutospacing="1" w:after="100" w:afterAutospacing="1" w:line="240" w:lineRule="auto"/>
        <w:outlineLvl w:val="1"/>
        <w:rPr>
          <w:rFonts w:ascii="Times New Roman" w:eastAsia="Times New Roman" w:hAnsi="Times New Roman" w:cs="Times New Roman"/>
          <w:sz w:val="24"/>
          <w:szCs w:val="24"/>
        </w:rPr>
      </w:pPr>
    </w:p>
    <w:p w:rsidR="00567EE0" w:rsidRPr="00567EE0" w:rsidRDefault="00567EE0" w:rsidP="00567EE0">
      <w:pPr>
        <w:spacing w:before="100" w:beforeAutospacing="1" w:after="100" w:afterAutospacing="1" w:line="240" w:lineRule="auto"/>
        <w:outlineLvl w:val="1"/>
        <w:rPr>
          <w:rFonts w:ascii="Times New Roman" w:eastAsia="Times New Roman" w:hAnsi="Times New Roman" w:cs="Times New Roman"/>
          <w:b/>
          <w:bCs/>
          <w:sz w:val="36"/>
          <w:szCs w:val="36"/>
        </w:rPr>
      </w:pPr>
      <w:r w:rsidRPr="00567EE0">
        <w:rPr>
          <w:rFonts w:ascii="Times New Roman" w:eastAsia="Times New Roman" w:hAnsi="Times New Roman" w:cs="Times New Roman"/>
          <w:b/>
          <w:bCs/>
          <w:sz w:val="36"/>
          <w:szCs w:val="36"/>
        </w:rPr>
        <w:t>10. APPENDICES</w:t>
      </w:r>
    </w:p>
    <w:p w:rsidR="00567EE0" w:rsidRPr="00567EE0" w:rsidRDefault="00567EE0" w:rsidP="00567EE0">
      <w:pPr>
        <w:spacing w:before="100" w:beforeAutospacing="1" w:after="100" w:afterAutospacing="1" w:line="240" w:lineRule="auto"/>
        <w:outlineLvl w:val="2"/>
        <w:rPr>
          <w:rFonts w:ascii="Times New Roman" w:eastAsia="Times New Roman" w:hAnsi="Times New Roman" w:cs="Times New Roman"/>
          <w:b/>
          <w:bCs/>
          <w:sz w:val="27"/>
          <w:szCs w:val="27"/>
        </w:rPr>
      </w:pPr>
      <w:r w:rsidRPr="00567EE0">
        <w:rPr>
          <w:rFonts w:ascii="Times New Roman" w:eastAsia="Times New Roman" w:hAnsi="Times New Roman" w:cs="Times New Roman"/>
          <w:b/>
          <w:bCs/>
          <w:sz w:val="27"/>
          <w:szCs w:val="27"/>
        </w:rPr>
        <w:t>Appendix A – SCCT Language Toolkit for Financial Crises</w:t>
      </w:r>
    </w:p>
    <w:tbl>
      <w:tblPr>
        <w:tblW w:w="0" w:type="auto"/>
        <w:tblCellSpacing w:w="15" w:type="dxa"/>
        <w:tblCellMar>
          <w:top w:w="15" w:type="dxa"/>
          <w:left w:w="15" w:type="dxa"/>
          <w:bottom w:w="15" w:type="dxa"/>
          <w:right w:w="15" w:type="dxa"/>
        </w:tblCellMar>
        <w:tblLook w:val="04A0"/>
      </w:tblPr>
      <w:tblGrid>
        <w:gridCol w:w="7480"/>
        <w:gridCol w:w="1835"/>
      </w:tblGrid>
      <w:tr w:rsidR="00567EE0" w:rsidRPr="00567EE0" w:rsidTr="00567EE0">
        <w:trPr>
          <w:tblHeader/>
          <w:tblCellSpacing w:w="15" w:type="dxa"/>
        </w:trPr>
        <w:tc>
          <w:tcPr>
            <w:tcW w:w="0" w:type="auto"/>
            <w:vAlign w:val="center"/>
            <w:hideMark/>
          </w:tcPr>
          <w:p w:rsidR="00567EE0" w:rsidRPr="00567EE0" w:rsidRDefault="00567EE0" w:rsidP="00567EE0">
            <w:pPr>
              <w:spacing w:after="0" w:line="240" w:lineRule="auto"/>
              <w:jc w:val="center"/>
              <w:rPr>
                <w:rFonts w:ascii="Times New Roman" w:eastAsia="Times New Roman" w:hAnsi="Times New Roman" w:cs="Times New Roman"/>
                <w:b/>
                <w:bCs/>
                <w:sz w:val="24"/>
                <w:szCs w:val="24"/>
              </w:rPr>
            </w:pPr>
            <w:r w:rsidRPr="00567EE0">
              <w:rPr>
                <w:rFonts w:ascii="Times New Roman" w:eastAsia="Times New Roman" w:hAnsi="Times New Roman" w:cs="Times New Roman"/>
                <w:b/>
                <w:bCs/>
                <w:sz w:val="24"/>
                <w:szCs w:val="24"/>
              </w:rPr>
              <w:t>Phrase</w:t>
            </w:r>
          </w:p>
        </w:tc>
        <w:tc>
          <w:tcPr>
            <w:tcW w:w="0" w:type="auto"/>
            <w:vAlign w:val="center"/>
            <w:hideMark/>
          </w:tcPr>
          <w:p w:rsidR="00567EE0" w:rsidRPr="00567EE0" w:rsidRDefault="00567EE0" w:rsidP="00567EE0">
            <w:pPr>
              <w:spacing w:after="0" w:line="240" w:lineRule="auto"/>
              <w:jc w:val="center"/>
              <w:rPr>
                <w:rFonts w:ascii="Times New Roman" w:eastAsia="Times New Roman" w:hAnsi="Times New Roman" w:cs="Times New Roman"/>
                <w:b/>
                <w:bCs/>
                <w:sz w:val="24"/>
                <w:szCs w:val="24"/>
              </w:rPr>
            </w:pPr>
            <w:r w:rsidRPr="00567EE0">
              <w:rPr>
                <w:rFonts w:ascii="Times New Roman" w:eastAsia="Times New Roman" w:hAnsi="Times New Roman" w:cs="Times New Roman"/>
                <w:b/>
                <w:bCs/>
                <w:sz w:val="24"/>
                <w:szCs w:val="24"/>
              </w:rPr>
              <w:t>Context</w:t>
            </w:r>
          </w:p>
        </w:tc>
      </w:tr>
      <w:tr w:rsidR="00567EE0" w:rsidRPr="00567EE0" w:rsidTr="00567EE0">
        <w:trPr>
          <w:tblCellSpacing w:w="15" w:type="dxa"/>
        </w:trPr>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“We accept full responsibility and have acted immediately.”</w:t>
            </w:r>
          </w:p>
        </w:tc>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Stakeholder letter</w:t>
            </w:r>
          </w:p>
        </w:tc>
      </w:tr>
      <w:tr w:rsidR="00567EE0" w:rsidRPr="00567EE0" w:rsidTr="00567EE0">
        <w:trPr>
          <w:tblCellSpacing w:w="15" w:type="dxa"/>
        </w:trPr>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“This action violates our values and legal responsibilities.”</w:t>
            </w:r>
          </w:p>
        </w:tc>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Press release</w:t>
            </w:r>
          </w:p>
        </w:tc>
      </w:tr>
      <w:tr w:rsidR="00567EE0" w:rsidRPr="00567EE0" w:rsidTr="00567EE0">
        <w:trPr>
          <w:tblCellSpacing w:w="15" w:type="dxa"/>
        </w:trPr>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“We are committed to restoring your trust through transparency and reform.”</w:t>
            </w:r>
          </w:p>
        </w:tc>
        <w:tc>
          <w:tcPr>
            <w:tcW w:w="0" w:type="auto"/>
            <w:vAlign w:val="center"/>
            <w:hideMark/>
          </w:tcPr>
          <w:p w:rsidR="00567EE0" w:rsidRPr="00567EE0" w:rsidRDefault="00567EE0" w:rsidP="00567EE0">
            <w:pPr>
              <w:spacing w:after="0" w:line="240" w:lineRule="auto"/>
              <w:rPr>
                <w:rFonts w:ascii="Times New Roman" w:eastAsia="Times New Roman" w:hAnsi="Times New Roman" w:cs="Times New Roman"/>
                <w:sz w:val="24"/>
                <w:szCs w:val="24"/>
              </w:rPr>
            </w:pPr>
            <w:r w:rsidRPr="00567EE0">
              <w:rPr>
                <w:rFonts w:ascii="Times New Roman" w:eastAsia="Times New Roman" w:hAnsi="Times New Roman" w:cs="Times New Roman"/>
                <w:sz w:val="24"/>
                <w:szCs w:val="24"/>
              </w:rPr>
              <w:t>MD public speech</w:t>
            </w:r>
          </w:p>
        </w:tc>
      </w:tr>
    </w:tbl>
    <w:p w:rsidR="00567EE0" w:rsidRPr="00F32297" w:rsidRDefault="00567EE0" w:rsidP="00F32297">
      <w:pPr>
        <w:spacing w:after="0" w:line="240" w:lineRule="auto"/>
        <w:rPr>
          <w:rFonts w:ascii="Times New Roman" w:eastAsia="Times New Roman" w:hAnsi="Times New Roman" w:cs="Times New Roman"/>
          <w:sz w:val="24"/>
          <w:szCs w:val="24"/>
        </w:rPr>
      </w:pPr>
    </w:p>
    <w:sectPr w:rsidR="00567EE0" w:rsidRPr="00F32297"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932"/>
    <w:multiLevelType w:val="multilevel"/>
    <w:tmpl w:val="B10C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E3A88"/>
    <w:multiLevelType w:val="multilevel"/>
    <w:tmpl w:val="4FF0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E94584"/>
    <w:multiLevelType w:val="multilevel"/>
    <w:tmpl w:val="1C82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E548C8"/>
    <w:multiLevelType w:val="multilevel"/>
    <w:tmpl w:val="D592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F652D3"/>
    <w:multiLevelType w:val="multilevel"/>
    <w:tmpl w:val="3CFC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597F93"/>
    <w:multiLevelType w:val="multilevel"/>
    <w:tmpl w:val="E53E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F804A7"/>
    <w:multiLevelType w:val="multilevel"/>
    <w:tmpl w:val="79D2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A46A2C"/>
    <w:multiLevelType w:val="multilevel"/>
    <w:tmpl w:val="B2EE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6C38FB"/>
    <w:multiLevelType w:val="multilevel"/>
    <w:tmpl w:val="7172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3F573E"/>
    <w:multiLevelType w:val="multilevel"/>
    <w:tmpl w:val="6148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FF6042"/>
    <w:multiLevelType w:val="multilevel"/>
    <w:tmpl w:val="25602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923251"/>
    <w:multiLevelType w:val="multilevel"/>
    <w:tmpl w:val="181C5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611504"/>
    <w:multiLevelType w:val="multilevel"/>
    <w:tmpl w:val="D792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256BCF"/>
    <w:multiLevelType w:val="multilevel"/>
    <w:tmpl w:val="4728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341CDA"/>
    <w:multiLevelType w:val="multilevel"/>
    <w:tmpl w:val="0510B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3177762"/>
    <w:multiLevelType w:val="multilevel"/>
    <w:tmpl w:val="8E00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6932CD"/>
    <w:multiLevelType w:val="multilevel"/>
    <w:tmpl w:val="3890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CF3E66"/>
    <w:multiLevelType w:val="multilevel"/>
    <w:tmpl w:val="431C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5"/>
  </w:num>
  <w:num w:numId="3">
    <w:abstractNumId w:val="10"/>
  </w:num>
  <w:num w:numId="4">
    <w:abstractNumId w:val="0"/>
  </w:num>
  <w:num w:numId="5">
    <w:abstractNumId w:val="2"/>
  </w:num>
  <w:num w:numId="6">
    <w:abstractNumId w:val="14"/>
  </w:num>
  <w:num w:numId="7">
    <w:abstractNumId w:val="11"/>
  </w:num>
  <w:num w:numId="8">
    <w:abstractNumId w:val="12"/>
  </w:num>
  <w:num w:numId="9">
    <w:abstractNumId w:val="6"/>
  </w:num>
  <w:num w:numId="10">
    <w:abstractNumId w:val="1"/>
  </w:num>
  <w:num w:numId="11">
    <w:abstractNumId w:val="3"/>
  </w:num>
  <w:num w:numId="12">
    <w:abstractNumId w:val="18"/>
  </w:num>
  <w:num w:numId="13">
    <w:abstractNumId w:val="5"/>
  </w:num>
  <w:num w:numId="14">
    <w:abstractNumId w:val="17"/>
  </w:num>
  <w:num w:numId="15">
    <w:abstractNumId w:val="16"/>
  </w:num>
  <w:num w:numId="16">
    <w:abstractNumId w:val="8"/>
  </w:num>
  <w:num w:numId="17">
    <w:abstractNumId w:val="4"/>
  </w:num>
  <w:num w:numId="18">
    <w:abstractNumId w:val="7"/>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15FE6"/>
    <w:rsid w:val="00040787"/>
    <w:rsid w:val="00072E65"/>
    <w:rsid w:val="001576FF"/>
    <w:rsid w:val="00173364"/>
    <w:rsid w:val="00352F88"/>
    <w:rsid w:val="0051585B"/>
    <w:rsid w:val="00567EE0"/>
    <w:rsid w:val="00672EA7"/>
    <w:rsid w:val="0084294B"/>
    <w:rsid w:val="00901D12"/>
    <w:rsid w:val="009D421F"/>
    <w:rsid w:val="00A21421"/>
    <w:rsid w:val="00A41B18"/>
    <w:rsid w:val="00AA6143"/>
    <w:rsid w:val="00C75FAB"/>
    <w:rsid w:val="00CA2E99"/>
    <w:rsid w:val="00D26592"/>
    <w:rsid w:val="00D82413"/>
    <w:rsid w:val="00D915F8"/>
    <w:rsid w:val="00EF0074"/>
    <w:rsid w:val="00F322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next w:val="Normal"/>
    <w:link w:val="Heading2Char"/>
    <w:uiPriority w:val="9"/>
    <w:unhideWhenUsed/>
    <w:qFormat/>
    <w:rsid w:val="00567EE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67E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41B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567EE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67EE0"/>
    <w:rPr>
      <w:rFonts w:ascii="Times New Roman" w:eastAsia="Times New Roman" w:hAnsi="Times New Roman" w:cs="Times New Roman"/>
      <w:b/>
      <w:bCs/>
      <w:sz w:val="27"/>
      <w:szCs w:val="27"/>
    </w:rPr>
  </w:style>
  <w:style w:type="paragraph" w:styleId="NormalWeb">
    <w:name w:val="Normal (Web)"/>
    <w:basedOn w:val="Normal"/>
    <w:uiPriority w:val="99"/>
    <w:unhideWhenUsed/>
    <w:rsid w:val="00567EE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7EE0"/>
    <w:rPr>
      <w:i/>
      <w:iCs/>
    </w:rPr>
  </w:style>
  <w:style w:type="character" w:styleId="Strong">
    <w:name w:val="Strong"/>
    <w:basedOn w:val="DefaultParagraphFont"/>
    <w:uiPriority w:val="22"/>
    <w:qFormat/>
    <w:rsid w:val="00567EE0"/>
    <w:rPr>
      <w:b/>
      <w:bCs/>
    </w:rPr>
  </w:style>
  <w:style w:type="character" w:styleId="Hyperlink">
    <w:name w:val="Hyperlink"/>
    <w:basedOn w:val="DefaultParagraphFont"/>
    <w:uiPriority w:val="99"/>
    <w:semiHidden/>
    <w:unhideWhenUsed/>
    <w:rsid w:val="00567EE0"/>
    <w:rPr>
      <w:color w:val="0000FF"/>
      <w:u w:val="single"/>
    </w:rPr>
  </w:style>
  <w:style w:type="character" w:customStyle="1" w:styleId="Heading4Char">
    <w:name w:val="Heading 4 Char"/>
    <w:basedOn w:val="DefaultParagraphFont"/>
    <w:link w:val="Heading4"/>
    <w:uiPriority w:val="9"/>
    <w:semiHidden/>
    <w:rsid w:val="00A41B1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1487289">
      <w:bodyDiv w:val="1"/>
      <w:marLeft w:val="0"/>
      <w:marRight w:val="0"/>
      <w:marTop w:val="0"/>
      <w:marBottom w:val="0"/>
      <w:divBdr>
        <w:top w:val="none" w:sz="0" w:space="0" w:color="auto"/>
        <w:left w:val="none" w:sz="0" w:space="0" w:color="auto"/>
        <w:bottom w:val="none" w:sz="0" w:space="0" w:color="auto"/>
        <w:right w:val="none" w:sz="0" w:space="0" w:color="auto"/>
      </w:divBdr>
    </w:div>
    <w:div w:id="177164736">
      <w:bodyDiv w:val="1"/>
      <w:marLeft w:val="0"/>
      <w:marRight w:val="0"/>
      <w:marTop w:val="0"/>
      <w:marBottom w:val="0"/>
      <w:divBdr>
        <w:top w:val="none" w:sz="0" w:space="0" w:color="auto"/>
        <w:left w:val="none" w:sz="0" w:space="0" w:color="auto"/>
        <w:bottom w:val="none" w:sz="0" w:space="0" w:color="auto"/>
        <w:right w:val="none" w:sz="0" w:space="0" w:color="auto"/>
      </w:divBdr>
    </w:div>
    <w:div w:id="520971746">
      <w:bodyDiv w:val="1"/>
      <w:marLeft w:val="0"/>
      <w:marRight w:val="0"/>
      <w:marTop w:val="0"/>
      <w:marBottom w:val="0"/>
      <w:divBdr>
        <w:top w:val="none" w:sz="0" w:space="0" w:color="auto"/>
        <w:left w:val="none" w:sz="0" w:space="0" w:color="auto"/>
        <w:bottom w:val="none" w:sz="0" w:space="0" w:color="auto"/>
        <w:right w:val="none" w:sz="0" w:space="0" w:color="auto"/>
      </w:divBdr>
    </w:div>
    <w:div w:id="698434804">
      <w:bodyDiv w:val="1"/>
      <w:marLeft w:val="0"/>
      <w:marRight w:val="0"/>
      <w:marTop w:val="0"/>
      <w:marBottom w:val="0"/>
      <w:divBdr>
        <w:top w:val="none" w:sz="0" w:space="0" w:color="auto"/>
        <w:left w:val="none" w:sz="0" w:space="0" w:color="auto"/>
        <w:bottom w:val="none" w:sz="0" w:space="0" w:color="auto"/>
        <w:right w:val="none" w:sz="0" w:space="0" w:color="auto"/>
      </w:divBdr>
    </w:div>
    <w:div w:id="730154039">
      <w:bodyDiv w:val="1"/>
      <w:marLeft w:val="0"/>
      <w:marRight w:val="0"/>
      <w:marTop w:val="0"/>
      <w:marBottom w:val="0"/>
      <w:divBdr>
        <w:top w:val="none" w:sz="0" w:space="0" w:color="auto"/>
        <w:left w:val="none" w:sz="0" w:space="0" w:color="auto"/>
        <w:bottom w:val="none" w:sz="0" w:space="0" w:color="auto"/>
        <w:right w:val="none" w:sz="0" w:space="0" w:color="auto"/>
      </w:divBdr>
    </w:div>
    <w:div w:id="736629419">
      <w:bodyDiv w:val="1"/>
      <w:marLeft w:val="0"/>
      <w:marRight w:val="0"/>
      <w:marTop w:val="0"/>
      <w:marBottom w:val="0"/>
      <w:divBdr>
        <w:top w:val="none" w:sz="0" w:space="0" w:color="auto"/>
        <w:left w:val="none" w:sz="0" w:space="0" w:color="auto"/>
        <w:bottom w:val="none" w:sz="0" w:space="0" w:color="auto"/>
        <w:right w:val="none" w:sz="0" w:space="0" w:color="auto"/>
      </w:divBdr>
    </w:div>
    <w:div w:id="775444786">
      <w:bodyDiv w:val="1"/>
      <w:marLeft w:val="0"/>
      <w:marRight w:val="0"/>
      <w:marTop w:val="0"/>
      <w:marBottom w:val="0"/>
      <w:divBdr>
        <w:top w:val="none" w:sz="0" w:space="0" w:color="auto"/>
        <w:left w:val="none" w:sz="0" w:space="0" w:color="auto"/>
        <w:bottom w:val="none" w:sz="0" w:space="0" w:color="auto"/>
        <w:right w:val="none" w:sz="0" w:space="0" w:color="auto"/>
      </w:divBdr>
    </w:div>
    <w:div w:id="780035556">
      <w:bodyDiv w:val="1"/>
      <w:marLeft w:val="0"/>
      <w:marRight w:val="0"/>
      <w:marTop w:val="0"/>
      <w:marBottom w:val="0"/>
      <w:divBdr>
        <w:top w:val="none" w:sz="0" w:space="0" w:color="auto"/>
        <w:left w:val="none" w:sz="0" w:space="0" w:color="auto"/>
        <w:bottom w:val="none" w:sz="0" w:space="0" w:color="auto"/>
        <w:right w:val="none" w:sz="0" w:space="0" w:color="auto"/>
      </w:divBdr>
    </w:div>
    <w:div w:id="1311179953">
      <w:bodyDiv w:val="1"/>
      <w:marLeft w:val="0"/>
      <w:marRight w:val="0"/>
      <w:marTop w:val="0"/>
      <w:marBottom w:val="0"/>
      <w:divBdr>
        <w:top w:val="none" w:sz="0" w:space="0" w:color="auto"/>
        <w:left w:val="none" w:sz="0" w:space="0" w:color="auto"/>
        <w:bottom w:val="none" w:sz="0" w:space="0" w:color="auto"/>
        <w:right w:val="none" w:sz="0" w:space="0" w:color="auto"/>
      </w:divBdr>
    </w:div>
    <w:div w:id="1333610340">
      <w:bodyDiv w:val="1"/>
      <w:marLeft w:val="0"/>
      <w:marRight w:val="0"/>
      <w:marTop w:val="0"/>
      <w:marBottom w:val="0"/>
      <w:divBdr>
        <w:top w:val="none" w:sz="0" w:space="0" w:color="auto"/>
        <w:left w:val="none" w:sz="0" w:space="0" w:color="auto"/>
        <w:bottom w:val="none" w:sz="0" w:space="0" w:color="auto"/>
        <w:right w:val="none" w:sz="0" w:space="0" w:color="auto"/>
      </w:divBdr>
    </w:div>
    <w:div w:id="1476752718">
      <w:bodyDiv w:val="1"/>
      <w:marLeft w:val="0"/>
      <w:marRight w:val="0"/>
      <w:marTop w:val="0"/>
      <w:marBottom w:val="0"/>
      <w:divBdr>
        <w:top w:val="none" w:sz="0" w:space="0" w:color="auto"/>
        <w:left w:val="none" w:sz="0" w:space="0" w:color="auto"/>
        <w:bottom w:val="none" w:sz="0" w:space="0" w:color="auto"/>
        <w:right w:val="none" w:sz="0" w:space="0" w:color="auto"/>
      </w:divBdr>
      <w:divsChild>
        <w:div w:id="51735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155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34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684095205">
          <w:marLeft w:val="0"/>
          <w:marRight w:val="0"/>
          <w:marTop w:val="0"/>
          <w:marBottom w:val="0"/>
          <w:divBdr>
            <w:top w:val="none" w:sz="0" w:space="0" w:color="auto"/>
            <w:left w:val="none" w:sz="0" w:space="0" w:color="auto"/>
            <w:bottom w:val="none" w:sz="0" w:space="0" w:color="auto"/>
            <w:right w:val="none" w:sz="0" w:space="0" w:color="auto"/>
          </w:divBdr>
          <w:divsChild>
            <w:div w:id="837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cgi.global" TargetMode="External"/><Relationship Id="rId13" Type="http://schemas.openxmlformats.org/officeDocument/2006/relationships/hyperlink" Target="https://www.hofstede-insights.com" TargetMode="External"/><Relationship Id="rId18" Type="http://schemas.openxmlformats.org/officeDocument/2006/relationships/hyperlink" Target="https://www.amf-france.org/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forbes.com" TargetMode="External"/><Relationship Id="rId12" Type="http://schemas.openxmlformats.org/officeDocument/2006/relationships/hyperlink" Target="https://www.researchgate.net/publication/278320611_Situational_Theory_of_Crisis_Situational_Crisis_Communication_Theory_and_Corporate_Reputation?utm_source=chatgpt.com" TargetMode="External"/><Relationship Id="rId17" Type="http://schemas.openxmlformats.org/officeDocument/2006/relationships/hyperlink" Target="https://doi.org/10.1300/J073v23n02_17" TargetMode="External"/><Relationship Id="rId2" Type="http://schemas.openxmlformats.org/officeDocument/2006/relationships/styles" Target="styles.xml"/><Relationship Id="rId16" Type="http://schemas.openxmlformats.org/officeDocument/2006/relationships/hyperlink" Target="https://www.pwc.com/gx/en/services/forensics/economic-crime-survey.html" TargetMode="External"/><Relationship Id="rId20" Type="http://schemas.openxmlformats.org/officeDocument/2006/relationships/hyperlink" Target="https://cybersecurityventures.com/" TargetMode="External"/><Relationship Id="rId1" Type="http://schemas.openxmlformats.org/officeDocument/2006/relationships/numbering" Target="numbering.xml"/><Relationship Id="rId6" Type="http://schemas.openxmlformats.org/officeDocument/2006/relationships/hyperlink" Target="https://www.hofstede-insights.com/" TargetMode="External"/><Relationship Id="rId11" Type="http://schemas.openxmlformats.org/officeDocument/2006/relationships/hyperlink" Target="https://en.wikipedia.org/wiki/Crisis_communication?utm_source=chatgpt.com" TargetMode="External"/><Relationship Id="rId5" Type="http://schemas.openxmlformats.org/officeDocument/2006/relationships/image" Target="media/image1.png"/><Relationship Id="rId15" Type="http://schemas.openxmlformats.org/officeDocument/2006/relationships/hyperlink" Target="https://www.hofstede-insights.com/country-comparison/france/" TargetMode="External"/><Relationship Id="rId10" Type="http://schemas.openxmlformats.org/officeDocument/2006/relationships/hyperlink" Target="https://www.unwto.org" TargetMode="External"/><Relationship Id="rId19" Type="http://schemas.openxmlformats.org/officeDocument/2006/relationships/hyperlink" Target="https://www.transparency.org/en/publications" TargetMode="External"/><Relationship Id="rId4" Type="http://schemas.openxmlformats.org/officeDocument/2006/relationships/webSettings" Target="webSettings.xml"/><Relationship Id="rId9" Type="http://schemas.openxmlformats.org/officeDocument/2006/relationships/hyperlink" Target="https://www.pwc.com" TargetMode="External"/><Relationship Id="rId14" Type="http://schemas.openxmlformats.org/officeDocument/2006/relationships/hyperlink" Target="https://www2.deloitte.com/global/en/pages/risk/articles/fraud-risk-management.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1343</TotalTime>
  <Pages>14</Pages>
  <Words>4916</Words>
  <Characters>28023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2025-06-15T05:53:00Z</dcterms:created>
  <dcterms:modified xsi:type="dcterms:W3CDTF">2025-06-21T08:29:00Z</dcterms:modified>
</cp:coreProperties>
</file>