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CD4FE">
      <w:pPr>
        <w:jc w:val="both"/>
        <w:rPr>
          <w:b/>
          <w:bCs/>
          <w:color w:val="000000" w:themeColor="text1"/>
          <w14:textFill>
            <w14:solidFill>
              <w14:schemeClr w14:val="tx1"/>
            </w14:solidFill>
          </w14:textFill>
        </w:rPr>
      </w:pPr>
      <w:bookmarkStart w:id="6" w:name="_GoBack"/>
      <w:bookmarkEnd w:id="6"/>
    </w:p>
    <w:p w14:paraId="7E7D9714">
      <w:pPr>
        <w:jc w:val="both"/>
        <w:rPr>
          <w:b/>
          <w:bCs/>
          <w:color w:val="000000" w:themeColor="text1"/>
          <w14:textFill>
            <w14:solidFill>
              <w14:schemeClr w14:val="tx1"/>
            </w14:solidFill>
          </w14:textFill>
        </w:rPr>
      </w:pPr>
    </w:p>
    <w:p w14:paraId="03FE46D4">
      <w:pPr>
        <w:jc w:val="both"/>
        <w:rPr>
          <w:b/>
          <w:bCs/>
          <w:color w:val="000000" w:themeColor="text1"/>
          <w14:textFill>
            <w14:solidFill>
              <w14:schemeClr w14:val="tx1"/>
            </w14:solidFill>
          </w14:textFill>
        </w:rPr>
      </w:pPr>
    </w:p>
    <w:p w14:paraId="289B7645">
      <w:pPr>
        <w:jc w:val="both"/>
        <w:rPr>
          <w:b/>
          <w:bCs/>
          <w:color w:val="000000" w:themeColor="text1"/>
          <w14:textFill>
            <w14:solidFill>
              <w14:schemeClr w14:val="tx1"/>
            </w14:solidFill>
          </w14:textFill>
        </w:rPr>
      </w:pPr>
    </w:p>
    <w:p w14:paraId="11CABB6B">
      <w:pPr>
        <w:jc w:val="both"/>
        <w:rPr>
          <w:b/>
          <w:bCs/>
          <w:color w:val="000000" w:themeColor="text1"/>
          <w14:textFill>
            <w14:solidFill>
              <w14:schemeClr w14:val="tx1"/>
            </w14:solidFill>
          </w14:textFill>
        </w:rPr>
      </w:pPr>
    </w:p>
    <w:p w14:paraId="640FAB96">
      <w:pPr>
        <w:jc w:val="both"/>
        <w:rPr>
          <w:b/>
          <w:bCs/>
          <w:color w:val="000000" w:themeColor="text1"/>
          <w14:textFill>
            <w14:solidFill>
              <w14:schemeClr w14:val="tx1"/>
            </w14:solidFill>
          </w14:textFill>
        </w:rPr>
      </w:pPr>
    </w:p>
    <w:p w14:paraId="6D2F8753">
      <w:pPr>
        <w:jc w:val="both"/>
        <w:rPr>
          <w:b/>
          <w:bCs/>
          <w:color w:val="000000" w:themeColor="text1"/>
          <w14:textFill>
            <w14:solidFill>
              <w14:schemeClr w14:val="tx1"/>
            </w14:solidFill>
          </w14:textFill>
        </w:rPr>
      </w:pPr>
    </w:p>
    <w:p w14:paraId="3F315AA4">
      <w:pPr>
        <w:jc w:val="both"/>
        <w:rPr>
          <w:b/>
          <w:bCs/>
          <w:color w:val="000000" w:themeColor="text1"/>
          <w14:textFill>
            <w14:solidFill>
              <w14:schemeClr w14:val="tx1"/>
            </w14:solidFill>
          </w14:textFill>
        </w:rPr>
      </w:pPr>
    </w:p>
    <w:p w14:paraId="3774504C">
      <w:pPr>
        <w:jc w:val="both"/>
        <w:rPr>
          <w:b/>
          <w:bCs/>
          <w:color w:val="000000" w:themeColor="text1"/>
          <w14:textFill>
            <w14:solidFill>
              <w14:schemeClr w14:val="tx1"/>
            </w14:solidFill>
          </w14:textFill>
        </w:rPr>
      </w:pPr>
    </w:p>
    <w:p w14:paraId="22DC034A">
      <w:pPr>
        <w:jc w:val="both"/>
        <w:rPr>
          <w:b/>
          <w:bCs/>
          <w:color w:val="000000" w:themeColor="text1"/>
          <w14:textFill>
            <w14:solidFill>
              <w14:schemeClr w14:val="tx1"/>
            </w14:solidFill>
          </w14:textFill>
        </w:rPr>
      </w:pPr>
    </w:p>
    <w:p w14:paraId="20871D5A">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drawing>
          <wp:anchor distT="0" distB="0" distL="114300" distR="114300" simplePos="0" relativeHeight="251659264"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anchor>
        </w:drawing>
      </w:r>
    </w:p>
    <w:p w14:paraId="7A7DD0D8">
      <w:pPr>
        <w:rPr>
          <w:b/>
          <w:bCs/>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 xml:space="preserve">Tourist Regions and Attractions Course </w:t>
      </w:r>
    </w:p>
    <w:p w14:paraId="47C1F5CA">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t>Assignment 2</w:t>
      </w:r>
    </w:p>
    <w:p w14:paraId="715455E3">
      <w:pPr>
        <w:rPr>
          <w:rFonts w:hint="default"/>
          <w:color w:val="000000" w:themeColor="text1"/>
          <w:lang w:val="de-DE"/>
          <w14:textFill>
            <w14:solidFill>
              <w14:schemeClr w14:val="tx1"/>
            </w14:solidFill>
          </w14:textFill>
        </w:rPr>
      </w:pPr>
      <w:r>
        <w:rPr>
          <w:rFonts w:hint="default"/>
          <w:color w:val="000000" w:themeColor="text1"/>
          <w:lang w:val="de-DE"/>
          <w14:textFill>
            <w14:solidFill>
              <w14:schemeClr w14:val="tx1"/>
            </w14:solidFill>
          </w14:textFill>
        </w:rPr>
        <w:t>Student Name : Ajay Kumar</w:t>
      </w:r>
    </w:p>
    <w:p w14:paraId="7EDF829B">
      <w:pPr>
        <w:rPr>
          <w:rFonts w:hint="default"/>
          <w:color w:val="000000" w:themeColor="text1"/>
          <w:lang w:val="de-DE"/>
          <w14:textFill>
            <w14:solidFill>
              <w14:schemeClr w14:val="tx1"/>
            </w14:solidFill>
          </w14:textFill>
        </w:rPr>
      </w:pPr>
      <w:r>
        <w:rPr>
          <w:rFonts w:hint="default"/>
          <w:color w:val="000000" w:themeColor="text1"/>
          <w:lang w:val="de-DE"/>
          <w14:textFill>
            <w14:solidFill>
              <w14:schemeClr w14:val="tx1"/>
            </w14:solidFill>
          </w14:textFill>
        </w:rPr>
        <w:t>Student ID : DE240022</w:t>
      </w:r>
    </w:p>
    <w:p w14:paraId="7BEA0E3A">
      <w:pPr>
        <w:rPr>
          <w:rFonts w:hint="default"/>
          <w:color w:val="000000" w:themeColor="text1"/>
          <w:lang w:val="de-DE"/>
          <w14:textFill>
            <w14:solidFill>
              <w14:schemeClr w14:val="tx1"/>
            </w14:solidFill>
          </w14:textFill>
        </w:rPr>
      </w:pPr>
    </w:p>
    <w:p w14:paraId="34C33989">
      <w:pPr>
        <w:rPr>
          <w:color w:val="000000" w:themeColor="text1"/>
          <w14:textFill>
            <w14:solidFill>
              <w14:schemeClr w14:val="tx1"/>
            </w14:solidFill>
          </w14:textFill>
        </w:rPr>
      </w:pPr>
    </w:p>
    <w:p w14:paraId="40830839">
      <w:pPr>
        <w:rPr>
          <w:color w:val="000000" w:themeColor="text1"/>
          <w14:textFill>
            <w14:solidFill>
              <w14:schemeClr w14:val="tx1"/>
            </w14:solidFill>
          </w14:textFill>
        </w:rPr>
      </w:pPr>
    </w:p>
    <w:p w14:paraId="7DDF492C">
      <w:pPr>
        <w:rPr>
          <w:color w:val="000000" w:themeColor="text1"/>
          <w14:textFill>
            <w14:solidFill>
              <w14:schemeClr w14:val="tx1"/>
            </w14:solidFill>
          </w14:textFill>
        </w:rPr>
      </w:pPr>
    </w:p>
    <w:p w14:paraId="7A070E59">
      <w:pPr>
        <w:rPr>
          <w:color w:val="000000" w:themeColor="text1"/>
          <w14:textFill>
            <w14:solidFill>
              <w14:schemeClr w14:val="tx1"/>
            </w14:solidFill>
          </w14:textFill>
        </w:rPr>
      </w:pPr>
    </w:p>
    <w:p w14:paraId="7BBE65CA">
      <w:pPr>
        <w:rPr>
          <w:color w:val="000000" w:themeColor="text1"/>
          <w14:textFill>
            <w14:solidFill>
              <w14:schemeClr w14:val="tx1"/>
            </w14:solidFill>
          </w14:textFill>
        </w:rPr>
      </w:pPr>
    </w:p>
    <w:p w14:paraId="0A1CB9A2">
      <w:pPr>
        <w:jc w:val="both"/>
        <w:rPr>
          <w:b/>
          <w:bCs/>
          <w:color w:val="000000" w:themeColor="text1"/>
          <w14:textFill>
            <w14:solidFill>
              <w14:schemeClr w14:val="tx1"/>
            </w14:solidFill>
          </w14:textFill>
        </w:rPr>
      </w:pPr>
    </w:p>
    <w:p w14:paraId="2161B435">
      <w:pPr>
        <w:jc w:val="both"/>
        <w:rPr>
          <w:b/>
          <w:bCs/>
          <w:color w:val="000000" w:themeColor="text1"/>
          <w14:textFill>
            <w14:solidFill>
              <w14:schemeClr w14:val="tx1"/>
            </w14:solidFill>
          </w14:textFill>
        </w:rPr>
      </w:pPr>
    </w:p>
    <w:p w14:paraId="26AEB331">
      <w:pPr>
        <w:jc w:val="both"/>
        <w:rPr>
          <w:b/>
          <w:bCs/>
          <w:color w:val="000000" w:themeColor="text1"/>
          <w14:textFill>
            <w14:solidFill>
              <w14:schemeClr w14:val="tx1"/>
            </w14:solidFill>
          </w14:textFill>
        </w:rPr>
      </w:pPr>
    </w:p>
    <w:p w14:paraId="553592B8">
      <w:pPr>
        <w:jc w:val="both"/>
        <w:rPr>
          <w:b/>
          <w:bCs/>
          <w:color w:val="000000" w:themeColor="text1"/>
          <w14:textFill>
            <w14:solidFill>
              <w14:schemeClr w14:val="tx1"/>
            </w14:solidFill>
          </w14:textFill>
        </w:rPr>
      </w:pPr>
    </w:p>
    <w:p w14:paraId="59AF7525">
      <w:pPr>
        <w:jc w:val="both"/>
        <w:rPr>
          <w:b/>
          <w:bCs/>
          <w:color w:val="000000" w:themeColor="text1"/>
          <w14:textFill>
            <w14:solidFill>
              <w14:schemeClr w14:val="tx1"/>
            </w14:solidFill>
          </w14:textFill>
        </w:rPr>
      </w:pPr>
    </w:p>
    <w:p w14:paraId="6A2A895D">
      <w:pPr>
        <w:jc w:val="both"/>
        <w:rPr>
          <w:b/>
          <w:bCs/>
          <w:color w:val="000000" w:themeColor="text1"/>
          <w14:textFill>
            <w14:solidFill>
              <w14:schemeClr w14:val="tx1"/>
            </w14:solidFill>
          </w14:textFill>
        </w:rPr>
      </w:pPr>
    </w:p>
    <w:p w14:paraId="6C174A0E">
      <w:pPr>
        <w:jc w:val="both"/>
        <w:rPr>
          <w:b/>
          <w:bCs/>
          <w:color w:val="000000" w:themeColor="text1"/>
          <w14:textFill>
            <w14:solidFill>
              <w14:schemeClr w14:val="tx1"/>
            </w14:solidFill>
          </w14:textFill>
        </w:rPr>
      </w:pPr>
    </w:p>
    <w:p w14:paraId="716EEC0F">
      <w:pPr>
        <w:jc w:val="both"/>
        <w:rPr>
          <w:b/>
          <w:bCs/>
          <w:color w:val="000000" w:themeColor="text1"/>
          <w14:textFill>
            <w14:solidFill>
              <w14:schemeClr w14:val="tx1"/>
            </w14:solidFill>
          </w14:textFill>
        </w:rPr>
      </w:pPr>
    </w:p>
    <w:p w14:paraId="3C2EDDE6">
      <w:pPr>
        <w:jc w:val="both"/>
        <w:rPr>
          <w:b/>
          <w:bCs/>
          <w:color w:val="000000" w:themeColor="text1"/>
          <w14:textFill>
            <w14:solidFill>
              <w14:schemeClr w14:val="tx1"/>
            </w14:solidFill>
          </w14:textFill>
        </w:rPr>
      </w:pPr>
    </w:p>
    <w:p w14:paraId="3F1E7CAA">
      <w:pPr>
        <w:jc w:val="both"/>
        <w:rPr>
          <w:b/>
          <w:bCs/>
          <w:color w:val="000000" w:themeColor="text1"/>
          <w14:textFill>
            <w14:solidFill>
              <w14:schemeClr w14:val="tx1"/>
            </w14:solidFill>
          </w14:textFill>
        </w:rPr>
      </w:pPr>
    </w:p>
    <w:p w14:paraId="3C7B86A7">
      <w:pPr>
        <w:jc w:val="both"/>
        <w:rPr>
          <w:b/>
          <w:bCs/>
          <w:color w:val="000000" w:themeColor="text1"/>
          <w14:textFill>
            <w14:solidFill>
              <w14:schemeClr w14:val="tx1"/>
            </w14:solidFill>
          </w14:textFill>
        </w:rPr>
      </w:pPr>
    </w:p>
    <w:p w14:paraId="3DFBFAB2">
      <w:pPr>
        <w:jc w:val="both"/>
        <w:rPr>
          <w:b/>
          <w:bCs/>
          <w:color w:val="000000" w:themeColor="text1"/>
          <w14:textFill>
            <w14:solidFill>
              <w14:schemeClr w14:val="tx1"/>
            </w14:solidFill>
          </w14:textFill>
        </w:rPr>
      </w:pPr>
    </w:p>
    <w:p w14:paraId="0D5EEED5">
      <w:pPr>
        <w:jc w:val="both"/>
        <w:rPr>
          <w:b/>
          <w:bCs/>
          <w:color w:val="000000" w:themeColor="text1"/>
          <w14:textFill>
            <w14:solidFill>
              <w14:schemeClr w14:val="tx1"/>
            </w14:solidFill>
          </w14:textFill>
        </w:rPr>
      </w:pPr>
    </w:p>
    <w:p w14:paraId="44184492">
      <w:pPr>
        <w:jc w:val="both"/>
        <w:rPr>
          <w:b/>
          <w:bCs/>
          <w:color w:val="000000" w:themeColor="text1"/>
          <w14:textFill>
            <w14:solidFill>
              <w14:schemeClr w14:val="tx1"/>
            </w14:solidFill>
          </w14:textFill>
        </w:rPr>
      </w:pPr>
    </w:p>
    <w:p w14:paraId="3CCEB238">
      <w:pPr>
        <w:jc w:val="both"/>
        <w:rPr>
          <w:b/>
          <w:bCs/>
          <w:color w:val="000000" w:themeColor="text1"/>
          <w14:textFill>
            <w14:solidFill>
              <w14:schemeClr w14:val="tx1"/>
            </w14:solidFill>
          </w14:textFill>
        </w:rPr>
      </w:pPr>
    </w:p>
    <w:p w14:paraId="3EE122AD">
      <w:pPr>
        <w:jc w:val="both"/>
        <w:rPr>
          <w:b/>
          <w:bCs/>
          <w:color w:val="000000" w:themeColor="text1"/>
          <w14:textFill>
            <w14:solidFill>
              <w14:schemeClr w14:val="tx1"/>
            </w14:solidFill>
          </w14:textFill>
        </w:rPr>
      </w:pPr>
    </w:p>
    <w:p w14:paraId="2E0B7FC4">
      <w:pPr>
        <w:jc w:val="both"/>
        <w:rPr>
          <w:b/>
          <w:bCs/>
          <w:color w:val="000000" w:themeColor="text1"/>
          <w14:textFill>
            <w14:solidFill>
              <w14:schemeClr w14:val="tx1"/>
            </w14:solidFill>
          </w14:textFill>
        </w:rPr>
      </w:pPr>
    </w:p>
    <w:p w14:paraId="1DD69B06">
      <w:pPr>
        <w:jc w:val="both"/>
        <w:rPr>
          <w:b/>
          <w:bCs/>
          <w:color w:val="000000" w:themeColor="text1"/>
          <w14:textFill>
            <w14:solidFill>
              <w14:schemeClr w14:val="tx1"/>
            </w14:solidFill>
          </w14:textFill>
        </w:rPr>
      </w:pPr>
    </w:p>
    <w:p w14:paraId="76878907">
      <w:pPr>
        <w:jc w:val="both"/>
        <w:rPr>
          <w:b/>
          <w:bCs/>
          <w:color w:val="000000" w:themeColor="text1"/>
          <w14:textFill>
            <w14:solidFill>
              <w14:schemeClr w14:val="tx1"/>
            </w14:solidFill>
          </w14:textFill>
        </w:rPr>
      </w:pPr>
    </w:p>
    <w:p w14:paraId="5C28634E">
      <w:pPr>
        <w:jc w:val="both"/>
        <w:rPr>
          <w:b/>
          <w:bCs/>
          <w:color w:val="000000" w:themeColor="text1"/>
          <w14:textFill>
            <w14:solidFill>
              <w14:schemeClr w14:val="tx1"/>
            </w14:solidFill>
          </w14:textFill>
        </w:rPr>
      </w:pPr>
    </w:p>
    <w:p w14:paraId="23F56E1D">
      <w:pPr>
        <w:jc w:val="both"/>
        <w:rPr>
          <w:b/>
          <w:bCs/>
          <w:color w:val="000000" w:themeColor="text1"/>
          <w14:textFill>
            <w14:solidFill>
              <w14:schemeClr w14:val="tx1"/>
            </w14:solidFill>
          </w14:textFill>
        </w:rPr>
      </w:pPr>
    </w:p>
    <w:p w14:paraId="79BEC9F0">
      <w:pPr>
        <w:jc w:val="both"/>
        <w:rPr>
          <w:b/>
          <w:bCs/>
          <w:color w:val="000000" w:themeColor="text1"/>
          <w14:textFill>
            <w14:solidFill>
              <w14:schemeClr w14:val="tx1"/>
            </w14:solidFill>
          </w14:textFill>
        </w:rPr>
      </w:pPr>
    </w:p>
    <w:p w14:paraId="26FD0E4E">
      <w:pPr>
        <w:jc w:val="both"/>
        <w:rPr>
          <w:b/>
          <w:bCs/>
          <w:color w:val="000000" w:themeColor="text1"/>
          <w14:textFill>
            <w14:solidFill>
              <w14:schemeClr w14:val="tx1"/>
            </w14:solidFill>
          </w14:textFill>
        </w:rPr>
      </w:pPr>
    </w:p>
    <w:p w14:paraId="78A819B7">
      <w:pPr>
        <w:jc w:val="both"/>
        <w:rPr>
          <w:b/>
          <w:bCs/>
          <w:color w:val="000000" w:themeColor="text1"/>
          <w14:textFill>
            <w14:solidFill>
              <w14:schemeClr w14:val="tx1"/>
            </w14:solidFill>
          </w14:textFill>
        </w:rPr>
      </w:pPr>
    </w:p>
    <w:p w14:paraId="76910545">
      <w:pPr>
        <w:jc w:val="both"/>
        <w:rPr>
          <w:b/>
          <w:bCs/>
          <w:color w:val="000000" w:themeColor="text1"/>
          <w14:textFill>
            <w14:solidFill>
              <w14:schemeClr w14:val="tx1"/>
            </w14:solidFill>
          </w14:textFill>
        </w:rPr>
      </w:pPr>
    </w:p>
    <w:p w14:paraId="4A43B0AE">
      <w:pPr>
        <w:jc w:val="both"/>
        <w:rPr>
          <w:b/>
          <w:bCs/>
          <w:color w:val="000000" w:themeColor="text1"/>
          <w14:textFill>
            <w14:solidFill>
              <w14:schemeClr w14:val="tx1"/>
            </w14:solidFill>
          </w14:textFill>
        </w:rPr>
      </w:pPr>
    </w:p>
    <w:p w14:paraId="5A758ADD">
      <w:pPr>
        <w:jc w:val="both"/>
        <w:rPr>
          <w:b/>
          <w:bCs/>
          <w:color w:val="000000" w:themeColor="text1"/>
          <w14:textFill>
            <w14:solidFill>
              <w14:schemeClr w14:val="tx1"/>
            </w14:solidFill>
          </w14:textFill>
        </w:rPr>
      </w:pPr>
    </w:p>
    <w:p w14:paraId="12835AFF">
      <w:pPr>
        <w:jc w:val="both"/>
        <w:rPr>
          <w:b/>
          <w:bCs/>
          <w:color w:val="000000" w:themeColor="text1"/>
          <w14:textFill>
            <w14:solidFill>
              <w14:schemeClr w14:val="tx1"/>
            </w14:solidFill>
          </w14:textFill>
        </w:rPr>
      </w:pPr>
    </w:p>
    <w:p w14:paraId="3494EE0F">
      <w:pPr>
        <w:jc w:val="both"/>
        <w:rPr>
          <w:b/>
          <w:bCs/>
          <w:color w:val="000000" w:themeColor="text1"/>
          <w14:textFill>
            <w14:solidFill>
              <w14:schemeClr w14:val="tx1"/>
            </w14:solidFill>
          </w14:textFill>
        </w:rPr>
      </w:pPr>
    </w:p>
    <w:p w14:paraId="7D33ACF0">
      <w:pPr>
        <w:jc w:val="both"/>
        <w:rPr>
          <w:b/>
          <w:bCs/>
          <w:color w:val="000000" w:themeColor="text1"/>
          <w14:textFill>
            <w14:solidFill>
              <w14:schemeClr w14:val="tx1"/>
            </w14:solidFill>
          </w14:textFill>
        </w:rPr>
      </w:pPr>
    </w:p>
    <w:p w14:paraId="07403EF6">
      <w:pPr>
        <w:jc w:val="both"/>
        <w:rPr>
          <w:b/>
          <w:bCs/>
          <w:color w:val="000000" w:themeColor="text1"/>
          <w14:textFill>
            <w14:solidFill>
              <w14:schemeClr w14:val="tx1"/>
            </w14:solidFill>
          </w14:textFill>
        </w:rPr>
      </w:pPr>
    </w:p>
    <w:p w14:paraId="3A437CF1">
      <w:pPr>
        <w:jc w:val="both"/>
        <w:rPr>
          <w:b/>
          <w:bCs/>
          <w:color w:val="000000" w:themeColor="text1"/>
          <w14:textFill>
            <w14:solidFill>
              <w14:schemeClr w14:val="tx1"/>
            </w14:solidFill>
          </w14:textFill>
        </w:rPr>
      </w:pPr>
    </w:p>
    <w:sdt>
      <w:sdtPr>
        <w:rPr>
          <w:rFonts w:ascii="Times New Roman" w:hAnsi="Times New Roman" w:cs="Times New Roman"/>
        </w:rPr>
        <w:id w:val="1070233418"/>
        <w:docPartObj>
          <w:docPartGallery w:val="Table of Contents"/>
          <w:docPartUnique/>
        </w:docPartObj>
      </w:sdtPr>
      <w:sdtEndPr>
        <w:rPr>
          <w:rFonts w:ascii="Times New Roman" w:hAnsi="Times New Roman" w:eastAsia="Times New Roman" w:cs="Times New Roman"/>
          <w:color w:val="auto"/>
          <w:sz w:val="24"/>
          <w:szCs w:val="24"/>
          <w:lang w:val="en-IN" w:eastAsia="en-GB"/>
        </w:rPr>
      </w:sdtEndPr>
      <w:sdtContent>
        <w:p w14:paraId="28F32627">
          <w:pPr>
            <w:pStyle w:val="46"/>
            <w:rPr>
              <w:rFonts w:ascii="Times New Roman" w:hAnsi="Times New Roman" w:cs="Times New Roman"/>
            </w:rPr>
          </w:pPr>
          <w:r>
            <w:rPr>
              <w:rFonts w:ascii="Times New Roman" w:hAnsi="Times New Roman" w:cs="Times New Roman"/>
            </w:rPr>
            <w:t>Table of Contents</w:t>
          </w:r>
        </w:p>
        <w:p w14:paraId="658A8F44">
          <w:pPr>
            <w:pStyle w:val="19"/>
            <w:tabs>
              <w:tab w:val="right" w:leader="dot" w:pos="9016"/>
            </w:tabs>
            <w:rPr>
              <w:rFonts w:ascii="Times New Roman" w:hAnsi="Times New Roman"/>
            </w:rPr>
          </w:pPr>
          <w:r>
            <w:rPr>
              <w:rFonts w:ascii="Times New Roman" w:hAnsi="Times New Roman"/>
              <w:b w:val="0"/>
              <w:bCs w:val="0"/>
            </w:rPr>
            <w:fldChar w:fldCharType="begin"/>
          </w:r>
          <w:r>
            <w:rPr>
              <w:rFonts w:ascii="Times New Roman" w:hAnsi="Times New Roman"/>
            </w:rPr>
            <w:instrText xml:space="preserve"> TOC \o "1-3" \h \z \u </w:instrText>
          </w:r>
          <w:r>
            <w:rPr>
              <w:rFonts w:ascii="Times New Roman" w:hAnsi="Times New Roman"/>
              <w:b w:val="0"/>
              <w:bCs w:val="0"/>
            </w:rPr>
            <w:fldChar w:fldCharType="separate"/>
          </w:r>
          <w:r>
            <w:fldChar w:fldCharType="begin"/>
          </w:r>
          <w:r>
            <w:instrText xml:space="preserve"> HYPERLINK \l "_Toc199195210" </w:instrText>
          </w:r>
          <w:r>
            <w:fldChar w:fldCharType="separate"/>
          </w:r>
          <w:r>
            <w:rPr>
              <w:rStyle w:val="14"/>
              <w:rFonts w:ascii="Times New Roman" w:hAnsi="Times New Roman"/>
            </w:rPr>
            <w:t>Tourism and Commodification in Germany</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_Toc199195210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0FA6FED2">
          <w:pPr>
            <w:pStyle w:val="19"/>
            <w:tabs>
              <w:tab w:val="right" w:leader="dot" w:pos="9016"/>
            </w:tabs>
            <w:rPr>
              <w:rFonts w:ascii="Times New Roman" w:hAnsi="Times New Roman"/>
            </w:rPr>
          </w:pPr>
          <w:r>
            <w:fldChar w:fldCharType="begin"/>
          </w:r>
          <w:r>
            <w:instrText xml:space="preserve"> HYPERLINK \l "_Toc199195211" </w:instrText>
          </w:r>
          <w:r>
            <w:fldChar w:fldCharType="separate"/>
          </w:r>
          <w:r>
            <w:rPr>
              <w:rStyle w:val="14"/>
              <w:rFonts w:ascii="Times New Roman" w:hAnsi="Times New Roman"/>
            </w:rPr>
            <w:t>Cultural Aspects Commodified for Tourism</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_Toc199195211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148A6CF9">
          <w:pPr>
            <w:pStyle w:val="19"/>
            <w:tabs>
              <w:tab w:val="right" w:leader="dot" w:pos="9016"/>
            </w:tabs>
            <w:rPr>
              <w:rFonts w:ascii="Times New Roman" w:hAnsi="Times New Roman"/>
            </w:rPr>
          </w:pPr>
          <w:r>
            <w:fldChar w:fldCharType="begin"/>
          </w:r>
          <w:r>
            <w:instrText xml:space="preserve"> HYPERLINK \l "_Toc199195212" </w:instrText>
          </w:r>
          <w:r>
            <w:fldChar w:fldCharType="separate"/>
          </w:r>
          <w:r>
            <w:rPr>
              <w:rStyle w:val="14"/>
              <w:rFonts w:ascii="Times New Roman" w:hAnsi="Times New Roman"/>
            </w:rPr>
            <w:t>How Commodification Has Changed Cultural Practices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_Toc199195212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1D834627">
          <w:pPr>
            <w:pStyle w:val="19"/>
            <w:tabs>
              <w:tab w:val="right" w:leader="dot" w:pos="9016"/>
            </w:tabs>
            <w:rPr>
              <w:rFonts w:ascii="Times New Roman" w:hAnsi="Times New Roman"/>
            </w:rPr>
          </w:pPr>
          <w:r>
            <w:fldChar w:fldCharType="begin"/>
          </w:r>
          <w:r>
            <w:instrText xml:space="preserve"> HYPERLINK \l "_Toc199195213" </w:instrText>
          </w:r>
          <w:r>
            <w:fldChar w:fldCharType="separate"/>
          </w:r>
          <w:r>
            <w:rPr>
              <w:rStyle w:val="14"/>
              <w:rFonts w:ascii="Times New Roman" w:hAnsi="Times New Roman"/>
            </w:rPr>
            <w:t>Negative Impacts on Local Communities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_Toc199195213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50271AC3">
          <w:pPr>
            <w:pStyle w:val="19"/>
            <w:tabs>
              <w:tab w:val="right" w:leader="dot" w:pos="9016"/>
            </w:tabs>
            <w:rPr>
              <w:rFonts w:ascii="Times New Roman" w:hAnsi="Times New Roman"/>
            </w:rPr>
          </w:pPr>
          <w:r>
            <w:fldChar w:fldCharType="begin"/>
          </w:r>
          <w:r>
            <w:instrText xml:space="preserve"> HYPERLINK \l "_Toc199195214" </w:instrText>
          </w:r>
          <w:r>
            <w:fldChar w:fldCharType="separate"/>
          </w:r>
          <w:r>
            <w:rPr>
              <w:rStyle w:val="14"/>
              <w:rFonts w:ascii="Times New Roman" w:hAnsi="Times New Roman"/>
            </w:rPr>
            <w:t>Strategies for Balancing Tourism Development and Cultural Preservation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_Toc199195214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073A8774">
          <w:pPr>
            <w:pStyle w:val="19"/>
            <w:tabs>
              <w:tab w:val="right" w:leader="dot" w:pos="9016"/>
            </w:tabs>
            <w:rPr>
              <w:rFonts w:ascii="Times New Roman" w:hAnsi="Times New Roman"/>
            </w:rPr>
          </w:pPr>
          <w:r>
            <w:fldChar w:fldCharType="begin"/>
          </w:r>
          <w:r>
            <w:instrText xml:space="preserve"> HYPERLINK \l "_Toc199195215" </w:instrText>
          </w:r>
          <w:r>
            <w:fldChar w:fldCharType="separate"/>
          </w:r>
          <w:r>
            <w:rPr>
              <w:rStyle w:val="14"/>
              <w:rFonts w:ascii="Times New Roman" w:hAnsi="Times New Roman"/>
            </w:rPr>
            <w:t>Conclusion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_Toc199195215 \h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ascii="Times New Roman" w:hAnsi="Times New Roman"/>
            </w:rPr>
            <w:fldChar w:fldCharType="end"/>
          </w:r>
        </w:p>
        <w:p w14:paraId="130B6FAD">
          <w:r>
            <w:rPr>
              <w:b/>
              <w:bCs/>
            </w:rPr>
            <w:fldChar w:fldCharType="end"/>
          </w:r>
        </w:p>
      </w:sdtContent>
    </w:sdt>
    <w:p w14:paraId="13FE24FF">
      <w:pPr>
        <w:jc w:val="both"/>
        <w:rPr>
          <w:b/>
          <w:bCs/>
          <w:color w:val="000000" w:themeColor="text1"/>
          <w14:textFill>
            <w14:solidFill>
              <w14:schemeClr w14:val="tx1"/>
            </w14:solidFill>
          </w14:textFill>
        </w:rPr>
      </w:pPr>
    </w:p>
    <w:p w14:paraId="3E3EA41B">
      <w:pPr>
        <w:jc w:val="both"/>
        <w:rPr>
          <w:b/>
          <w:bCs/>
          <w:color w:val="000000" w:themeColor="text1"/>
          <w14:textFill>
            <w14:solidFill>
              <w14:schemeClr w14:val="tx1"/>
            </w14:solidFill>
          </w14:textFill>
        </w:rPr>
      </w:pPr>
    </w:p>
    <w:p w14:paraId="0F2AB6CF">
      <w:pPr>
        <w:jc w:val="both"/>
        <w:rPr>
          <w:b/>
          <w:bCs/>
          <w:color w:val="000000" w:themeColor="text1"/>
          <w14:textFill>
            <w14:solidFill>
              <w14:schemeClr w14:val="tx1"/>
            </w14:solidFill>
          </w14:textFill>
        </w:rPr>
      </w:pPr>
    </w:p>
    <w:p w14:paraId="314E0762">
      <w:pPr>
        <w:jc w:val="both"/>
        <w:rPr>
          <w:b/>
          <w:bCs/>
          <w:color w:val="000000" w:themeColor="text1"/>
          <w14:textFill>
            <w14:solidFill>
              <w14:schemeClr w14:val="tx1"/>
            </w14:solidFill>
          </w14:textFill>
        </w:rPr>
      </w:pPr>
    </w:p>
    <w:p w14:paraId="329332C8">
      <w:pPr>
        <w:jc w:val="both"/>
        <w:rPr>
          <w:b/>
          <w:bCs/>
          <w:color w:val="000000" w:themeColor="text1"/>
          <w14:textFill>
            <w14:solidFill>
              <w14:schemeClr w14:val="tx1"/>
            </w14:solidFill>
          </w14:textFill>
        </w:rPr>
      </w:pPr>
    </w:p>
    <w:p w14:paraId="7649879F">
      <w:pPr>
        <w:jc w:val="both"/>
        <w:rPr>
          <w:b/>
          <w:bCs/>
          <w:color w:val="000000" w:themeColor="text1"/>
          <w14:textFill>
            <w14:solidFill>
              <w14:schemeClr w14:val="tx1"/>
            </w14:solidFill>
          </w14:textFill>
        </w:rPr>
      </w:pPr>
    </w:p>
    <w:p w14:paraId="522BA1F0">
      <w:pPr>
        <w:jc w:val="both"/>
        <w:rPr>
          <w:b/>
          <w:bCs/>
          <w:color w:val="000000" w:themeColor="text1"/>
          <w14:textFill>
            <w14:solidFill>
              <w14:schemeClr w14:val="tx1"/>
            </w14:solidFill>
          </w14:textFill>
        </w:rPr>
      </w:pPr>
    </w:p>
    <w:p w14:paraId="086F593F">
      <w:pPr>
        <w:jc w:val="both"/>
        <w:rPr>
          <w:b/>
          <w:bCs/>
          <w:color w:val="000000" w:themeColor="text1"/>
          <w14:textFill>
            <w14:solidFill>
              <w14:schemeClr w14:val="tx1"/>
            </w14:solidFill>
          </w14:textFill>
        </w:rPr>
      </w:pPr>
    </w:p>
    <w:p w14:paraId="6C50EB56">
      <w:pPr>
        <w:jc w:val="both"/>
        <w:rPr>
          <w:b/>
          <w:bCs/>
          <w:color w:val="000000" w:themeColor="text1"/>
          <w14:textFill>
            <w14:solidFill>
              <w14:schemeClr w14:val="tx1"/>
            </w14:solidFill>
          </w14:textFill>
        </w:rPr>
      </w:pPr>
    </w:p>
    <w:p w14:paraId="6EDF8779">
      <w:pPr>
        <w:jc w:val="both"/>
        <w:rPr>
          <w:b/>
          <w:bCs/>
          <w:color w:val="000000" w:themeColor="text1"/>
          <w14:textFill>
            <w14:solidFill>
              <w14:schemeClr w14:val="tx1"/>
            </w14:solidFill>
          </w14:textFill>
        </w:rPr>
      </w:pPr>
    </w:p>
    <w:p w14:paraId="620CEB5C">
      <w:pPr>
        <w:jc w:val="both"/>
        <w:rPr>
          <w:b/>
          <w:bCs/>
          <w:color w:val="000000" w:themeColor="text1"/>
          <w14:textFill>
            <w14:solidFill>
              <w14:schemeClr w14:val="tx1"/>
            </w14:solidFill>
          </w14:textFill>
        </w:rPr>
      </w:pPr>
    </w:p>
    <w:p w14:paraId="1A9DFC8F">
      <w:pPr>
        <w:jc w:val="both"/>
        <w:rPr>
          <w:b/>
          <w:bCs/>
          <w:color w:val="000000" w:themeColor="text1"/>
          <w14:textFill>
            <w14:solidFill>
              <w14:schemeClr w14:val="tx1"/>
            </w14:solidFill>
          </w14:textFill>
        </w:rPr>
      </w:pPr>
    </w:p>
    <w:p w14:paraId="6F15E98D">
      <w:pPr>
        <w:jc w:val="both"/>
        <w:rPr>
          <w:b/>
          <w:bCs/>
          <w:color w:val="000000" w:themeColor="text1"/>
          <w14:textFill>
            <w14:solidFill>
              <w14:schemeClr w14:val="tx1"/>
            </w14:solidFill>
          </w14:textFill>
        </w:rPr>
      </w:pPr>
    </w:p>
    <w:p w14:paraId="4DA1B745">
      <w:pPr>
        <w:jc w:val="both"/>
        <w:rPr>
          <w:b/>
          <w:bCs/>
          <w:color w:val="000000" w:themeColor="text1"/>
          <w14:textFill>
            <w14:solidFill>
              <w14:schemeClr w14:val="tx1"/>
            </w14:solidFill>
          </w14:textFill>
        </w:rPr>
      </w:pPr>
    </w:p>
    <w:p w14:paraId="70936268">
      <w:pPr>
        <w:jc w:val="both"/>
        <w:rPr>
          <w:b/>
          <w:bCs/>
          <w:color w:val="000000" w:themeColor="text1"/>
          <w14:textFill>
            <w14:solidFill>
              <w14:schemeClr w14:val="tx1"/>
            </w14:solidFill>
          </w14:textFill>
        </w:rPr>
      </w:pPr>
    </w:p>
    <w:p w14:paraId="4E97827C">
      <w:pPr>
        <w:jc w:val="both"/>
        <w:rPr>
          <w:b/>
          <w:bCs/>
          <w:color w:val="000000" w:themeColor="text1"/>
          <w14:textFill>
            <w14:solidFill>
              <w14:schemeClr w14:val="tx1"/>
            </w14:solidFill>
          </w14:textFill>
        </w:rPr>
      </w:pPr>
    </w:p>
    <w:p w14:paraId="0DC7F1F7">
      <w:pPr>
        <w:jc w:val="both"/>
        <w:rPr>
          <w:b/>
          <w:bCs/>
          <w:color w:val="000000" w:themeColor="text1"/>
          <w14:textFill>
            <w14:solidFill>
              <w14:schemeClr w14:val="tx1"/>
            </w14:solidFill>
          </w14:textFill>
        </w:rPr>
      </w:pPr>
    </w:p>
    <w:p w14:paraId="33FA9ED1">
      <w:pPr>
        <w:jc w:val="both"/>
        <w:rPr>
          <w:b/>
          <w:bCs/>
          <w:color w:val="000000" w:themeColor="text1"/>
          <w14:textFill>
            <w14:solidFill>
              <w14:schemeClr w14:val="tx1"/>
            </w14:solidFill>
          </w14:textFill>
        </w:rPr>
      </w:pPr>
    </w:p>
    <w:p w14:paraId="58F6CAA8">
      <w:pPr>
        <w:jc w:val="both"/>
        <w:rPr>
          <w:b/>
          <w:bCs/>
          <w:color w:val="000000" w:themeColor="text1"/>
          <w14:textFill>
            <w14:solidFill>
              <w14:schemeClr w14:val="tx1"/>
            </w14:solidFill>
          </w14:textFill>
        </w:rPr>
      </w:pPr>
    </w:p>
    <w:p w14:paraId="0B2C6FE4">
      <w:pPr>
        <w:jc w:val="both"/>
        <w:rPr>
          <w:b/>
          <w:bCs/>
          <w:color w:val="000000" w:themeColor="text1"/>
          <w14:textFill>
            <w14:solidFill>
              <w14:schemeClr w14:val="tx1"/>
            </w14:solidFill>
          </w14:textFill>
        </w:rPr>
      </w:pPr>
    </w:p>
    <w:p w14:paraId="5C6F91A1">
      <w:pPr>
        <w:jc w:val="both"/>
        <w:rPr>
          <w:b/>
          <w:bCs/>
          <w:color w:val="000000" w:themeColor="text1"/>
          <w14:textFill>
            <w14:solidFill>
              <w14:schemeClr w14:val="tx1"/>
            </w14:solidFill>
          </w14:textFill>
        </w:rPr>
      </w:pPr>
    </w:p>
    <w:p w14:paraId="13F6D9AE">
      <w:pPr>
        <w:jc w:val="both"/>
        <w:rPr>
          <w:b/>
          <w:bCs/>
          <w:color w:val="000000" w:themeColor="text1"/>
          <w14:textFill>
            <w14:solidFill>
              <w14:schemeClr w14:val="tx1"/>
            </w14:solidFill>
          </w14:textFill>
        </w:rPr>
      </w:pPr>
    </w:p>
    <w:p w14:paraId="5CD4960D">
      <w:pPr>
        <w:jc w:val="both"/>
        <w:rPr>
          <w:b/>
          <w:bCs/>
          <w:color w:val="000000" w:themeColor="text1"/>
          <w14:textFill>
            <w14:solidFill>
              <w14:schemeClr w14:val="tx1"/>
            </w14:solidFill>
          </w14:textFill>
        </w:rPr>
      </w:pPr>
    </w:p>
    <w:p w14:paraId="12D36914">
      <w:pPr>
        <w:jc w:val="both"/>
        <w:rPr>
          <w:b/>
          <w:bCs/>
          <w:color w:val="000000" w:themeColor="text1"/>
          <w14:textFill>
            <w14:solidFill>
              <w14:schemeClr w14:val="tx1"/>
            </w14:solidFill>
          </w14:textFill>
        </w:rPr>
      </w:pPr>
    </w:p>
    <w:p w14:paraId="70308931">
      <w:pPr>
        <w:jc w:val="both"/>
        <w:rPr>
          <w:b/>
          <w:bCs/>
          <w:color w:val="000000" w:themeColor="text1"/>
          <w14:textFill>
            <w14:solidFill>
              <w14:schemeClr w14:val="tx1"/>
            </w14:solidFill>
          </w14:textFill>
        </w:rPr>
      </w:pPr>
    </w:p>
    <w:p w14:paraId="193D5E11">
      <w:pPr>
        <w:jc w:val="both"/>
        <w:rPr>
          <w:b/>
          <w:bCs/>
          <w:color w:val="000000" w:themeColor="text1"/>
          <w14:textFill>
            <w14:solidFill>
              <w14:schemeClr w14:val="tx1"/>
            </w14:solidFill>
          </w14:textFill>
        </w:rPr>
      </w:pPr>
    </w:p>
    <w:p w14:paraId="470C888E">
      <w:pPr>
        <w:jc w:val="both"/>
        <w:rPr>
          <w:b/>
          <w:bCs/>
          <w:color w:val="000000" w:themeColor="text1"/>
          <w14:textFill>
            <w14:solidFill>
              <w14:schemeClr w14:val="tx1"/>
            </w14:solidFill>
          </w14:textFill>
        </w:rPr>
      </w:pPr>
    </w:p>
    <w:p w14:paraId="52EEF229">
      <w:pPr>
        <w:jc w:val="both"/>
        <w:rPr>
          <w:b/>
          <w:bCs/>
          <w:color w:val="000000" w:themeColor="text1"/>
          <w14:textFill>
            <w14:solidFill>
              <w14:schemeClr w14:val="tx1"/>
            </w14:solidFill>
          </w14:textFill>
        </w:rPr>
      </w:pPr>
    </w:p>
    <w:p w14:paraId="273E8360">
      <w:pPr>
        <w:jc w:val="both"/>
        <w:rPr>
          <w:b/>
          <w:bCs/>
          <w:color w:val="000000" w:themeColor="text1"/>
          <w14:textFill>
            <w14:solidFill>
              <w14:schemeClr w14:val="tx1"/>
            </w14:solidFill>
          </w14:textFill>
        </w:rPr>
      </w:pPr>
    </w:p>
    <w:p w14:paraId="4999587E">
      <w:pPr>
        <w:jc w:val="both"/>
        <w:rPr>
          <w:b/>
          <w:bCs/>
          <w:color w:val="000000" w:themeColor="text1"/>
          <w14:textFill>
            <w14:solidFill>
              <w14:schemeClr w14:val="tx1"/>
            </w14:solidFill>
          </w14:textFill>
        </w:rPr>
      </w:pPr>
    </w:p>
    <w:p w14:paraId="7779DFC7">
      <w:pPr>
        <w:jc w:val="both"/>
        <w:rPr>
          <w:b/>
          <w:bCs/>
          <w:color w:val="000000" w:themeColor="text1"/>
          <w14:textFill>
            <w14:solidFill>
              <w14:schemeClr w14:val="tx1"/>
            </w14:solidFill>
          </w14:textFill>
        </w:rPr>
      </w:pPr>
    </w:p>
    <w:p w14:paraId="7284BA23">
      <w:pPr>
        <w:jc w:val="both"/>
        <w:rPr>
          <w:b/>
          <w:bCs/>
          <w:color w:val="000000" w:themeColor="text1"/>
          <w14:textFill>
            <w14:solidFill>
              <w14:schemeClr w14:val="tx1"/>
            </w14:solidFill>
          </w14:textFill>
        </w:rPr>
      </w:pPr>
    </w:p>
    <w:p w14:paraId="2F57A229">
      <w:pPr>
        <w:jc w:val="both"/>
        <w:rPr>
          <w:b/>
          <w:bCs/>
          <w:color w:val="000000" w:themeColor="text1"/>
          <w14:textFill>
            <w14:solidFill>
              <w14:schemeClr w14:val="tx1"/>
            </w14:solidFill>
          </w14:textFill>
        </w:rPr>
      </w:pPr>
    </w:p>
    <w:p w14:paraId="607A12B8">
      <w:pPr>
        <w:jc w:val="both"/>
        <w:rPr>
          <w:b/>
          <w:bCs/>
          <w:color w:val="000000" w:themeColor="text1"/>
          <w14:textFill>
            <w14:solidFill>
              <w14:schemeClr w14:val="tx1"/>
            </w14:solidFill>
          </w14:textFill>
        </w:rPr>
      </w:pPr>
    </w:p>
    <w:p w14:paraId="28698657">
      <w:pPr>
        <w:jc w:val="both"/>
        <w:rPr>
          <w:b/>
          <w:bCs/>
          <w:color w:val="000000" w:themeColor="text1"/>
          <w14:textFill>
            <w14:solidFill>
              <w14:schemeClr w14:val="tx1"/>
            </w14:solidFill>
          </w14:textFill>
        </w:rPr>
      </w:pPr>
    </w:p>
    <w:p w14:paraId="52D76658">
      <w:pPr>
        <w:jc w:val="both"/>
        <w:rPr>
          <w:b/>
          <w:bCs/>
          <w:color w:val="000000" w:themeColor="text1"/>
          <w14:textFill>
            <w14:solidFill>
              <w14:schemeClr w14:val="tx1"/>
            </w14:solidFill>
          </w14:textFill>
        </w:rPr>
      </w:pPr>
    </w:p>
    <w:p w14:paraId="742EE859">
      <w:pPr>
        <w:pStyle w:val="2"/>
        <w:rPr>
          <w:rFonts w:ascii="Times New Roman" w:hAnsi="Times New Roman" w:cs="Times New Roman"/>
          <w:b/>
          <w:bCs/>
          <w:color w:val="000000" w:themeColor="text1"/>
          <w:sz w:val="24"/>
          <w:szCs w:val="24"/>
          <w14:textFill>
            <w14:solidFill>
              <w14:schemeClr w14:val="tx1"/>
            </w14:solidFill>
          </w14:textFill>
        </w:rPr>
      </w:pPr>
      <w:bookmarkStart w:id="0" w:name="_Toc199195210"/>
      <w:r>
        <w:rPr>
          <w:rFonts w:ascii="Times New Roman" w:hAnsi="Times New Roman" w:cs="Times New Roman"/>
          <w:b/>
          <w:bCs/>
          <w:color w:val="000000" w:themeColor="text1"/>
          <w:sz w:val="24"/>
          <w:szCs w:val="24"/>
          <w14:textFill>
            <w14:solidFill>
              <w14:schemeClr w14:val="tx1"/>
            </w14:solidFill>
          </w14:textFill>
        </w:rPr>
        <w:t>Tourism and Commodification in Germany</w:t>
      </w:r>
      <w:bookmarkEnd w:id="0"/>
    </w:p>
    <w:p w14:paraId="0471664E">
      <w:pPr>
        <w:jc w:val="both"/>
        <w:rPr>
          <w:b/>
          <w:bCs/>
          <w:color w:val="000000" w:themeColor="text1"/>
          <w14:textFill>
            <w14:solidFill>
              <w14:schemeClr w14:val="tx1"/>
            </w14:solidFill>
          </w14:textFill>
        </w:rPr>
      </w:pPr>
    </w:p>
    <w:p w14:paraId="4694A62D">
      <w:pPr>
        <w:jc w:val="both"/>
        <w:rPr>
          <w:color w:val="000000" w:themeColor="text1"/>
          <w14:textFill>
            <w14:solidFill>
              <w14:schemeClr w14:val="tx1"/>
            </w14:solidFill>
          </w14:textFill>
        </w:rPr>
      </w:pPr>
      <w:r>
        <w:rPr>
          <w:color w:val="000000" w:themeColor="text1"/>
          <w14:textFill>
            <w14:solidFill>
              <w14:schemeClr w14:val="tx1"/>
            </w14:solidFill>
          </w14:textFill>
        </w:rPr>
        <w:t>Tourism is a significant economic and cultural force in Germany. With the mix of medieval cities, lively cities, castles, and celebrations, the nation attracts millions of tourists yearly. Tourism is typically accompanied by the commodification of culture, wherein traditions, symbols, and lifestyles are translated into consumable experiences or products for tourists. Although the process may benefit local economies, it threatens to downplay the authenticity, worth, and sustainability of cultural practices</w:t>
      </w:r>
      <w:r>
        <w:rPr>
          <w:color w:val="000000"/>
        </w:rPr>
        <w:t>(Berkenbosch et al., 2022)</w:t>
      </w:r>
      <w:r>
        <w:rPr>
          <w:color w:val="000000" w:themeColor="text1"/>
          <w14:textFill>
            <w14:solidFill>
              <w14:schemeClr w14:val="tx1"/>
            </w14:solidFill>
          </w14:textFill>
        </w:rPr>
        <w:t>. This essay discusses the relationship between tourism and commodification in Germany by analyzing the cultural elements commodified, how these changes affect local society, the possible negative effects, and how to preserve cultural identity as tourism grows.</w:t>
      </w:r>
    </w:p>
    <w:p w14:paraId="4FB7F253">
      <w:pPr>
        <w:jc w:val="both"/>
        <w:rPr>
          <w:color w:val="000000" w:themeColor="text1"/>
          <w14:textFill>
            <w14:solidFill>
              <w14:schemeClr w14:val="tx1"/>
            </w14:solidFill>
          </w14:textFill>
        </w:rPr>
      </w:pPr>
    </w:p>
    <w:p w14:paraId="5ED83C28">
      <w:pPr>
        <w:pStyle w:val="2"/>
        <w:rPr>
          <w:rFonts w:ascii="Times New Roman" w:hAnsi="Times New Roman" w:cs="Times New Roman"/>
          <w:b/>
          <w:bCs/>
          <w:color w:val="000000" w:themeColor="text1"/>
          <w:sz w:val="24"/>
          <w:szCs w:val="24"/>
          <w14:textFill>
            <w14:solidFill>
              <w14:schemeClr w14:val="tx1"/>
            </w14:solidFill>
          </w14:textFill>
        </w:rPr>
      </w:pPr>
      <w:bookmarkStart w:id="1" w:name="_Toc199195211"/>
      <w:r>
        <w:rPr>
          <w:rFonts w:ascii="Times New Roman" w:hAnsi="Times New Roman" w:cs="Times New Roman"/>
          <w:b/>
          <w:bCs/>
          <w:color w:val="000000" w:themeColor="text1"/>
          <w:sz w:val="24"/>
          <w:szCs w:val="24"/>
          <w14:textFill>
            <w14:solidFill>
              <w14:schemeClr w14:val="tx1"/>
            </w14:solidFill>
          </w14:textFill>
        </w:rPr>
        <w:t>Cultural Aspects Commodified for Tourism</w:t>
      </w:r>
      <w:bookmarkEnd w:id="1"/>
    </w:p>
    <w:p w14:paraId="5B4093A4">
      <w:pPr>
        <w:jc w:val="both"/>
        <w:rPr>
          <w:color w:val="000000" w:themeColor="text1"/>
          <w14:textFill>
            <w14:solidFill>
              <w14:schemeClr w14:val="tx1"/>
            </w14:solidFill>
          </w14:textFill>
        </w:rPr>
      </w:pPr>
    </w:p>
    <w:p w14:paraId="2888BADA">
      <w:pPr>
        <w:jc w:val="both"/>
        <w:rPr>
          <w:color w:val="000000" w:themeColor="text1"/>
          <w14:textFill>
            <w14:solidFill>
              <w14:schemeClr w14:val="tx1"/>
            </w14:solidFill>
          </w14:textFill>
        </w:rPr>
      </w:pPr>
      <w:r>
        <w:rPr>
          <w:color w:val="000000" w:themeColor="text1"/>
          <w14:textFill>
            <w14:solidFill>
              <w14:schemeClr w14:val="tx1"/>
            </w14:solidFill>
          </w14:textFill>
        </w:rPr>
        <w:t>One of the areas most notably commodified in Germany is its festivals, notably Oktoberfest. What began as a wedding party by the royal court in 1810 is today a behemoth international affair and byword for Bavarian and German culture</w:t>
      </w:r>
      <w:r>
        <w:rPr>
          <w:color w:val="000000"/>
        </w:rPr>
        <w:t>(Flatz et al., 2024)</w:t>
      </w:r>
      <w:r>
        <w:rPr>
          <w:color w:val="000000" w:themeColor="text1"/>
          <w14:textFill>
            <w14:solidFill>
              <w14:schemeClr w14:val="tx1"/>
            </w14:solidFill>
          </w14:textFill>
        </w:rPr>
        <w:t>. Tourists travel in the millions annually from everywhere on earth to Munich for massive beer tents, carnival rides, and traditional attire. Though the festival continues to promote Bavarian culture, a lot of it has since been restructured to accommodate the entertainment of global audiences. Examples range from generic music play lists to corporate-sponsored beer souvenirs and mass-produced foods, all of which diverge from the original cultural heritage of the event.</w:t>
      </w:r>
    </w:p>
    <w:p w14:paraId="638F2D86">
      <w:pPr>
        <w:jc w:val="both"/>
        <w:rPr>
          <w:color w:val="000000" w:themeColor="text1"/>
          <w14:textFill>
            <w14:solidFill>
              <w14:schemeClr w14:val="tx1"/>
            </w14:solidFill>
          </w14:textFill>
        </w:rPr>
      </w:pPr>
    </w:p>
    <w:p w14:paraId="2074FB63">
      <w:pPr>
        <w:jc w:val="both"/>
        <w:rPr>
          <w:color w:val="000000" w:themeColor="text1"/>
          <w14:textFill>
            <w14:solidFill>
              <w14:schemeClr w14:val="tx1"/>
            </w14:solidFill>
          </w14:textFill>
        </w:rPr>
      </w:pPr>
      <w:r>
        <w:rPr>
          <w:color w:val="000000" w:themeColor="text1"/>
          <w14:textFill>
            <w14:solidFill>
              <w14:schemeClr w14:val="tx1"/>
            </w14:solidFill>
          </w14:textFill>
        </w:rPr>
        <w:t>Another instance is Christmas markets (Weihnachtsmärkte), which take place in numerous German towns and cities. They were initially based on local winter and religious traditions but have since been modified to accommodate foreign tourism. Quite a number of the stalls now offer mass-produced baubles or factory-made "traditional" objects that lack any local input</w:t>
      </w:r>
      <w:r>
        <w:rPr>
          <w:color w:val="000000"/>
        </w:rPr>
        <w:t>(Parker et al., 2024)</w:t>
      </w:r>
      <w:r>
        <w:rPr>
          <w:color w:val="000000" w:themeColor="text1"/>
          <w14:textFill>
            <w14:solidFill>
              <w14:schemeClr w14:val="tx1"/>
            </w14:solidFill>
          </w14:textFill>
        </w:rPr>
        <w:t>. The Christmas markets still maintain some of the original touches like mulled wine (Glühwein) and local vegetables, but growing commercialization altered the atmosphere and intention.</w:t>
      </w:r>
    </w:p>
    <w:p w14:paraId="4CDD81AD">
      <w:pPr>
        <w:jc w:val="both"/>
        <w:rPr>
          <w:color w:val="000000" w:themeColor="text1"/>
          <w14:textFill>
            <w14:solidFill>
              <w14:schemeClr w14:val="tx1"/>
            </w14:solidFill>
          </w14:textFill>
        </w:rPr>
      </w:pPr>
    </w:p>
    <w:p w14:paraId="42DCD5AA">
      <w:pPr>
        <w:jc w:val="both"/>
        <w:rPr>
          <w:color w:val="000000" w:themeColor="text1"/>
          <w14:textFill>
            <w14:solidFill>
              <w14:schemeClr w14:val="tx1"/>
            </w14:solidFill>
          </w14:textFill>
        </w:rPr>
      </w:pPr>
      <w:r>
        <w:rPr>
          <w:color w:val="000000" w:themeColor="text1"/>
          <w14:textFill>
            <w14:solidFill>
              <w14:schemeClr w14:val="tx1"/>
            </w14:solidFill>
          </w14:textFill>
        </w:rPr>
        <w:t>Germany's folk dress, like Lederhosen and Dirndls, is likewise commodified. The once special and exclusive clothing of certain cultural or agricultural festivals in Bavaria or the Alps is now mass-produced for commercial purposes using synthetic materials and sold as souvenirs or festival attire to visitors</w:t>
      </w:r>
      <w:r>
        <w:rPr>
          <w:color w:val="000000"/>
        </w:rPr>
        <w:t>(Cavelzani &amp; Bloyd, 2025)</w:t>
      </w:r>
      <w:r>
        <w:rPr>
          <w:color w:val="000000" w:themeColor="text1"/>
          <w14:textFill>
            <w14:solidFill>
              <w14:schemeClr w14:val="tx1"/>
            </w14:solidFill>
          </w14:textFill>
        </w:rPr>
        <w:t>. In the same way, Black Forest cuckoo clocks, which used to be painstakingly handcrafted by local craftspeople, are likewise mass-produced nowadays for exportation.</w:t>
      </w:r>
    </w:p>
    <w:p w14:paraId="2CFDA649">
      <w:pPr>
        <w:jc w:val="both"/>
        <w:rPr>
          <w:color w:val="000000" w:themeColor="text1"/>
          <w14:textFill>
            <w14:solidFill>
              <w14:schemeClr w14:val="tx1"/>
            </w14:solidFill>
          </w14:textFill>
        </w:rPr>
      </w:pPr>
    </w:p>
    <w:p w14:paraId="19E11BF5">
      <w:pPr>
        <w:pStyle w:val="2"/>
        <w:rPr>
          <w:rFonts w:ascii="Times New Roman" w:hAnsi="Times New Roman" w:cs="Times New Roman"/>
          <w:b/>
          <w:bCs/>
          <w:color w:val="000000" w:themeColor="text1"/>
          <w:sz w:val="24"/>
          <w:szCs w:val="24"/>
          <w14:textFill>
            <w14:solidFill>
              <w14:schemeClr w14:val="tx1"/>
            </w14:solidFill>
          </w14:textFill>
        </w:rPr>
      </w:pPr>
      <w:bookmarkStart w:id="2" w:name="_Toc199195212"/>
      <w:r>
        <w:rPr>
          <w:rFonts w:ascii="Times New Roman" w:hAnsi="Times New Roman" w:cs="Times New Roman"/>
          <w:b/>
          <w:bCs/>
          <w:color w:val="000000" w:themeColor="text1"/>
          <w:sz w:val="24"/>
          <w:szCs w:val="24"/>
          <w14:textFill>
            <w14:solidFill>
              <w14:schemeClr w14:val="tx1"/>
            </w14:solidFill>
          </w14:textFill>
        </w:rPr>
        <w:t>How Commodification Has Changed Cultural Practices</w:t>
      </w:r>
      <w:bookmarkEnd w:id="2"/>
    </w:p>
    <w:p w14:paraId="5C3E17CC">
      <w:pPr>
        <w:jc w:val="both"/>
        <w:rPr>
          <w:color w:val="000000" w:themeColor="text1"/>
          <w14:textFill>
            <w14:solidFill>
              <w14:schemeClr w14:val="tx1"/>
            </w14:solidFill>
          </w14:textFill>
        </w:rPr>
      </w:pPr>
    </w:p>
    <w:p w14:paraId="6BFA4CE2">
      <w:pPr>
        <w:jc w:val="both"/>
        <w:rPr>
          <w:color w:val="000000" w:themeColor="text1"/>
          <w14:textFill>
            <w14:solidFill>
              <w14:schemeClr w14:val="tx1"/>
            </w14:solidFill>
          </w14:textFill>
        </w:rPr>
      </w:pPr>
      <w:r>
        <w:rPr>
          <w:color w:val="000000" w:themeColor="text1"/>
          <w14:textFill>
            <w14:solidFill>
              <w14:schemeClr w14:val="tx1"/>
            </w14:solidFill>
          </w14:textFill>
        </w:rPr>
        <w:t>Commodification of those aspects of culture has brought both the way traditions are performed and how traditions are viewed by tourists and locals to change. Simplification or distortion of traditions is one of the most important shifts. Due to the purpose of introducing events or cultural symbols to tourists, they are commodified into easily identifiable stereotypes. For instance, authentic Bavarian music is substituted with less descriptive German folk music or even pop remixed songs in order to appeal to more people during festivals such as Oktoberfest. Authenticity now gives way to entertainment</w:t>
      </w:r>
      <w:r>
        <w:rPr>
          <w:color w:val="000000"/>
        </w:rPr>
        <w:t>(Lampe, 2025)</w:t>
      </w:r>
      <w:r>
        <w:rPr>
          <w:color w:val="000000" w:themeColor="text1"/>
          <w14:textFill>
            <w14:solidFill>
              <w14:schemeClr w14:val="tx1"/>
            </w14:solidFill>
          </w14:textFill>
        </w:rPr>
        <w:t>.</w:t>
      </w:r>
    </w:p>
    <w:p w14:paraId="58B6A865">
      <w:pPr>
        <w:jc w:val="both"/>
        <w:rPr>
          <w:color w:val="000000" w:themeColor="text1"/>
          <w14:textFill>
            <w14:solidFill>
              <w14:schemeClr w14:val="tx1"/>
            </w14:solidFill>
          </w14:textFill>
        </w:rPr>
      </w:pPr>
    </w:p>
    <w:p w14:paraId="7C6473DB">
      <w:pPr>
        <w:jc w:val="both"/>
        <w:rPr>
          <w:color w:val="000000" w:themeColor="text1"/>
          <w14:textFill>
            <w14:solidFill>
              <w14:schemeClr w14:val="tx1"/>
            </w14:solidFill>
          </w14:textFill>
        </w:rPr>
      </w:pPr>
      <w:r>
        <w:rPr>
          <w:color w:val="000000" w:themeColor="text1"/>
          <w14:textFill>
            <w14:solidFill>
              <w14:schemeClr w14:val="tx1"/>
            </w14:solidFill>
          </w14:textFill>
        </w:rPr>
        <w:t>This business model can also disengage people from their heritage. To young generations, cultural festivals are a show rather than an actual tradition. Instead of experiencing an ancient ceremony, citizens may feel that they are just pretending to experience it for tourists. Over time, the religious, historical, or social origin of such activities will be lost.</w:t>
      </w:r>
    </w:p>
    <w:p w14:paraId="34BD9F35">
      <w:pPr>
        <w:jc w:val="both"/>
        <w:rPr>
          <w:color w:val="000000" w:themeColor="text1"/>
          <w14:textFill>
            <w14:solidFill>
              <w14:schemeClr w14:val="tx1"/>
            </w14:solidFill>
          </w14:textFill>
        </w:rPr>
      </w:pPr>
      <w:r>
        <w:rPr>
          <w:color w:val="000000" w:themeColor="text1"/>
          <w14:textFill>
            <w14:solidFill>
              <w14:schemeClr w14:val="tx1"/>
            </w14:solidFill>
          </w14:textFill>
        </w:rPr>
        <w:t>Second, commodification alters the way one experiences culture while they are there. Rather than being immersed in Germany's wealth of traditions as living, breathing practices, most tourists receive a sanitized, packaged version cobbled together to be consumed all at once. It creates a superficial understanding of German culture, where experiences are quantified by souvenir count and shot possibilities instead of genuine connections.</w:t>
      </w:r>
    </w:p>
    <w:p w14:paraId="69917776">
      <w:pPr>
        <w:jc w:val="both"/>
        <w:rPr>
          <w:color w:val="000000" w:themeColor="text1"/>
          <w14:textFill>
            <w14:solidFill>
              <w14:schemeClr w14:val="tx1"/>
            </w14:solidFill>
          </w14:textFill>
        </w:rPr>
      </w:pPr>
    </w:p>
    <w:p w14:paraId="0CA0E773">
      <w:pPr>
        <w:pStyle w:val="2"/>
        <w:rPr>
          <w:rFonts w:ascii="Times New Roman" w:hAnsi="Times New Roman" w:cs="Times New Roman"/>
          <w:b/>
          <w:bCs/>
          <w:color w:val="000000" w:themeColor="text1"/>
          <w:sz w:val="24"/>
          <w:szCs w:val="24"/>
          <w14:textFill>
            <w14:solidFill>
              <w14:schemeClr w14:val="tx1"/>
            </w14:solidFill>
          </w14:textFill>
        </w:rPr>
      </w:pPr>
      <w:bookmarkStart w:id="3" w:name="_Toc199195213"/>
      <w:r>
        <w:rPr>
          <w:rFonts w:ascii="Times New Roman" w:hAnsi="Times New Roman" w:cs="Times New Roman"/>
          <w:b/>
          <w:bCs/>
          <w:color w:val="000000" w:themeColor="text1"/>
          <w:sz w:val="24"/>
          <w:szCs w:val="24"/>
          <w14:textFill>
            <w14:solidFill>
              <w14:schemeClr w14:val="tx1"/>
            </w14:solidFill>
          </w14:textFill>
        </w:rPr>
        <w:t>Negative Impacts on Local Communities</w:t>
      </w:r>
      <w:bookmarkEnd w:id="3"/>
    </w:p>
    <w:p w14:paraId="792AB8C7">
      <w:pPr>
        <w:jc w:val="both"/>
        <w:rPr>
          <w:color w:val="000000" w:themeColor="text1"/>
          <w14:textFill>
            <w14:solidFill>
              <w14:schemeClr w14:val="tx1"/>
            </w14:solidFill>
          </w14:textFill>
        </w:rPr>
      </w:pPr>
    </w:p>
    <w:p w14:paraId="13DBEABE">
      <w:pPr>
        <w:jc w:val="both"/>
        <w:rPr>
          <w:color w:val="000000" w:themeColor="text1"/>
          <w14:textFill>
            <w14:solidFill>
              <w14:schemeClr w14:val="tx1"/>
            </w14:solidFill>
          </w14:textFill>
        </w:rPr>
      </w:pPr>
      <w:r>
        <w:rPr>
          <w:color w:val="000000" w:themeColor="text1"/>
          <w14:textFill>
            <w14:solidFill>
              <w14:schemeClr w14:val="tx1"/>
            </w14:solidFill>
          </w14:textFill>
        </w:rPr>
        <w:t>Although cultural tourism also brings economic advantages, i.e., employment and investment in infrastructure, it has social and cultural problems for indigenous German societies:</w:t>
      </w:r>
    </w:p>
    <w:p w14:paraId="468ABAEC">
      <w:pPr>
        <w:jc w:val="both"/>
        <w:rPr>
          <w:color w:val="000000" w:themeColor="text1"/>
          <w14:textFill>
            <w14:solidFill>
              <w14:schemeClr w14:val="tx1"/>
            </w14:solidFill>
          </w14:textFill>
        </w:rPr>
      </w:pPr>
    </w:p>
    <w:p w14:paraId="76C924D5">
      <w:pPr>
        <w:pStyle w:val="41"/>
        <w:numPr>
          <w:ilvl w:val="0"/>
          <w:numId w:val="1"/>
        </w:num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Loss of Cultural Authenticity</w:t>
      </w:r>
    </w:p>
    <w:p w14:paraId="338CE4CF">
      <w:pPr>
        <w:jc w:val="both"/>
        <w:rPr>
          <w:color w:val="000000" w:themeColor="text1"/>
          <w14:textFill>
            <w14:solidFill>
              <w14:schemeClr w14:val="tx1"/>
            </w14:solidFill>
          </w14:textFill>
        </w:rPr>
      </w:pPr>
    </w:p>
    <w:p w14:paraId="1D96E6DB">
      <w:pPr>
        <w:jc w:val="both"/>
        <w:rPr>
          <w:color w:val="000000" w:themeColor="text1"/>
          <w14:textFill>
            <w14:solidFill>
              <w14:schemeClr w14:val="tx1"/>
            </w14:solidFill>
          </w14:textFill>
        </w:rPr>
      </w:pPr>
      <w:r>
        <w:rPr>
          <w:color w:val="000000" w:themeColor="text1"/>
          <w14:textFill>
            <w14:solidFill>
              <w14:schemeClr w14:val="tx1"/>
            </w14:solidFill>
          </w14:textFill>
        </w:rPr>
        <w:t>The adaptation to tourist performances, however, has a tendency to strip the original meaning from the cultural forms. Such traditions, as they become commercialized performances, might lose their meaning or be misrepresented. For instance, the novelty of Lederhosen as a party dress could reduce their cultural and historical context to nothing but that.</w:t>
      </w:r>
    </w:p>
    <w:p w14:paraId="37C9E12E">
      <w:pPr>
        <w:jc w:val="both"/>
        <w:rPr>
          <w:color w:val="000000" w:themeColor="text1"/>
          <w14:textFill>
            <w14:solidFill>
              <w14:schemeClr w14:val="tx1"/>
            </w14:solidFill>
          </w14:textFill>
        </w:rPr>
      </w:pPr>
    </w:p>
    <w:p w14:paraId="4123338E">
      <w:pPr>
        <w:jc w:val="both"/>
        <w:rPr>
          <w:color w:val="000000" w:themeColor="text1"/>
          <w14:textFill>
            <w14:solidFill>
              <w14:schemeClr w14:val="tx1"/>
            </w14:solidFill>
          </w14:textFill>
        </w:rPr>
      </w:pPr>
      <w:r>
        <w:rPr>
          <w:color w:val="000000" w:themeColor="text1"/>
          <w14:textFill>
            <w14:solidFill>
              <w14:schemeClr w14:val="tx1"/>
            </w14:solidFill>
          </w14:textFill>
        </w:rPr>
        <w:t>2. Overtourism and Lifestyle Disruption</w:t>
      </w:r>
    </w:p>
    <w:p w14:paraId="4FCD426C">
      <w:pPr>
        <w:jc w:val="both"/>
        <w:rPr>
          <w:color w:val="000000" w:themeColor="text1"/>
          <w14:textFill>
            <w14:solidFill>
              <w14:schemeClr w14:val="tx1"/>
            </w14:solidFill>
          </w14:textFill>
        </w:rPr>
      </w:pPr>
    </w:p>
    <w:p w14:paraId="7E7D99CF">
      <w:pPr>
        <w:jc w:val="both"/>
        <w:rPr>
          <w:color w:val="000000" w:themeColor="text1"/>
          <w14:textFill>
            <w14:solidFill>
              <w14:schemeClr w14:val="tx1"/>
            </w14:solidFill>
          </w14:textFill>
        </w:rPr>
      </w:pPr>
      <w:r>
        <w:rPr>
          <w:color w:val="000000" w:themeColor="text1"/>
          <w14:textFill>
            <w14:solidFill>
              <w14:schemeClr w14:val="tx1"/>
            </w14:solidFill>
          </w14:textFill>
        </w:rPr>
        <w:t>Places like Munich, Berlin, and Heidelberg are beset with tourist visitor numbers increasing. Overcrowding, noise pollution, traffic congestion, and lack of housing affordability, caused by the use of short-term properties like Airbnb, have resulted in complaints and even protests from residents. Cultural sites get depleted, at times to a point of physical degradation.</w:t>
      </w:r>
    </w:p>
    <w:p w14:paraId="14A27E9C">
      <w:pPr>
        <w:jc w:val="both"/>
        <w:rPr>
          <w:color w:val="000000" w:themeColor="text1"/>
          <w14:textFill>
            <w14:solidFill>
              <w14:schemeClr w14:val="tx1"/>
            </w14:solidFill>
          </w14:textFill>
        </w:rPr>
      </w:pPr>
    </w:p>
    <w:p w14:paraId="3382A87D">
      <w:pPr>
        <w:jc w:val="both"/>
        <w:rPr>
          <w:color w:val="000000" w:themeColor="text1"/>
          <w14:textFill>
            <w14:solidFill>
              <w14:schemeClr w14:val="tx1"/>
            </w14:solidFill>
          </w14:textFill>
        </w:rPr>
      </w:pPr>
      <w:r>
        <w:rPr>
          <w:color w:val="000000" w:themeColor="text1"/>
          <w14:textFill>
            <w14:solidFill>
              <w14:schemeClr w14:val="tx1"/>
            </w14:solidFill>
          </w14:textFill>
        </w:rPr>
        <w:t>3. Cultural Tokenism and Stereotyping</w:t>
      </w:r>
    </w:p>
    <w:p w14:paraId="0131298D">
      <w:pPr>
        <w:jc w:val="both"/>
        <w:rPr>
          <w:color w:val="000000" w:themeColor="text1"/>
          <w14:textFill>
            <w14:solidFill>
              <w14:schemeClr w14:val="tx1"/>
            </w14:solidFill>
          </w14:textFill>
        </w:rPr>
      </w:pPr>
    </w:p>
    <w:p w14:paraId="36869ADA">
      <w:pPr>
        <w:jc w:val="both"/>
        <w:rPr>
          <w:color w:val="000000" w:themeColor="text1"/>
          <w14:textFill>
            <w14:solidFill>
              <w14:schemeClr w14:val="tx1"/>
            </w14:solidFill>
          </w14:textFill>
        </w:rPr>
      </w:pPr>
      <w:r>
        <w:rPr>
          <w:color w:val="000000" w:themeColor="text1"/>
          <w14:textFill>
            <w14:solidFill>
              <w14:schemeClr w14:val="tx1"/>
            </w14:solidFill>
          </w14:textFill>
        </w:rPr>
        <w:t>Commodification may also promote stereotyping of culture. By dwelling on over-the-top or dated portrayals of German identity, i.e., beer-swilling Lederhosen-clad men or jaunty oompah bands, tourism can stasis culture and ignore its contemporary, multicultural forms.</w:t>
      </w:r>
    </w:p>
    <w:p w14:paraId="64EF760F">
      <w:pPr>
        <w:pStyle w:val="2"/>
        <w:rPr>
          <w:rFonts w:ascii="Times New Roman" w:hAnsi="Times New Roman" w:cs="Times New Roman"/>
          <w:b/>
          <w:bCs/>
          <w:color w:val="000000" w:themeColor="text1"/>
          <w:sz w:val="24"/>
          <w:szCs w:val="24"/>
          <w14:textFill>
            <w14:solidFill>
              <w14:schemeClr w14:val="tx1"/>
            </w14:solidFill>
          </w14:textFill>
        </w:rPr>
      </w:pPr>
    </w:p>
    <w:p w14:paraId="5191079F">
      <w:pPr>
        <w:pStyle w:val="2"/>
        <w:rPr>
          <w:rFonts w:ascii="Times New Roman" w:hAnsi="Times New Roman" w:cs="Times New Roman"/>
          <w:b/>
          <w:bCs/>
          <w:color w:val="000000" w:themeColor="text1"/>
          <w:sz w:val="24"/>
          <w:szCs w:val="24"/>
          <w14:textFill>
            <w14:solidFill>
              <w14:schemeClr w14:val="tx1"/>
            </w14:solidFill>
          </w14:textFill>
        </w:rPr>
      </w:pPr>
      <w:bookmarkStart w:id="4" w:name="_Toc199195214"/>
      <w:r>
        <w:rPr>
          <w:rFonts w:ascii="Times New Roman" w:hAnsi="Times New Roman" w:cs="Times New Roman"/>
          <w:b/>
          <w:bCs/>
          <w:color w:val="000000" w:themeColor="text1"/>
          <w:sz w:val="24"/>
          <w:szCs w:val="24"/>
          <w14:textFill>
            <w14:solidFill>
              <w14:schemeClr w14:val="tx1"/>
            </w14:solidFill>
          </w14:textFill>
        </w:rPr>
        <w:t>Strategies for Balancing Tourism Development and Cultural Preservation</w:t>
      </w:r>
      <w:bookmarkEnd w:id="4"/>
    </w:p>
    <w:p w14:paraId="7DCF4056">
      <w:pPr>
        <w:jc w:val="both"/>
        <w:rPr>
          <w:color w:val="000000" w:themeColor="text1"/>
          <w14:textFill>
            <w14:solidFill>
              <w14:schemeClr w14:val="tx1"/>
            </w14:solidFill>
          </w14:textFill>
        </w:rPr>
      </w:pPr>
    </w:p>
    <w:p w14:paraId="43DE475D">
      <w:pPr>
        <w:jc w:val="both"/>
        <w:rPr>
          <w:color w:val="000000" w:themeColor="text1"/>
          <w14:textFill>
            <w14:solidFill>
              <w14:schemeClr w14:val="tx1"/>
            </w14:solidFill>
          </w14:textFill>
        </w:rPr>
      </w:pPr>
      <w:r>
        <w:rPr>
          <w:color w:val="000000" w:themeColor="text1"/>
          <w14:textFill>
            <w14:solidFill>
              <w14:schemeClr w14:val="tx1"/>
            </w14:solidFill>
          </w14:textFill>
        </w:rPr>
        <w:t>Despite all of these problems, Germany has moved to develop tourism more sustainably and respectfully. There are a number of strategies that can reconcile tourism growth and preservation of culture: Germany's tourism culture is one that assists us in comprehending this.</w:t>
      </w:r>
    </w:p>
    <w:p w14:paraId="5541DD62">
      <w:pPr>
        <w:jc w:val="both"/>
        <w:rPr>
          <w:color w:val="000000" w:themeColor="text1"/>
          <w14:textFill>
            <w14:solidFill>
              <w14:schemeClr w14:val="tx1"/>
            </w14:solidFill>
          </w14:textFill>
        </w:rPr>
      </w:pPr>
    </w:p>
    <w:p w14:paraId="41648424">
      <w:pPr>
        <w:pStyle w:val="41"/>
        <w:numPr>
          <w:ilvl w:val="0"/>
          <w:numId w:val="2"/>
        </w:num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Fostering Authentic Cultural Experience</w:t>
      </w:r>
    </w:p>
    <w:p w14:paraId="5CD5EC10">
      <w:pPr>
        <w:jc w:val="both"/>
        <w:rPr>
          <w:color w:val="000000" w:themeColor="text1"/>
          <w14:textFill>
            <w14:solidFill>
              <w14:schemeClr w14:val="tx1"/>
            </w14:solidFill>
          </w14:textFill>
        </w:rPr>
      </w:pPr>
    </w:p>
    <w:p w14:paraId="482E2C40">
      <w:pPr>
        <w:jc w:val="both"/>
        <w:rPr>
          <w:color w:val="000000" w:themeColor="text1"/>
          <w14:textFill>
            <w14:solidFill>
              <w14:schemeClr w14:val="tx1"/>
            </w14:solidFill>
          </w14:textFill>
        </w:rPr>
      </w:pPr>
      <w:r>
        <w:rPr>
          <w:color w:val="000000" w:themeColor="text1"/>
          <w14:textFill>
            <w14:solidFill>
              <w14:schemeClr w14:val="tx1"/>
            </w14:solidFill>
          </w14:textFill>
        </w:rPr>
        <w:t>Tourism development programs like the German National Tourist Board's "Authentic Germany" campaign emphasize local diversity, inviting tourists to explore lesser-known traditions, local specialties, and authentic community festivals instead of commercialized attractions</w:t>
      </w:r>
      <w:r>
        <w:rPr>
          <w:color w:val="000000"/>
        </w:rPr>
        <w:t>(Voshage &amp; Gamerith, 2024)</w:t>
      </w:r>
      <w:r>
        <w:rPr>
          <w:color w:val="000000" w:themeColor="text1"/>
          <w14:textFill>
            <w14:solidFill>
              <w14:schemeClr w14:val="tx1"/>
            </w14:solidFill>
          </w14:textFill>
        </w:rPr>
        <w:t>. This assists in maintaining cultural authenticity and dispersing the economic benefit of tourism to areas away from tourist hotspots.</w:t>
      </w:r>
    </w:p>
    <w:p w14:paraId="015947F0">
      <w:pPr>
        <w:jc w:val="both"/>
        <w:rPr>
          <w:color w:val="000000" w:themeColor="text1"/>
          <w14:textFill>
            <w14:solidFill>
              <w14:schemeClr w14:val="tx1"/>
            </w14:solidFill>
          </w14:textFill>
        </w:rPr>
      </w:pPr>
    </w:p>
    <w:p w14:paraId="2E645E8E">
      <w:pPr>
        <w:jc w:val="both"/>
        <w:rPr>
          <w:color w:val="000000" w:themeColor="text1"/>
          <w14:textFill>
            <w14:solidFill>
              <w14:schemeClr w14:val="tx1"/>
            </w14:solidFill>
          </w14:textFill>
        </w:rPr>
      </w:pPr>
      <w:r>
        <w:rPr>
          <w:color w:val="000000" w:themeColor="text1"/>
          <w14:textFill>
            <w14:solidFill>
              <w14:schemeClr w14:val="tx1"/>
            </w14:solidFill>
          </w14:textFill>
        </w:rPr>
        <w:t>2. Community Involvement in Tourism Planning</w:t>
      </w:r>
    </w:p>
    <w:p w14:paraId="3D7D6CCC">
      <w:pPr>
        <w:jc w:val="both"/>
        <w:rPr>
          <w:color w:val="000000" w:themeColor="text1"/>
          <w14:textFill>
            <w14:solidFill>
              <w14:schemeClr w14:val="tx1"/>
            </w14:solidFill>
          </w14:textFill>
        </w:rPr>
      </w:pPr>
    </w:p>
    <w:p w14:paraId="5B8C361D">
      <w:pPr>
        <w:jc w:val="both"/>
        <w:rPr>
          <w:color w:val="000000" w:themeColor="text1"/>
          <w14:textFill>
            <w14:solidFill>
              <w14:schemeClr w14:val="tx1"/>
            </w14:solidFill>
          </w14:textFill>
        </w:rPr>
      </w:pPr>
      <w:r>
        <w:rPr>
          <w:color w:val="000000" w:themeColor="text1"/>
          <w14:textFill>
            <w14:solidFill>
              <w14:schemeClr w14:val="tx1"/>
            </w14:solidFill>
          </w14:textFill>
        </w:rPr>
        <w:t>When local citizens are involved in developing tourism experiences, they can make cultural practice represented in respectful, authentic terms. Resident-led walking tours in Freiburg and Regensburg, for instance, present genuine visions of culture and history, not written commercialized narratives.</w:t>
      </w:r>
    </w:p>
    <w:p w14:paraId="271AE65B">
      <w:pPr>
        <w:jc w:val="both"/>
        <w:rPr>
          <w:color w:val="000000" w:themeColor="text1"/>
          <w14:textFill>
            <w14:solidFill>
              <w14:schemeClr w14:val="tx1"/>
            </w14:solidFill>
          </w14:textFill>
        </w:rPr>
      </w:pPr>
    </w:p>
    <w:p w14:paraId="2D04F025">
      <w:pPr>
        <w:jc w:val="both"/>
        <w:rPr>
          <w:color w:val="000000" w:themeColor="text1"/>
          <w14:textFill>
            <w14:solidFill>
              <w14:schemeClr w14:val="tx1"/>
            </w14:solidFill>
          </w14:textFill>
        </w:rPr>
      </w:pPr>
      <w:r>
        <w:rPr>
          <w:color w:val="000000" w:themeColor="text1"/>
          <w14:textFill>
            <w14:solidFill>
              <w14:schemeClr w14:val="tx1"/>
            </w14:solidFill>
          </w14:textFill>
        </w:rPr>
        <w:t>3. Cultural Education and Interpretation</w:t>
      </w:r>
    </w:p>
    <w:p w14:paraId="4BE27594">
      <w:pPr>
        <w:jc w:val="both"/>
        <w:rPr>
          <w:color w:val="000000" w:themeColor="text1"/>
          <w14:textFill>
            <w14:solidFill>
              <w14:schemeClr w14:val="tx1"/>
            </w14:solidFill>
          </w14:textFill>
        </w:rPr>
      </w:pPr>
    </w:p>
    <w:p w14:paraId="317D8DB7">
      <w:pPr>
        <w:jc w:val="both"/>
        <w:rPr>
          <w:color w:val="000000" w:themeColor="text1"/>
          <w14:textFill>
            <w14:solidFill>
              <w14:schemeClr w14:val="tx1"/>
            </w14:solidFill>
          </w14:textFill>
        </w:rPr>
      </w:pPr>
      <w:r>
        <w:rPr>
          <w:color w:val="000000" w:themeColor="text1"/>
          <w14:textFill>
            <w14:solidFill>
              <w14:schemeClr w14:val="tx1"/>
            </w14:solidFill>
          </w14:textFill>
        </w:rPr>
        <w:t>Museums, visitor centers, and cultural workshops can be employed to inform visitors of the deeper meaning behind cultural objects. The Dresden German Folk Art Museum, for instance, interprets its regional craft and tradition, holding on to knowledge that would otherwise be lost in commodity markets.</w:t>
      </w:r>
    </w:p>
    <w:p w14:paraId="07C1DDAB">
      <w:pPr>
        <w:jc w:val="both"/>
        <w:rPr>
          <w:color w:val="000000" w:themeColor="text1"/>
          <w14:textFill>
            <w14:solidFill>
              <w14:schemeClr w14:val="tx1"/>
            </w14:solidFill>
          </w14:textFill>
        </w:rPr>
      </w:pPr>
    </w:p>
    <w:p w14:paraId="38B269E4">
      <w:pPr>
        <w:jc w:val="both"/>
        <w:rPr>
          <w:color w:val="000000" w:themeColor="text1"/>
          <w14:textFill>
            <w14:solidFill>
              <w14:schemeClr w14:val="tx1"/>
            </w14:solidFill>
          </w14:textFill>
        </w:rPr>
      </w:pPr>
      <w:r>
        <w:rPr>
          <w:color w:val="000000" w:themeColor="text1"/>
          <w14:textFill>
            <w14:solidFill>
              <w14:schemeClr w14:val="tx1"/>
            </w14:solidFill>
          </w14:textFill>
        </w:rPr>
        <w:t>4. Tourism Zoning and Visitor Caps</w:t>
      </w:r>
    </w:p>
    <w:p w14:paraId="491D8DC3">
      <w:pPr>
        <w:jc w:val="both"/>
        <w:rPr>
          <w:color w:val="000000" w:themeColor="text1"/>
          <w14:textFill>
            <w14:solidFill>
              <w14:schemeClr w14:val="tx1"/>
            </w14:solidFill>
          </w14:textFill>
        </w:rPr>
      </w:pPr>
    </w:p>
    <w:p w14:paraId="2F952373">
      <w:pPr>
        <w:jc w:val="both"/>
        <w:rPr>
          <w:color w:val="000000" w:themeColor="text1"/>
          <w14:textFill>
            <w14:solidFill>
              <w14:schemeClr w14:val="tx1"/>
            </w14:solidFill>
          </w14:textFill>
        </w:rPr>
      </w:pPr>
      <w:r>
        <w:rPr>
          <w:color w:val="000000" w:themeColor="text1"/>
          <w14:textFill>
            <w14:solidFill>
              <w14:schemeClr w14:val="tx1"/>
            </w14:solidFill>
          </w14:textFill>
        </w:rPr>
        <w:t>To avoid overtourism, some of the German cities have implemented zoning laws and caps on short-term rentals. Caps on visitors at some spots, such as Neuschwanstein Castle, during peak season, prevent overcrowding and preservation of natural and cultural heritage.</w:t>
      </w:r>
    </w:p>
    <w:p w14:paraId="4214F303">
      <w:pPr>
        <w:jc w:val="both"/>
        <w:rPr>
          <w:color w:val="000000" w:themeColor="text1"/>
          <w14:textFill>
            <w14:solidFill>
              <w14:schemeClr w14:val="tx1"/>
            </w14:solidFill>
          </w14:textFill>
        </w:rPr>
      </w:pPr>
    </w:p>
    <w:p w14:paraId="077DC188">
      <w:pPr>
        <w:pStyle w:val="2"/>
        <w:rPr>
          <w:rFonts w:ascii="Times New Roman" w:hAnsi="Times New Roman" w:cs="Times New Roman"/>
          <w:b/>
          <w:bCs/>
          <w:color w:val="000000" w:themeColor="text1"/>
          <w:sz w:val="24"/>
          <w:szCs w:val="24"/>
          <w14:textFill>
            <w14:solidFill>
              <w14:schemeClr w14:val="tx1"/>
            </w14:solidFill>
          </w14:textFill>
        </w:rPr>
      </w:pPr>
      <w:bookmarkStart w:id="5" w:name="_Toc199195215"/>
      <w:r>
        <w:rPr>
          <w:rFonts w:ascii="Times New Roman" w:hAnsi="Times New Roman" w:cs="Times New Roman"/>
          <w:b/>
          <w:bCs/>
          <w:color w:val="000000" w:themeColor="text1"/>
          <w:sz w:val="24"/>
          <w:szCs w:val="24"/>
          <w14:textFill>
            <w14:solidFill>
              <w14:schemeClr w14:val="tx1"/>
            </w14:solidFill>
          </w14:textFill>
        </w:rPr>
        <w:t>Conclusion</w:t>
      </w:r>
      <w:bookmarkEnd w:id="5"/>
    </w:p>
    <w:p w14:paraId="7E762E35">
      <w:pPr>
        <w:jc w:val="both"/>
        <w:rPr>
          <w:color w:val="000000" w:themeColor="text1"/>
          <w14:textFill>
            <w14:solidFill>
              <w14:schemeClr w14:val="tx1"/>
            </w14:solidFill>
          </w14:textFill>
        </w:rPr>
      </w:pPr>
      <w:r>
        <w:rPr>
          <w:color w:val="000000" w:themeColor="text1"/>
          <w14:textFill>
            <w14:solidFill>
              <w14:schemeClr w14:val="tx1"/>
            </w14:solidFill>
          </w14:textFill>
        </w:rPr>
        <w:t>Germany's cultural heritage provides tremendous attraction for tourists, but the increasing desire to experience being part of culture has commodified most of the traditions. Festivals, dress, crafts, and cultural monuments were adapted in the past for tourists' purposes, losing their cultural validity. This kind of transformation can alienate the host populations from their inheritance and create social, economic, and cultural tensions. But by making authenticity a priority, engaging local communities in tourism planning, instructing visitors, and preserving cultural landscapes, Germany is capable of hosting tourists while retaining its rich legacy. Responsible and sustainable tourism not only stimulates the economy but also enhances people-to-people, place-to-place, and tradition-to-people relations.</w:t>
      </w:r>
    </w:p>
    <w:p w14:paraId="675812C9">
      <w:pPr>
        <w:jc w:val="both"/>
        <w:rPr>
          <w:color w:val="000000" w:themeColor="text1"/>
          <w14:textFill>
            <w14:solidFill>
              <w14:schemeClr w14:val="tx1"/>
            </w14:solidFill>
          </w14:textFill>
        </w:rPr>
      </w:pPr>
    </w:p>
    <w:p w14:paraId="724F007D">
      <w:pPr>
        <w:jc w:val="both"/>
        <w:rPr>
          <w:color w:val="000000" w:themeColor="text1"/>
          <w14:textFill>
            <w14:solidFill>
              <w14:schemeClr w14:val="tx1"/>
            </w14:solidFill>
          </w14:textFill>
        </w:rPr>
      </w:pPr>
    </w:p>
    <w:p w14:paraId="3B102ED7">
      <w:pPr>
        <w:jc w:val="both"/>
        <w:rPr>
          <w:color w:val="000000" w:themeColor="text1"/>
          <w14:textFill>
            <w14:solidFill>
              <w14:schemeClr w14:val="tx1"/>
            </w14:solidFill>
          </w14:textFill>
        </w:rPr>
      </w:pPr>
    </w:p>
    <w:p w14:paraId="4C845A52">
      <w:pPr>
        <w:jc w:val="both"/>
        <w:rPr>
          <w:color w:val="000000" w:themeColor="text1"/>
          <w14:textFill>
            <w14:solidFill>
              <w14:schemeClr w14:val="tx1"/>
            </w14:solidFill>
          </w14:textFill>
        </w:rPr>
      </w:pPr>
    </w:p>
    <w:p w14:paraId="20F1BAD9">
      <w:pPr>
        <w:jc w:val="both"/>
        <w:rPr>
          <w:color w:val="000000" w:themeColor="text1"/>
          <w14:textFill>
            <w14:solidFill>
              <w14:schemeClr w14:val="tx1"/>
            </w14:solidFill>
          </w14:textFill>
        </w:rPr>
      </w:pPr>
    </w:p>
    <w:p w14:paraId="2B435317">
      <w:pPr>
        <w:jc w:val="both"/>
        <w:rPr>
          <w:color w:val="000000" w:themeColor="text1"/>
          <w14:textFill>
            <w14:solidFill>
              <w14:schemeClr w14:val="tx1"/>
            </w14:solidFill>
          </w14:textFill>
        </w:rPr>
      </w:pPr>
    </w:p>
    <w:p w14:paraId="74E99125">
      <w:pPr>
        <w:jc w:val="both"/>
        <w:rPr>
          <w:color w:val="000000" w:themeColor="text1"/>
          <w14:textFill>
            <w14:solidFill>
              <w14:schemeClr w14:val="tx1"/>
            </w14:solidFill>
          </w14:textFill>
        </w:rPr>
      </w:pPr>
    </w:p>
    <w:p w14:paraId="17B55493">
      <w:pPr>
        <w:jc w:val="both"/>
        <w:rPr>
          <w:color w:val="000000" w:themeColor="text1"/>
          <w14:textFill>
            <w14:solidFill>
              <w14:schemeClr w14:val="tx1"/>
            </w14:solidFill>
          </w14:textFill>
        </w:rPr>
      </w:pPr>
    </w:p>
    <w:p w14:paraId="4B403C11">
      <w:pPr>
        <w:jc w:val="both"/>
        <w:rPr>
          <w:color w:val="000000" w:themeColor="text1"/>
          <w14:textFill>
            <w14:solidFill>
              <w14:schemeClr w14:val="tx1"/>
            </w14:solidFill>
          </w14:textFill>
        </w:rPr>
      </w:pPr>
    </w:p>
    <w:p w14:paraId="007B9E7F">
      <w:pPr>
        <w:jc w:val="both"/>
        <w:rPr>
          <w:color w:val="000000" w:themeColor="text1"/>
          <w14:textFill>
            <w14:solidFill>
              <w14:schemeClr w14:val="tx1"/>
            </w14:solidFill>
          </w14:textFill>
        </w:rPr>
      </w:pPr>
    </w:p>
    <w:p w14:paraId="333C0909">
      <w:pPr>
        <w:jc w:val="both"/>
        <w:rPr>
          <w:color w:val="000000" w:themeColor="text1"/>
          <w14:textFill>
            <w14:solidFill>
              <w14:schemeClr w14:val="tx1"/>
            </w14:solidFill>
          </w14:textFill>
        </w:rPr>
      </w:pPr>
    </w:p>
    <w:p w14:paraId="4D337BB0">
      <w:pPr>
        <w:jc w:val="both"/>
        <w:rPr>
          <w:color w:val="000000" w:themeColor="text1"/>
          <w14:textFill>
            <w14:solidFill>
              <w14:schemeClr w14:val="tx1"/>
            </w14:solidFill>
          </w14:textFill>
        </w:rPr>
      </w:pPr>
    </w:p>
    <w:p w14:paraId="2D141359">
      <w:pPr>
        <w:jc w:val="both"/>
        <w:rPr>
          <w:color w:val="000000" w:themeColor="text1"/>
          <w14:textFill>
            <w14:solidFill>
              <w14:schemeClr w14:val="tx1"/>
            </w14:solidFill>
          </w14:textFill>
        </w:rPr>
      </w:pPr>
    </w:p>
    <w:p w14:paraId="3772E7D5">
      <w:pPr>
        <w:jc w:val="both"/>
        <w:rPr>
          <w:color w:val="000000" w:themeColor="text1"/>
          <w14:textFill>
            <w14:solidFill>
              <w14:schemeClr w14:val="tx1"/>
            </w14:solidFill>
          </w14:textFill>
        </w:rPr>
      </w:pPr>
    </w:p>
    <w:p w14:paraId="5789D84E">
      <w:pPr>
        <w:jc w:val="both"/>
        <w:rPr>
          <w:color w:val="000000" w:themeColor="text1"/>
          <w14:textFill>
            <w14:solidFill>
              <w14:schemeClr w14:val="tx1"/>
            </w14:solidFill>
          </w14:textFill>
        </w:rPr>
      </w:pPr>
    </w:p>
    <w:p w14:paraId="42A1A230">
      <w:pPr>
        <w:jc w:val="both"/>
        <w:rPr>
          <w:color w:val="000000" w:themeColor="text1"/>
          <w14:textFill>
            <w14:solidFill>
              <w14:schemeClr w14:val="tx1"/>
            </w14:solidFill>
          </w14:textFill>
        </w:rPr>
      </w:pPr>
    </w:p>
    <w:p w14:paraId="6DF3ECEE">
      <w:pPr>
        <w:jc w:val="both"/>
        <w:rPr>
          <w:color w:val="000000" w:themeColor="text1"/>
          <w14:textFill>
            <w14:solidFill>
              <w14:schemeClr w14:val="tx1"/>
            </w14:solidFill>
          </w14:textFill>
        </w:rPr>
      </w:pPr>
    </w:p>
    <w:p w14:paraId="37CF4D50">
      <w:pPr>
        <w:jc w:val="both"/>
        <w:rPr>
          <w:color w:val="000000" w:themeColor="text1"/>
          <w14:textFill>
            <w14:solidFill>
              <w14:schemeClr w14:val="tx1"/>
            </w14:solidFill>
          </w14:textFill>
        </w:rPr>
      </w:pPr>
    </w:p>
    <w:p w14:paraId="4F8215DD">
      <w:pPr>
        <w:jc w:val="both"/>
        <w:rPr>
          <w:color w:val="000000" w:themeColor="text1"/>
          <w14:textFill>
            <w14:solidFill>
              <w14:schemeClr w14:val="tx1"/>
            </w14:solidFill>
          </w14:textFill>
        </w:rPr>
      </w:pPr>
    </w:p>
    <w:p w14:paraId="71601977">
      <w:pPr>
        <w:jc w:val="both"/>
        <w:rPr>
          <w:b/>
          <w:bCs/>
          <w:color w:val="000000" w:themeColor="text1"/>
          <w14:textFill>
            <w14:solidFill>
              <w14:schemeClr w14:val="tx1"/>
            </w14:solidFill>
          </w14:textFill>
        </w:rPr>
      </w:pPr>
    </w:p>
    <w:p w14:paraId="6FF3B845">
      <w:pPr>
        <w:jc w:val="both"/>
        <w:rPr>
          <w:b/>
          <w:bCs/>
          <w:color w:val="000000" w:themeColor="text1"/>
          <w14:textFill>
            <w14:solidFill>
              <w14:schemeClr w14:val="tx1"/>
            </w14:solidFill>
          </w14:textFill>
        </w:rPr>
      </w:pPr>
      <w:r>
        <w:rPr>
          <w:b/>
          <w:bCs/>
          <w:color w:val="000000" w:themeColor="text1"/>
          <w14:textFill>
            <w14:solidFill>
              <w14:schemeClr w14:val="tx1"/>
            </w14:solidFill>
          </w14:textFill>
        </w:rPr>
        <w:t>References:</w:t>
      </w:r>
    </w:p>
    <w:p w14:paraId="73F1193D">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Berkenbosch, K., Groote, P., &amp; Stoffelen, A. (2022). Industrial heritage in tourism marketing: legitimizing post-industrial development strategies of the Ruhr Region, Germany. </w:t>
      </w:r>
      <w:r>
        <w:rPr>
          <w:i/>
          <w:iCs/>
          <w:color w:val="000000" w:themeColor="text1"/>
          <w14:textFill>
            <w14:solidFill>
              <w14:schemeClr w14:val="tx1"/>
            </w14:solidFill>
          </w14:textFill>
        </w:rPr>
        <w:t>Journal of Heritage Tourism</w:t>
      </w:r>
      <w:r>
        <w:rPr>
          <w:color w:val="000000" w:themeColor="text1"/>
          <w14:textFill>
            <w14:solidFill>
              <w14:schemeClr w14:val="tx1"/>
            </w14:solidFill>
          </w14:textFill>
        </w:rPr>
        <w:t>, </w:t>
      </w:r>
      <w:r>
        <w:rPr>
          <w:i/>
          <w:iCs/>
          <w:color w:val="000000" w:themeColor="text1"/>
          <w14:textFill>
            <w14:solidFill>
              <w14:schemeClr w14:val="tx1"/>
            </w14:solidFill>
          </w14:textFill>
        </w:rPr>
        <w:t>17</w:t>
      </w:r>
      <w:r>
        <w:rPr>
          <w:color w:val="000000" w:themeColor="text1"/>
          <w14:textFill>
            <w14:solidFill>
              <w14:schemeClr w14:val="tx1"/>
            </w14:solidFill>
          </w14:textFill>
        </w:rPr>
        <w:t>(3), 327–341. https://doi.org/10.1080/1743873x.2022.2026364</w:t>
      </w:r>
    </w:p>
    <w:p w14:paraId="036221D7">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Cavelzani, A., &amp; Bloyd, N. (2025). Resilient leadership and people-oriented company culture in hospitality: The case of Das achental resort in Germany. </w:t>
      </w:r>
      <w:r>
        <w:rPr>
          <w:i/>
          <w:iCs/>
          <w:color w:val="000000" w:themeColor="text1"/>
          <w14:textFill>
            <w14:solidFill>
              <w14:schemeClr w14:val="tx1"/>
            </w14:solidFill>
          </w14:textFill>
        </w:rPr>
        <w:t>Journal of Hospitality &amp; Tourism Cases</w:t>
      </w:r>
      <w:r>
        <w:rPr>
          <w:color w:val="000000" w:themeColor="text1"/>
          <w14:textFill>
            <w14:solidFill>
              <w14:schemeClr w14:val="tx1"/>
            </w14:solidFill>
          </w14:textFill>
        </w:rPr>
        <w:t>. https://doi.org/10.1177/21649987251314895</w:t>
      </w:r>
    </w:p>
    <w:p w14:paraId="66B8DF23">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Flatz, W., Reidler, P., Kampmann, P., Kanz, K.-G., Ricke, J., Bazarian, J. J., Hinzmann, D., &amp; Bogner-Flatz, V. (2024). Mobile computed tomography at the Munich Oktoberfest : From idea to implementation: From idea to implementation. </w:t>
      </w:r>
      <w:r>
        <w:rPr>
          <w:i/>
          <w:iCs/>
          <w:color w:val="000000" w:themeColor="text1"/>
          <w14:textFill>
            <w14:solidFill>
              <w14:schemeClr w14:val="tx1"/>
            </w14:solidFill>
          </w14:textFill>
        </w:rPr>
        <w:t>Radiologie (Heidelberg, Germany)</w:t>
      </w:r>
      <w:r>
        <w:rPr>
          <w:color w:val="000000" w:themeColor="text1"/>
          <w14:textFill>
            <w14:solidFill>
              <w14:schemeClr w14:val="tx1"/>
            </w14:solidFill>
          </w14:textFill>
        </w:rPr>
        <w:t>, </w:t>
      </w:r>
      <w:r>
        <w:rPr>
          <w:i/>
          <w:iCs/>
          <w:color w:val="000000" w:themeColor="text1"/>
          <w14:textFill>
            <w14:solidFill>
              <w14:schemeClr w14:val="tx1"/>
            </w14:solidFill>
          </w14:textFill>
        </w:rPr>
        <w:t>64</w:t>
      </w:r>
      <w:r>
        <w:rPr>
          <w:color w:val="000000" w:themeColor="text1"/>
          <w14:textFill>
            <w14:solidFill>
              <w14:schemeClr w14:val="tx1"/>
            </w14:solidFill>
          </w14:textFill>
        </w:rPr>
        <w:t>(Suppl 1), 16–23. https://doi.org/10.1007/s00117-024-01383-0</w:t>
      </w:r>
    </w:p>
    <w:p w14:paraId="5D553E18">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Lampe, F. (2025). The Bruckmann image archive at the central institute for art history in Munich, Germany. </w:t>
      </w:r>
      <w:r>
        <w:rPr>
          <w:i/>
          <w:iCs/>
          <w:color w:val="000000" w:themeColor="text1"/>
          <w14:textFill>
            <w14:solidFill>
              <w14:schemeClr w14:val="tx1"/>
            </w14:solidFill>
          </w14:textFill>
        </w:rPr>
        <w:t>Photography and Culture</w:t>
      </w:r>
      <w:r>
        <w:rPr>
          <w:color w:val="000000" w:themeColor="text1"/>
          <w14:textFill>
            <w14:solidFill>
              <w14:schemeClr w14:val="tx1"/>
            </w14:solidFill>
          </w14:textFill>
        </w:rPr>
        <w:t>, 1–5. https://doi.org/10.1080/17514517.2025.2465000</w:t>
      </w:r>
    </w:p>
    <w:p w14:paraId="2A3C0CA4">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Parker, M., Spennemann, D. H. R., &amp; Bond, J. (2024). Using destination reviews to explore tourists’ sensory experiences at Christmas markets in Germany and Austria. </w:t>
      </w:r>
      <w:r>
        <w:rPr>
          <w:i/>
          <w:iCs/>
          <w:color w:val="000000" w:themeColor="text1"/>
          <w14:textFill>
            <w14:solidFill>
              <w14:schemeClr w14:val="tx1"/>
            </w14:solidFill>
          </w14:textFill>
        </w:rPr>
        <w:t>Journal of Heritage Tourism</w:t>
      </w:r>
      <w:r>
        <w:rPr>
          <w:color w:val="000000" w:themeColor="text1"/>
          <w14:textFill>
            <w14:solidFill>
              <w14:schemeClr w14:val="tx1"/>
            </w14:solidFill>
          </w14:textFill>
        </w:rPr>
        <w:t>, </w:t>
      </w:r>
      <w:r>
        <w:rPr>
          <w:i/>
          <w:iCs/>
          <w:color w:val="000000" w:themeColor="text1"/>
          <w14:textFill>
            <w14:solidFill>
              <w14:schemeClr w14:val="tx1"/>
            </w14:solidFill>
          </w14:textFill>
        </w:rPr>
        <w:t>19</w:t>
      </w:r>
      <w:r>
        <w:rPr>
          <w:color w:val="000000" w:themeColor="text1"/>
          <w14:textFill>
            <w14:solidFill>
              <w14:schemeClr w14:val="tx1"/>
            </w14:solidFill>
          </w14:textFill>
        </w:rPr>
        <w:t>(2), 172–200. https://doi.org/10.1080/1743873x.2023.2284332</w:t>
      </w:r>
    </w:p>
    <w:p w14:paraId="5CBDB4F6">
      <w:pPr>
        <w:pStyle w:val="15"/>
        <w:spacing w:after="0" w:afterAutospacing="0" w:line="480" w:lineRule="auto"/>
        <w:ind w:left="720" w:hanging="720"/>
        <w:rPr>
          <w:color w:val="000000" w:themeColor="text1"/>
          <w14:textFill>
            <w14:solidFill>
              <w14:schemeClr w14:val="tx1"/>
            </w14:solidFill>
          </w14:textFill>
        </w:rPr>
      </w:pPr>
      <w:r>
        <w:rPr>
          <w:color w:val="000000" w:themeColor="text1"/>
          <w14:textFill>
            <w14:solidFill>
              <w14:schemeClr w14:val="tx1"/>
            </w14:solidFill>
          </w14:textFill>
        </w:rPr>
        <w:t>Voshage, I., &amp; Gamerith, W. (2024). Postcolonial city walks in Germany at the nexus of activism, education, and tourism. </w:t>
      </w:r>
      <w:r>
        <w:rPr>
          <w:i/>
          <w:iCs/>
          <w:color w:val="000000" w:themeColor="text1"/>
          <w14:textFill>
            <w14:solidFill>
              <w14:schemeClr w14:val="tx1"/>
            </w14:solidFill>
          </w14:textFill>
        </w:rPr>
        <w:t>Zeitschrift Für Tourismuswissenschaft</w:t>
      </w:r>
      <w:r>
        <w:rPr>
          <w:color w:val="000000" w:themeColor="text1"/>
          <w14:textFill>
            <w14:solidFill>
              <w14:schemeClr w14:val="tx1"/>
            </w14:solidFill>
          </w14:textFill>
        </w:rPr>
        <w:t>, </w:t>
      </w:r>
      <w:r>
        <w:rPr>
          <w:i/>
          <w:iCs/>
          <w:color w:val="000000" w:themeColor="text1"/>
          <w14:textFill>
            <w14:solidFill>
              <w14:schemeClr w14:val="tx1"/>
            </w14:solidFill>
          </w14:textFill>
        </w:rPr>
        <w:t>16</w:t>
      </w:r>
      <w:r>
        <w:rPr>
          <w:color w:val="000000" w:themeColor="text1"/>
          <w14:textFill>
            <w14:solidFill>
              <w14:schemeClr w14:val="tx1"/>
            </w14:solidFill>
          </w14:textFill>
        </w:rPr>
        <w:t>(2), 156–172. https://doi.org/10.1515/tw-2024-0003</w:t>
      </w:r>
    </w:p>
    <w:p w14:paraId="731903B0">
      <w:pPr>
        <w:jc w:val="both"/>
        <w:rPr>
          <w:color w:val="000000" w:themeColor="text1"/>
          <w14:textFill>
            <w14:solidFill>
              <w14:schemeClr w14:val="tx1"/>
            </w14:solidFill>
          </w14:textFil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Aptos">
    <w:altName w:val="Helvetica Neue"/>
    <w:panose1 w:val="020B0004020202020204"/>
    <w:charset w:val="86"/>
    <w:family w:val="swiss"/>
    <w:pitch w:val="default"/>
    <w:sig w:usb0="00000000" w:usb1="00000000" w:usb2="00000000" w:usb3="00000000" w:csb0="0000019F" w:csb1="00000000"/>
  </w:font>
  <w:font w:name="Aptos">
    <w:altName w:val="Helvetica Neue"/>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auto"/>
    <w:pitch w:val="default"/>
    <w:sig w:usb0="00000000" w:usb1="00000000" w:usb2="00000000" w:usb3="00000000" w:csb0="00000000" w:csb1="00000000"/>
  </w:font>
  <w:font w:name="Aptos Display">
    <w:altName w:val="Helvetica Neue"/>
    <w:panose1 w:val="020B0004020202020204"/>
    <w:charset w:val="00"/>
    <w:family w:val="swiss"/>
    <w:pitch w:val="default"/>
    <w:sig w:usb0="00000000" w:usb1="00000000" w:usb2="00000000" w:usb3="00000000" w:csb0="0000019F" w:csb1="00000000"/>
  </w:font>
  <w:font w:name="等线 Light">
    <w:altName w:val="汉仪中等线KW"/>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B00C27"/>
    <w:multiLevelType w:val="multilevel"/>
    <w:tmpl w:val="0FB00C2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1BB0F5D"/>
    <w:multiLevelType w:val="multilevel"/>
    <w:tmpl w:val="61BB0F5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E4D"/>
    <w:rsid w:val="000B5B67"/>
    <w:rsid w:val="00341F33"/>
    <w:rsid w:val="00377609"/>
    <w:rsid w:val="003B29B6"/>
    <w:rsid w:val="003C6940"/>
    <w:rsid w:val="004F6715"/>
    <w:rsid w:val="00593931"/>
    <w:rsid w:val="007B2B0A"/>
    <w:rsid w:val="007F3F24"/>
    <w:rsid w:val="00965E4D"/>
    <w:rsid w:val="009D3981"/>
    <w:rsid w:val="00B968EB"/>
    <w:rsid w:val="00BA7678"/>
    <w:rsid w:val="00EA2C63"/>
    <w:rsid w:val="7FFC44A2"/>
    <w:rsid w:val="FAFA32C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n-IN" w:eastAsia="en-GB" w:bidi="ar-SA"/>
      <w14:ligatures w14:val="none"/>
    </w:rPr>
  </w:style>
  <w:style w:type="paragraph" w:styleId="2">
    <w:name w:val="heading 1"/>
    <w:basedOn w:val="1"/>
    <w:next w:val="1"/>
    <w:link w:val="28"/>
    <w:qFormat/>
    <w:uiPriority w:val="9"/>
    <w:pPr>
      <w:keepNext/>
      <w:keepLines/>
      <w:spacing w:before="360" w:after="80" w:line="278" w:lineRule="auto"/>
      <w:outlineLvl w:val="0"/>
    </w:pPr>
    <w:rPr>
      <w:rFonts w:asciiTheme="majorHAnsi" w:hAnsiTheme="majorHAnsi" w:eastAsiaTheme="majorEastAsia" w:cstheme="majorBidi"/>
      <w:color w:val="104862" w:themeColor="accent1" w:themeShade="BF"/>
      <w:kern w:val="2"/>
      <w:sz w:val="40"/>
      <w:szCs w:val="40"/>
      <w:lang w:eastAsia="en-US"/>
      <w14:ligatures w14:val="standardContextual"/>
    </w:rPr>
  </w:style>
  <w:style w:type="paragraph" w:styleId="3">
    <w:name w:val="heading 2"/>
    <w:basedOn w:val="1"/>
    <w:next w:val="1"/>
    <w:link w:val="29"/>
    <w:semiHidden/>
    <w:unhideWhenUsed/>
    <w:qFormat/>
    <w:uiPriority w:val="9"/>
    <w:pPr>
      <w:keepNext/>
      <w:keepLines/>
      <w:spacing w:before="160" w:after="80" w:line="278" w:lineRule="auto"/>
      <w:outlineLvl w:val="1"/>
    </w:pPr>
    <w:rPr>
      <w:rFonts w:asciiTheme="majorHAnsi" w:hAnsiTheme="majorHAnsi" w:eastAsiaTheme="majorEastAsia" w:cstheme="majorBidi"/>
      <w:color w:val="104862" w:themeColor="accent1" w:themeShade="BF"/>
      <w:kern w:val="2"/>
      <w:sz w:val="32"/>
      <w:szCs w:val="32"/>
      <w:lang w:eastAsia="en-US"/>
      <w14:ligatures w14:val="standardContextual"/>
    </w:rPr>
  </w:style>
  <w:style w:type="paragraph" w:styleId="4">
    <w:name w:val="heading 3"/>
    <w:basedOn w:val="1"/>
    <w:next w:val="1"/>
    <w:link w:val="30"/>
    <w:unhideWhenUsed/>
    <w:qFormat/>
    <w:uiPriority w:val="9"/>
    <w:pPr>
      <w:keepNext/>
      <w:keepLines/>
      <w:spacing w:before="160" w:after="80" w:line="278" w:lineRule="auto"/>
      <w:outlineLvl w:val="2"/>
    </w:pPr>
    <w:rPr>
      <w:rFonts w:asciiTheme="minorHAnsi" w:hAnsiTheme="minorHAnsi" w:eastAsiaTheme="majorEastAsia" w:cstheme="majorBidi"/>
      <w:color w:val="104862" w:themeColor="accent1" w:themeShade="BF"/>
      <w:kern w:val="2"/>
      <w:sz w:val="28"/>
      <w:szCs w:val="28"/>
      <w:lang w:eastAsia="en-US"/>
      <w14:ligatures w14:val="standardContextual"/>
    </w:rPr>
  </w:style>
  <w:style w:type="paragraph" w:styleId="5">
    <w:name w:val="heading 4"/>
    <w:basedOn w:val="1"/>
    <w:next w:val="1"/>
    <w:link w:val="31"/>
    <w:semiHidden/>
    <w:unhideWhenUsed/>
    <w:qFormat/>
    <w:uiPriority w:val="9"/>
    <w:pPr>
      <w:keepNext/>
      <w:keepLines/>
      <w:spacing w:before="80" w:after="40" w:line="278" w:lineRule="auto"/>
      <w:outlineLvl w:val="3"/>
    </w:pPr>
    <w:rPr>
      <w:rFonts w:asciiTheme="minorHAnsi" w:hAnsiTheme="minorHAnsi" w:eastAsiaTheme="majorEastAsia" w:cstheme="majorBidi"/>
      <w:i/>
      <w:iCs/>
      <w:color w:val="104862" w:themeColor="accent1" w:themeShade="BF"/>
      <w:kern w:val="2"/>
      <w:lang w:eastAsia="en-US"/>
      <w14:ligatures w14:val="standardContextual"/>
    </w:rPr>
  </w:style>
  <w:style w:type="paragraph" w:styleId="6">
    <w:name w:val="heading 5"/>
    <w:basedOn w:val="1"/>
    <w:next w:val="1"/>
    <w:link w:val="32"/>
    <w:semiHidden/>
    <w:unhideWhenUsed/>
    <w:qFormat/>
    <w:uiPriority w:val="9"/>
    <w:pPr>
      <w:keepNext/>
      <w:keepLines/>
      <w:spacing w:before="80" w:after="40" w:line="278" w:lineRule="auto"/>
      <w:outlineLvl w:val="4"/>
    </w:pPr>
    <w:rPr>
      <w:rFonts w:asciiTheme="minorHAnsi" w:hAnsiTheme="minorHAnsi" w:eastAsiaTheme="majorEastAsia" w:cstheme="majorBidi"/>
      <w:color w:val="104862" w:themeColor="accent1" w:themeShade="BF"/>
      <w:kern w:val="2"/>
      <w:lang w:eastAsia="en-US"/>
      <w14:ligatures w14:val="standardContextual"/>
    </w:rPr>
  </w:style>
  <w:style w:type="paragraph" w:styleId="7">
    <w:name w:val="heading 6"/>
    <w:basedOn w:val="1"/>
    <w:next w:val="1"/>
    <w:link w:val="33"/>
    <w:semiHidden/>
    <w:unhideWhenUsed/>
    <w:qFormat/>
    <w:uiPriority w:val="9"/>
    <w:pPr>
      <w:keepNext/>
      <w:keepLines/>
      <w:spacing w:before="40" w:line="278" w:lineRule="auto"/>
      <w:outlineLvl w:val="5"/>
    </w:pPr>
    <w:rPr>
      <w:rFonts w:asciiTheme="minorHAnsi" w:hAnsiTheme="minorHAnsi" w:eastAsiaTheme="majorEastAsia" w:cstheme="majorBidi"/>
      <w:i/>
      <w:iCs/>
      <w:color w:val="595959" w:themeColor="text1" w:themeTint="A6"/>
      <w:kern w:val="2"/>
      <w:lang w:eastAsia="en-US"/>
      <w14:textFill>
        <w14:solidFill>
          <w14:schemeClr w14:val="tx1">
            <w14:lumMod w14:val="65000"/>
            <w14:lumOff w14:val="35000"/>
          </w14:schemeClr>
        </w14:solidFill>
      </w14:textFill>
      <w14:ligatures w14:val="standardContextual"/>
    </w:rPr>
  </w:style>
  <w:style w:type="paragraph" w:styleId="8">
    <w:name w:val="heading 7"/>
    <w:basedOn w:val="1"/>
    <w:next w:val="1"/>
    <w:link w:val="34"/>
    <w:semiHidden/>
    <w:unhideWhenUsed/>
    <w:qFormat/>
    <w:uiPriority w:val="9"/>
    <w:pPr>
      <w:keepNext/>
      <w:keepLines/>
      <w:spacing w:before="40" w:line="278" w:lineRule="auto"/>
      <w:outlineLvl w:val="6"/>
    </w:pPr>
    <w:rPr>
      <w:rFonts w:asciiTheme="minorHAnsi" w:hAnsiTheme="minorHAnsi" w:eastAsiaTheme="majorEastAsia" w:cstheme="majorBidi"/>
      <w:color w:val="595959" w:themeColor="text1" w:themeTint="A6"/>
      <w:kern w:val="2"/>
      <w:lang w:eastAsia="en-US"/>
      <w14:textFill>
        <w14:solidFill>
          <w14:schemeClr w14:val="tx1">
            <w14:lumMod w14:val="65000"/>
            <w14:lumOff w14:val="35000"/>
          </w14:schemeClr>
        </w14:solidFill>
      </w14:textFill>
      <w14:ligatures w14:val="standardContextual"/>
    </w:rPr>
  </w:style>
  <w:style w:type="paragraph" w:styleId="9">
    <w:name w:val="heading 8"/>
    <w:basedOn w:val="1"/>
    <w:next w:val="1"/>
    <w:link w:val="35"/>
    <w:semiHidden/>
    <w:unhideWhenUsed/>
    <w:qFormat/>
    <w:uiPriority w:val="9"/>
    <w:pPr>
      <w:keepNext/>
      <w:keepLines/>
      <w:spacing w:line="278" w:lineRule="auto"/>
      <w:outlineLvl w:val="7"/>
    </w:pPr>
    <w:rPr>
      <w:rFonts w:asciiTheme="minorHAnsi" w:hAnsiTheme="minorHAnsi" w:eastAsiaTheme="majorEastAsia" w:cstheme="majorBidi"/>
      <w:i/>
      <w:iCs/>
      <w:color w:val="262626" w:themeColor="text1" w:themeTint="D9"/>
      <w:kern w:val="2"/>
      <w:lang w:eastAsia="en-US"/>
      <w14:textFill>
        <w14:solidFill>
          <w14:schemeClr w14:val="tx1">
            <w14:lumMod w14:val="85000"/>
            <w14:lumOff w14:val="15000"/>
          </w14:schemeClr>
        </w14:solidFill>
      </w14:textFill>
      <w14:ligatures w14:val="standardContextual"/>
    </w:rPr>
  </w:style>
  <w:style w:type="paragraph" w:styleId="10">
    <w:name w:val="heading 9"/>
    <w:basedOn w:val="1"/>
    <w:next w:val="1"/>
    <w:link w:val="36"/>
    <w:semiHidden/>
    <w:unhideWhenUsed/>
    <w:qFormat/>
    <w:uiPriority w:val="9"/>
    <w:pPr>
      <w:keepNext/>
      <w:keepLines/>
      <w:spacing w:line="278" w:lineRule="auto"/>
      <w:outlineLvl w:val="8"/>
    </w:pPr>
    <w:rPr>
      <w:rFonts w:asciiTheme="minorHAnsi" w:hAnsiTheme="minorHAnsi" w:eastAsiaTheme="majorEastAsia" w:cstheme="majorBidi"/>
      <w:color w:val="262626" w:themeColor="text1" w:themeTint="D9"/>
      <w:kern w:val="2"/>
      <w:lang w:eastAsia="en-US"/>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yperlink"/>
    <w:basedOn w:val="11"/>
    <w:unhideWhenUsed/>
    <w:uiPriority w:val="99"/>
    <w:rPr>
      <w:color w:val="0000FF"/>
      <w:u w:val="single"/>
    </w:rPr>
  </w:style>
  <w:style w:type="paragraph" w:styleId="15">
    <w:name w:val="Normal (Web)"/>
    <w:basedOn w:val="1"/>
    <w:unhideWhenUsed/>
    <w:uiPriority w:val="99"/>
    <w:pPr>
      <w:spacing w:before="100" w:beforeAutospacing="1" w:after="100" w:afterAutospacing="1"/>
    </w:pPr>
  </w:style>
  <w:style w:type="character" w:styleId="16">
    <w:name w:val="Strong"/>
    <w:basedOn w:val="11"/>
    <w:qFormat/>
    <w:uiPriority w:val="22"/>
    <w:rPr>
      <w:b/>
      <w:bCs/>
    </w:rPr>
  </w:style>
  <w:style w:type="paragraph" w:styleId="17">
    <w:name w:val="Subtitle"/>
    <w:basedOn w:val="1"/>
    <w:next w:val="1"/>
    <w:link w:val="38"/>
    <w:qFormat/>
    <w:uiPriority w:val="11"/>
    <w:pPr>
      <w:spacing w:after="160" w:line="278" w:lineRule="auto"/>
    </w:pPr>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18">
    <w:name w:val="Title"/>
    <w:basedOn w:val="1"/>
    <w:next w:val="1"/>
    <w:link w:val="37"/>
    <w:qFormat/>
    <w:uiPriority w:val="10"/>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paragraph" w:styleId="19">
    <w:name w:val="toc 1"/>
    <w:basedOn w:val="1"/>
    <w:next w:val="1"/>
    <w:autoRedefine/>
    <w:unhideWhenUsed/>
    <w:uiPriority w:val="39"/>
    <w:pPr>
      <w:spacing w:before="120"/>
    </w:pPr>
    <w:rPr>
      <w:rFonts w:asciiTheme="minorHAnsi" w:hAnsiTheme="minorHAnsi"/>
      <w:b/>
      <w:bCs/>
      <w:i/>
      <w:iCs/>
    </w:rPr>
  </w:style>
  <w:style w:type="paragraph" w:styleId="20">
    <w:name w:val="toc 2"/>
    <w:basedOn w:val="1"/>
    <w:next w:val="1"/>
    <w:autoRedefine/>
    <w:semiHidden/>
    <w:unhideWhenUsed/>
    <w:uiPriority w:val="39"/>
    <w:pPr>
      <w:spacing w:before="120"/>
      <w:ind w:left="240"/>
    </w:pPr>
    <w:rPr>
      <w:rFonts w:asciiTheme="minorHAnsi" w:hAnsiTheme="minorHAnsi"/>
      <w:b/>
      <w:bCs/>
      <w:sz w:val="22"/>
      <w:szCs w:val="22"/>
    </w:rPr>
  </w:style>
  <w:style w:type="paragraph" w:styleId="21">
    <w:name w:val="toc 3"/>
    <w:basedOn w:val="1"/>
    <w:next w:val="1"/>
    <w:autoRedefine/>
    <w:semiHidden/>
    <w:unhideWhenUsed/>
    <w:uiPriority w:val="39"/>
    <w:pPr>
      <w:ind w:left="480"/>
    </w:pPr>
    <w:rPr>
      <w:rFonts w:asciiTheme="minorHAnsi" w:hAnsiTheme="minorHAnsi"/>
      <w:sz w:val="20"/>
      <w:szCs w:val="20"/>
    </w:rPr>
  </w:style>
  <w:style w:type="paragraph" w:styleId="22">
    <w:name w:val="toc 4"/>
    <w:basedOn w:val="1"/>
    <w:next w:val="1"/>
    <w:autoRedefine/>
    <w:semiHidden/>
    <w:unhideWhenUsed/>
    <w:uiPriority w:val="39"/>
    <w:pPr>
      <w:ind w:left="720"/>
    </w:pPr>
    <w:rPr>
      <w:rFonts w:asciiTheme="minorHAnsi" w:hAnsiTheme="minorHAnsi"/>
      <w:sz w:val="20"/>
      <w:szCs w:val="20"/>
    </w:rPr>
  </w:style>
  <w:style w:type="paragraph" w:styleId="23">
    <w:name w:val="toc 5"/>
    <w:basedOn w:val="1"/>
    <w:next w:val="1"/>
    <w:autoRedefine/>
    <w:semiHidden/>
    <w:unhideWhenUsed/>
    <w:uiPriority w:val="39"/>
    <w:pPr>
      <w:ind w:left="960"/>
    </w:pPr>
    <w:rPr>
      <w:rFonts w:asciiTheme="minorHAnsi" w:hAnsiTheme="minorHAnsi"/>
      <w:sz w:val="20"/>
      <w:szCs w:val="20"/>
    </w:rPr>
  </w:style>
  <w:style w:type="paragraph" w:styleId="24">
    <w:name w:val="toc 6"/>
    <w:basedOn w:val="1"/>
    <w:next w:val="1"/>
    <w:autoRedefine/>
    <w:semiHidden/>
    <w:unhideWhenUsed/>
    <w:uiPriority w:val="39"/>
    <w:pPr>
      <w:ind w:left="1200"/>
    </w:pPr>
    <w:rPr>
      <w:rFonts w:asciiTheme="minorHAnsi" w:hAnsiTheme="minorHAnsi"/>
      <w:sz w:val="20"/>
      <w:szCs w:val="20"/>
    </w:rPr>
  </w:style>
  <w:style w:type="paragraph" w:styleId="25">
    <w:name w:val="toc 7"/>
    <w:basedOn w:val="1"/>
    <w:next w:val="1"/>
    <w:autoRedefine/>
    <w:semiHidden/>
    <w:unhideWhenUsed/>
    <w:uiPriority w:val="39"/>
    <w:pPr>
      <w:ind w:left="1440"/>
    </w:pPr>
    <w:rPr>
      <w:rFonts w:asciiTheme="minorHAnsi" w:hAnsiTheme="minorHAnsi"/>
      <w:sz w:val="20"/>
      <w:szCs w:val="20"/>
    </w:rPr>
  </w:style>
  <w:style w:type="paragraph" w:styleId="26">
    <w:name w:val="toc 8"/>
    <w:basedOn w:val="1"/>
    <w:next w:val="1"/>
    <w:autoRedefine/>
    <w:semiHidden/>
    <w:unhideWhenUsed/>
    <w:uiPriority w:val="39"/>
    <w:pPr>
      <w:ind w:left="1680"/>
    </w:pPr>
    <w:rPr>
      <w:rFonts w:asciiTheme="minorHAnsi" w:hAnsiTheme="minorHAnsi"/>
      <w:sz w:val="20"/>
      <w:szCs w:val="20"/>
    </w:rPr>
  </w:style>
  <w:style w:type="paragraph" w:styleId="27">
    <w:name w:val="toc 9"/>
    <w:basedOn w:val="1"/>
    <w:next w:val="1"/>
    <w:autoRedefine/>
    <w:semiHidden/>
    <w:unhideWhenUsed/>
    <w:uiPriority w:val="39"/>
    <w:pPr>
      <w:ind w:left="1920"/>
    </w:pPr>
    <w:rPr>
      <w:rFonts w:asciiTheme="minorHAnsi" w:hAnsiTheme="minorHAnsi"/>
      <w:sz w:val="20"/>
      <w:szCs w:val="20"/>
    </w:rPr>
  </w:style>
  <w:style w:type="character" w:customStyle="1" w:styleId="28">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9">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30">
    <w:name w:val="Heading 3 Char"/>
    <w:basedOn w:val="11"/>
    <w:link w:val="4"/>
    <w:uiPriority w:val="9"/>
    <w:rPr>
      <w:rFonts w:eastAsiaTheme="majorEastAsia" w:cstheme="majorBidi"/>
      <w:color w:val="104862" w:themeColor="accent1" w:themeShade="BF"/>
      <w:sz w:val="28"/>
      <w:szCs w:val="28"/>
    </w:rPr>
  </w:style>
  <w:style w:type="character" w:customStyle="1" w:styleId="31">
    <w:name w:val="Heading 4 Char"/>
    <w:basedOn w:val="11"/>
    <w:link w:val="5"/>
    <w:semiHidden/>
    <w:uiPriority w:val="9"/>
    <w:rPr>
      <w:rFonts w:eastAsiaTheme="majorEastAsia" w:cstheme="majorBidi"/>
      <w:i/>
      <w:iCs/>
      <w:color w:val="104862" w:themeColor="accent1" w:themeShade="BF"/>
    </w:rPr>
  </w:style>
  <w:style w:type="character" w:customStyle="1" w:styleId="32">
    <w:name w:val="Heading 5 Char"/>
    <w:basedOn w:val="11"/>
    <w:link w:val="6"/>
    <w:semiHidden/>
    <w:uiPriority w:val="9"/>
    <w:rPr>
      <w:rFonts w:eastAsiaTheme="majorEastAsia" w:cstheme="majorBidi"/>
      <w:color w:val="104862" w:themeColor="accent1" w:themeShade="BF"/>
    </w:rPr>
  </w:style>
  <w:style w:type="character" w:customStyle="1" w:styleId="33">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4">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6">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7">
    <w:name w:val="Title Char"/>
    <w:basedOn w:val="11"/>
    <w:link w:val="18"/>
    <w:uiPriority w:val="10"/>
    <w:rPr>
      <w:rFonts w:asciiTheme="majorHAnsi" w:hAnsiTheme="majorHAnsi" w:eastAsiaTheme="majorEastAsia" w:cstheme="majorBidi"/>
      <w:spacing w:val="-10"/>
      <w:kern w:val="28"/>
      <w:sz w:val="56"/>
      <w:szCs w:val="56"/>
    </w:rPr>
  </w:style>
  <w:style w:type="character" w:customStyle="1" w:styleId="38">
    <w:name w:val="Subtitle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9">
    <w:name w:val="Quote"/>
    <w:basedOn w:val="1"/>
    <w:next w:val="1"/>
    <w:link w:val="40"/>
    <w:qFormat/>
    <w:uiPriority w:val="29"/>
    <w:pPr>
      <w:spacing w:before="160" w:after="160" w:line="278" w:lineRule="auto"/>
      <w:jc w:val="center"/>
    </w:pPr>
    <w:rPr>
      <w:rFonts w:asciiTheme="minorHAnsi" w:hAnsiTheme="minorHAnsi" w:eastAsiaTheme="minorHAnsi" w:cstheme="minorBidi"/>
      <w:i/>
      <w:iCs/>
      <w:color w:val="404040" w:themeColor="text1" w:themeTint="BF"/>
      <w:kern w:val="2"/>
      <w:lang w:eastAsia="en-US"/>
      <w14:textFill>
        <w14:solidFill>
          <w14:schemeClr w14:val="tx1">
            <w14:lumMod w14:val="75000"/>
            <w14:lumOff w14:val="25000"/>
          </w14:schemeClr>
        </w14:solidFill>
      </w14:textFill>
      <w14:ligatures w14:val="standardContextual"/>
    </w:rPr>
  </w:style>
  <w:style w:type="character" w:customStyle="1" w:styleId="40">
    <w:name w:val="Quote Char"/>
    <w:basedOn w:val="11"/>
    <w:link w:val="39"/>
    <w:uiPriority w:val="29"/>
    <w:rPr>
      <w:i/>
      <w:iCs/>
      <w:color w:val="404040" w:themeColor="text1" w:themeTint="BF"/>
      <w14:textFill>
        <w14:solidFill>
          <w14:schemeClr w14:val="tx1">
            <w14:lumMod w14:val="75000"/>
            <w14:lumOff w14:val="25000"/>
          </w14:schemeClr>
        </w14:solidFill>
      </w14:textFill>
    </w:rPr>
  </w:style>
  <w:style w:type="paragraph" w:styleId="41">
    <w:name w:val="List Paragraph"/>
    <w:basedOn w:val="1"/>
    <w:qFormat/>
    <w:uiPriority w:val="34"/>
    <w:pPr>
      <w:spacing w:after="160" w:line="278" w:lineRule="auto"/>
      <w:ind w:left="720"/>
      <w:contextualSpacing/>
    </w:pPr>
    <w:rPr>
      <w:rFonts w:asciiTheme="minorHAnsi" w:hAnsiTheme="minorHAnsi" w:eastAsiaTheme="minorHAnsi" w:cstheme="minorBidi"/>
      <w:kern w:val="2"/>
      <w:lang w:eastAsia="en-US"/>
      <w14:ligatures w14:val="standardContextual"/>
    </w:rPr>
  </w:style>
  <w:style w:type="character" w:customStyle="1" w:styleId="42">
    <w:name w:val="Intense Emphasis"/>
    <w:basedOn w:val="11"/>
    <w:qFormat/>
    <w:uiPriority w:val="21"/>
    <w:rPr>
      <w:i/>
      <w:iCs/>
      <w:color w:val="104862" w:themeColor="accent1" w:themeShade="BF"/>
    </w:rPr>
  </w:style>
  <w:style w:type="paragraph" w:styleId="43">
    <w:name w:val="Intense Quote"/>
    <w:basedOn w:val="1"/>
    <w:next w:val="1"/>
    <w:link w:val="4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104862" w:themeColor="accent1" w:themeShade="BF"/>
      <w:kern w:val="2"/>
      <w:lang w:eastAsia="en-US"/>
      <w14:ligatures w14:val="standardContextual"/>
    </w:rPr>
  </w:style>
  <w:style w:type="character" w:customStyle="1" w:styleId="44">
    <w:name w:val="Intense Quote Char"/>
    <w:basedOn w:val="11"/>
    <w:link w:val="43"/>
    <w:uiPriority w:val="30"/>
    <w:rPr>
      <w:i/>
      <w:iCs/>
      <w:color w:val="104862" w:themeColor="accent1" w:themeShade="BF"/>
    </w:rPr>
  </w:style>
  <w:style w:type="character" w:customStyle="1" w:styleId="45">
    <w:name w:val="Intense Reference"/>
    <w:basedOn w:val="11"/>
    <w:qFormat/>
    <w:uiPriority w:val="32"/>
    <w:rPr>
      <w:b/>
      <w:bCs/>
      <w:smallCaps/>
      <w:color w:val="104862" w:themeColor="accent1" w:themeShade="BF"/>
      <w:spacing w:val="5"/>
    </w:rPr>
  </w:style>
  <w:style w:type="paragraph" w:customStyle="1" w:styleId="46">
    <w:name w:val="TOC Heading"/>
    <w:basedOn w:val="2"/>
    <w:next w:val="1"/>
    <w:unhideWhenUsed/>
    <w:qFormat/>
    <w:uiPriority w:val="39"/>
    <w:pPr>
      <w:spacing w:before="480" w:after="0" w:line="276" w:lineRule="auto"/>
      <w:outlineLvl w:val="9"/>
    </w:pPr>
    <w:rPr>
      <w:b/>
      <w:bCs/>
      <w:kern w:val="0"/>
      <w:sz w:val="28"/>
      <w:szCs w:val="28"/>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4D7A1AF-DE65-E64B-863A-AC87D8ECC706}">
  <ds:schemaRefs/>
</ds:datastoreItem>
</file>

<file path=docProps/app.xml><?xml version="1.0" encoding="utf-8"?>
<Properties xmlns="http://schemas.openxmlformats.org/officeDocument/2006/extended-properties" xmlns:vt="http://schemas.openxmlformats.org/officeDocument/2006/docPropsVTypes">
  <Template>Normal.dotm</Template>
  <Pages>7</Pages>
  <Words>1562</Words>
  <Characters>8907</Characters>
  <Lines>74</Lines>
  <Paragraphs>20</Paragraphs>
  <TotalTime>20</TotalTime>
  <ScaleCrop>false</ScaleCrop>
  <LinksUpToDate>false</LinksUpToDate>
  <CharactersWithSpaces>10449</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2025-05-26T13:17:00Z</dcterms:created>
  <dc:creator>Technizen</dc:creator>
  <cp:lastModifiedBy>KumarAjay</cp:lastModifiedBy>
  <dcterms:modified xsi:type="dcterms:W3CDTF">2025-05-28T15:44:40Z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FF6D4E61E3423EA548133768F2E92F7D_43</vt:lpwstr>
  </property>
</Properties>
</file>