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
    <w:p>
      <w:pPr>
        <w:jc w:val="center"/>
      </w:pPr>
      <w:r>
        <w:rPr>
          <w:rFonts w:ascii="Times New Roman" w:hAnsi="Times New Roman"/>
          <w:b/>
          <w:color w:val="1F4E79"/>
          <w:sz w:val="42"/>
        </w:rPr>
        <w:t>Circular Luxury by Design: An Integrated 7Ps Strategy for Soneva Fushi</w:t>
      </w:r>
    </w:p>
    <w:p>
      <w:pPr>
        <w:jc w:val="center"/>
      </w:pPr>
      <w:r>
        <w:rPr>
          <w:rFonts w:ascii="Times New Roman" w:hAnsi="Times New Roman"/>
          <w:i/>
          <w:color w:val="505050"/>
          <w:sz w:val="28"/>
        </w:rPr>
        <w:t>Marketing Fundamentals - Detailed Project Report</w:t>
      </w:r>
    </w:p>
    <w:p/>
    <w:tbl>
      <w:tblPr>
        <w:tblW w:type="auto" w:w="0"/>
        <w:jc w:val="center"/>
        <w:tblLayout w:type="fixed"/>
        <w:tblLook w:firstColumn="1" w:firstRow="1" w:lastColumn="0" w:lastRow="0" w:noHBand="0" w:noVBand="1" w:val="04A0"/>
      </w:tblPr>
      <w:tblGrid>
        <w:gridCol w:w="2304"/>
        <w:gridCol w:w="7056"/>
      </w:tblGrid>
      <w:tr>
        <w:tc>
          <w:tcPr>
            <w:tcW w:type="dxa" w:w="4896"/>
            <w:shd w:fill="EAF0F6"/>
            <w:tcMar>
              <w:top w:w="80" w:type="dxa"/>
              <w:start w:w="100" w:type="dxa"/>
              <w:bottom w:w="80" w:type="dxa"/>
              <w:end w:w="100" w:type="dxa"/>
            </w:tcMar>
            <w:vAlign w:val="center"/>
          </w:tcPr>
          <w:p>
            <w:pPr>
              <w:spacing w:line="240" w:lineRule="auto" w:after="0"/>
              <w:ind w:firstLine="0"/>
            </w:pPr>
            <w:r>
              <w:rPr>
                <w:rFonts w:ascii="Times New Roman" w:hAnsi="Times New Roman"/>
                <w:b/>
                <w:sz w:val="24"/>
              </w:rPr>
              <w:t>Module</w:t>
            </w:r>
          </w:p>
        </w:tc>
        <w:tc>
          <w:tcPr>
            <w:tcW w:type="dxa" w:w="4896"/>
            <w:tcMar>
              <w:top w:w="80" w:type="dxa"/>
              <w:start w:w="100" w:type="dxa"/>
              <w:bottom w:w="80" w:type="dxa"/>
              <w:end w:w="100" w:type="dxa"/>
            </w:tcMar>
            <w:vAlign w:val="center"/>
          </w:tcPr>
          <w:p>
            <w:pPr>
              <w:spacing w:line="240" w:lineRule="auto" w:after="0"/>
              <w:ind w:firstLine="0"/>
            </w:pPr>
            <w:r>
              <w:rPr>
                <w:rFonts w:ascii="Times New Roman" w:hAnsi="Times New Roman"/>
                <w:b w:val="0"/>
                <w:sz w:val="24"/>
              </w:rPr>
              <w:t>Marketing Fundamentals</w:t>
            </w:r>
          </w:p>
        </w:tc>
      </w:tr>
      <w:tr>
        <w:tc>
          <w:tcPr>
            <w:tcW w:type="dxa" w:w="4896"/>
            <w:shd w:fill="EAF0F6"/>
            <w:tcMar>
              <w:top w:w="80" w:type="dxa"/>
              <w:start w:w="100" w:type="dxa"/>
              <w:bottom w:w="80" w:type="dxa"/>
              <w:end w:w="100" w:type="dxa"/>
            </w:tcMar>
            <w:vAlign w:val="center"/>
          </w:tcPr>
          <w:p>
            <w:pPr>
              <w:spacing w:line="240" w:lineRule="auto" w:after="0"/>
              <w:ind w:firstLine="0"/>
            </w:pPr>
            <w:r>
              <w:rPr>
                <w:rFonts w:ascii="Times New Roman" w:hAnsi="Times New Roman"/>
                <w:b/>
                <w:sz w:val="24"/>
              </w:rPr>
              <w:t>Assessment</w:t>
            </w:r>
          </w:p>
        </w:tc>
        <w:tc>
          <w:tcPr>
            <w:tcW w:type="dxa" w:w="4896"/>
            <w:tcMar>
              <w:top w:w="80" w:type="dxa"/>
              <w:start w:w="100" w:type="dxa"/>
              <w:bottom w:w="80" w:type="dxa"/>
              <w:end w:w="100" w:type="dxa"/>
            </w:tcMar>
            <w:vAlign w:val="center"/>
          </w:tcPr>
          <w:p>
            <w:pPr>
              <w:spacing w:line="240" w:lineRule="auto" w:after="0"/>
              <w:ind w:firstLine="0"/>
            </w:pPr>
            <w:r>
              <w:rPr>
                <w:rFonts w:ascii="Times New Roman" w:hAnsi="Times New Roman"/>
                <w:b w:val="0"/>
                <w:sz w:val="24"/>
              </w:rPr>
              <w:t>Detailed Project Report</w:t>
            </w:r>
          </w:p>
        </w:tc>
      </w:tr>
      <w:tr>
        <w:tc>
          <w:tcPr>
            <w:tcW w:type="dxa" w:w="4896"/>
            <w:shd w:fill="EAF0F6"/>
            <w:tcMar>
              <w:top w:w="80" w:type="dxa"/>
              <w:start w:w="100" w:type="dxa"/>
              <w:bottom w:w="80" w:type="dxa"/>
              <w:end w:w="100" w:type="dxa"/>
            </w:tcMar>
            <w:vAlign w:val="center"/>
          </w:tcPr>
          <w:p>
            <w:pPr>
              <w:spacing w:line="240" w:lineRule="auto" w:after="0"/>
              <w:ind w:firstLine="0"/>
            </w:pPr>
            <w:r>
              <w:rPr>
                <w:rFonts w:ascii="Times New Roman" w:hAnsi="Times New Roman"/>
                <w:b/>
                <w:sz w:val="24"/>
              </w:rPr>
              <w:t>Assignment Option</w:t>
            </w:r>
          </w:p>
        </w:tc>
        <w:tc>
          <w:tcPr>
            <w:tcW w:type="dxa" w:w="4896"/>
            <w:tcMar>
              <w:top w:w="80" w:type="dxa"/>
              <w:start w:w="100" w:type="dxa"/>
              <w:bottom w:w="80" w:type="dxa"/>
              <w:end w:w="100" w:type="dxa"/>
            </w:tcMar>
            <w:vAlign w:val="center"/>
          </w:tcPr>
          <w:p>
            <w:pPr>
              <w:spacing w:line="240" w:lineRule="auto" w:after="0"/>
              <w:ind w:firstLine="0"/>
            </w:pPr>
            <w:r>
              <w:rPr>
                <w:rFonts w:ascii="Times New Roman" w:hAnsi="Times New Roman"/>
                <w:b w:val="0"/>
                <w:sz w:val="24"/>
              </w:rPr>
              <w:t>Option 2: Designing the Extended Marketing Mix (7 Ps) for Sustainable Hospitality</w:t>
            </w:r>
          </w:p>
        </w:tc>
      </w:tr>
      <w:tr>
        <w:tc>
          <w:tcPr>
            <w:tcW w:type="dxa" w:w="4896"/>
            <w:shd w:fill="EAF0F6"/>
            <w:tcMar>
              <w:top w:w="80" w:type="dxa"/>
              <w:start w:w="100" w:type="dxa"/>
              <w:bottom w:w="80" w:type="dxa"/>
              <w:end w:w="100" w:type="dxa"/>
            </w:tcMar>
            <w:vAlign w:val="center"/>
          </w:tcPr>
          <w:p>
            <w:pPr>
              <w:spacing w:line="240" w:lineRule="auto" w:after="0"/>
              <w:ind w:firstLine="0"/>
            </w:pPr>
            <w:r>
              <w:rPr>
                <w:rFonts w:ascii="Times New Roman" w:hAnsi="Times New Roman"/>
                <w:b/>
                <w:sz w:val="24"/>
              </w:rPr>
              <w:t>Case Focus</w:t>
            </w:r>
          </w:p>
        </w:tc>
        <w:tc>
          <w:tcPr>
            <w:tcW w:type="dxa" w:w="4896"/>
            <w:tcMar>
              <w:top w:w="80" w:type="dxa"/>
              <w:start w:w="100" w:type="dxa"/>
              <w:bottom w:w="80" w:type="dxa"/>
              <w:end w:w="100" w:type="dxa"/>
            </w:tcMar>
            <w:vAlign w:val="center"/>
          </w:tcPr>
          <w:p>
            <w:pPr>
              <w:spacing w:line="240" w:lineRule="auto" w:after="0"/>
              <w:ind w:firstLine="0"/>
            </w:pPr>
            <w:r>
              <w:rPr>
                <w:rFonts w:ascii="Times New Roman" w:hAnsi="Times New Roman"/>
                <w:b w:val="0"/>
                <w:sz w:val="24"/>
              </w:rPr>
              <w:t>Soneva Fushi, Maldives</w:t>
            </w:r>
          </w:p>
        </w:tc>
      </w:tr>
      <w:tr>
        <w:tc>
          <w:tcPr>
            <w:tcW w:type="dxa" w:w="4896"/>
            <w:shd w:fill="EAF0F6"/>
            <w:tcMar>
              <w:top w:w="80" w:type="dxa"/>
              <w:start w:w="100" w:type="dxa"/>
              <w:bottom w:w="80" w:type="dxa"/>
              <w:end w:w="100" w:type="dxa"/>
            </w:tcMar>
            <w:vAlign w:val="center"/>
          </w:tcPr>
          <w:p>
            <w:pPr>
              <w:spacing w:line="240" w:lineRule="auto" w:after="0"/>
              <w:ind w:firstLine="0"/>
            </w:pPr>
            <w:r>
              <w:rPr>
                <w:rFonts w:ascii="Times New Roman" w:hAnsi="Times New Roman"/>
                <w:b/>
                <w:sz w:val="24"/>
              </w:rPr>
              <w:t>Student Name</w:t>
            </w:r>
          </w:p>
        </w:tc>
        <w:tc>
          <w:tcPr>
            <w:tcW w:type="dxa" w:w="4896"/>
            <w:tcMar>
              <w:top w:w="80" w:type="dxa"/>
              <w:start w:w="100" w:type="dxa"/>
              <w:bottom w:w="80" w:type="dxa"/>
              <w:end w:w="100" w:type="dxa"/>
            </w:tcMar>
            <w:vAlign w:val="center"/>
          </w:tcPr>
          <w:p>
            <w:pPr>
              <w:spacing w:line="240" w:lineRule="auto" w:after="0"/>
              <w:ind w:firstLine="0"/>
            </w:pPr>
            <w:r>
              <w:rPr>
                <w:rFonts w:ascii="Times New Roman" w:hAnsi="Times New Roman"/>
                <w:b w:val="0"/>
                <w:sz w:val="24"/>
              </w:rPr>
              <w:t>____________________________</w:t>
            </w:r>
          </w:p>
        </w:tc>
      </w:tr>
      <w:tr>
        <w:tc>
          <w:tcPr>
            <w:tcW w:type="dxa" w:w="4896"/>
            <w:shd w:fill="EAF0F6"/>
            <w:tcMar>
              <w:top w:w="80" w:type="dxa"/>
              <w:start w:w="100" w:type="dxa"/>
              <w:bottom w:w="80" w:type="dxa"/>
              <w:end w:w="100" w:type="dxa"/>
            </w:tcMar>
            <w:vAlign w:val="center"/>
          </w:tcPr>
          <w:p>
            <w:pPr>
              <w:spacing w:line="240" w:lineRule="auto" w:after="0"/>
              <w:ind w:firstLine="0"/>
            </w:pPr>
            <w:r>
              <w:rPr>
                <w:rFonts w:ascii="Times New Roman" w:hAnsi="Times New Roman"/>
                <w:b/>
                <w:sz w:val="24"/>
              </w:rPr>
              <w:t>Student ID</w:t>
            </w:r>
          </w:p>
        </w:tc>
        <w:tc>
          <w:tcPr>
            <w:tcW w:type="dxa" w:w="4896"/>
            <w:tcMar>
              <w:top w:w="80" w:type="dxa"/>
              <w:start w:w="100" w:type="dxa"/>
              <w:bottom w:w="80" w:type="dxa"/>
              <w:end w:w="100" w:type="dxa"/>
            </w:tcMar>
            <w:vAlign w:val="center"/>
          </w:tcPr>
          <w:p>
            <w:pPr>
              <w:spacing w:line="240" w:lineRule="auto" w:after="0"/>
              <w:ind w:firstLine="0"/>
            </w:pPr>
            <w:r>
              <w:rPr>
                <w:rFonts w:ascii="Times New Roman" w:hAnsi="Times New Roman"/>
                <w:b w:val="0"/>
                <w:sz w:val="24"/>
              </w:rPr>
              <w:t>____________________________</w:t>
            </w:r>
          </w:p>
        </w:tc>
      </w:tr>
      <w:tr>
        <w:tc>
          <w:tcPr>
            <w:tcW w:type="dxa" w:w="4896"/>
            <w:shd w:fill="EAF0F6"/>
            <w:tcMar>
              <w:top w:w="80" w:type="dxa"/>
              <w:start w:w="100" w:type="dxa"/>
              <w:bottom w:w="80" w:type="dxa"/>
              <w:end w:w="100" w:type="dxa"/>
            </w:tcMar>
            <w:vAlign w:val="center"/>
          </w:tcPr>
          <w:p>
            <w:pPr>
              <w:spacing w:line="240" w:lineRule="auto" w:after="0"/>
              <w:ind w:firstLine="0"/>
            </w:pPr>
            <w:r>
              <w:rPr>
                <w:rFonts w:ascii="Times New Roman" w:hAnsi="Times New Roman"/>
                <w:b/>
                <w:sz w:val="24"/>
              </w:rPr>
              <w:t>Submission Date</w:t>
            </w:r>
          </w:p>
        </w:tc>
        <w:tc>
          <w:tcPr>
            <w:tcW w:type="dxa" w:w="4896"/>
            <w:tcMar>
              <w:top w:w="80" w:type="dxa"/>
              <w:start w:w="100" w:type="dxa"/>
              <w:bottom w:w="80" w:type="dxa"/>
              <w:end w:w="100" w:type="dxa"/>
            </w:tcMar>
            <w:vAlign w:val="center"/>
          </w:tcPr>
          <w:p>
            <w:pPr>
              <w:spacing w:line="240" w:lineRule="auto" w:after="0"/>
              <w:ind w:firstLine="0"/>
            </w:pPr>
            <w:r>
              <w:rPr>
                <w:rFonts w:ascii="Times New Roman" w:hAnsi="Times New Roman"/>
                <w:b w:val="0"/>
                <w:sz w:val="24"/>
              </w:rPr>
              <w:t>____________________________</w:t>
            </w:r>
          </w:p>
        </w:tc>
      </w:tr>
    </w:tbl>
    <w:p/>
    <w:p>
      <w:r>
        <w:br w:type="page"/>
      </w:r>
    </w:p>
    <w:p>
      <w:pPr>
        <w:pStyle w:val="Heading1"/>
        <w:spacing w:before="0" w:after="200" w:line="240" w:lineRule="auto"/>
        <w:ind w:firstLine="0"/>
        <w:jc w:val="center"/>
      </w:pPr>
      <w:r>
        <w:rPr>
          <w:rFonts w:ascii="Times New Roman" w:hAnsi="Times New Roman"/>
          <w:b/>
          <w:sz w:val="28"/>
        </w:rPr>
        <w:t>Table of Contents</w:t>
      </w:r>
    </w:p>
    <w:p>
      <w:pPr>
        <w:keepLines/>
        <w:tabs>
          <w:tab w:pos="9734" w:val="right" w:leader="dot"/>
        </w:tabs>
        <w:spacing w:line="240" w:lineRule="auto" w:before="0" w:after="40"/>
        <w:ind w:left="0" w:firstLine="0"/>
      </w:pPr>
      <w:r>
        <w:rPr>
          <w:rFonts w:ascii="Times New Roman" w:hAnsi="Times New Roman"/>
          <w:b/>
          <w:sz w:val="22"/>
        </w:rPr>
        <w:t>Executive Summary</w:t>
      </w:r>
      <w:r>
        <w:rPr>
          <w:rFonts w:ascii="Times New Roman" w:hAnsi="Times New Roman"/>
          <w:b/>
          <w:sz w:val="22"/>
        </w:rPr>
        <w:tab/>
      </w:r>
      <w:r>
        <w:rPr>
          <w:rFonts w:ascii="Times New Roman" w:hAnsi="Times New Roman"/>
          <w:b/>
          <w:sz w:val="22"/>
        </w:rPr>
        <w:t>3</w:t>
      </w:r>
    </w:p>
    <w:p>
      <w:pPr>
        <w:keepLines/>
        <w:tabs>
          <w:tab w:pos="9734" w:val="right" w:leader="dot"/>
        </w:tabs>
        <w:spacing w:line="240" w:lineRule="auto" w:before="0" w:after="40"/>
        <w:ind w:left="0" w:firstLine="0"/>
      </w:pPr>
      <w:r>
        <w:rPr>
          <w:rFonts w:ascii="Times New Roman" w:hAnsi="Times New Roman"/>
          <w:b/>
          <w:sz w:val="22"/>
        </w:rPr>
        <w:t>1. Introduction</w:t>
      </w:r>
      <w:r>
        <w:rPr>
          <w:rFonts w:ascii="Times New Roman" w:hAnsi="Times New Roman"/>
          <w:b/>
          <w:sz w:val="22"/>
        </w:rPr>
        <w:tab/>
      </w:r>
      <w:r>
        <w:rPr>
          <w:rFonts w:ascii="Times New Roman" w:hAnsi="Times New Roman"/>
          <w:b/>
          <w:sz w:val="22"/>
        </w:rPr>
        <w:t>4</w:t>
      </w:r>
    </w:p>
    <w:p>
      <w:pPr>
        <w:keepLines/>
        <w:tabs>
          <w:tab w:pos="9734" w:val="right" w:leader="dot"/>
        </w:tabs>
        <w:spacing w:line="240" w:lineRule="auto" w:before="0" w:after="40"/>
        <w:ind w:left="0" w:firstLine="0"/>
      </w:pPr>
      <w:r>
        <w:rPr>
          <w:rFonts w:ascii="Times New Roman" w:hAnsi="Times New Roman"/>
          <w:b/>
          <w:sz w:val="22"/>
        </w:rPr>
        <w:t>2. Market &amp; Consumer Behaviour Analysis</w:t>
      </w:r>
      <w:r>
        <w:rPr>
          <w:rFonts w:ascii="Times New Roman" w:hAnsi="Times New Roman"/>
          <w:b/>
          <w:sz w:val="22"/>
        </w:rPr>
        <w:tab/>
      </w:r>
      <w:r>
        <w:rPr>
          <w:rFonts w:ascii="Times New Roman" w:hAnsi="Times New Roman"/>
          <w:b/>
          <w:sz w:val="22"/>
        </w:rPr>
        <w:t>5</w:t>
      </w:r>
    </w:p>
    <w:p>
      <w:pPr>
        <w:keepLines/>
        <w:tabs>
          <w:tab w:pos="9734" w:val="right" w:leader="dot"/>
        </w:tabs>
        <w:spacing w:line="240" w:lineRule="auto" w:before="0" w:after="0"/>
        <w:ind w:left="403" w:firstLine="0"/>
      </w:pPr>
      <w:r>
        <w:rPr>
          <w:rFonts w:ascii="Times New Roman" w:hAnsi="Times New Roman"/>
          <w:b w:val="0"/>
          <w:sz w:val="22"/>
        </w:rPr>
        <w:t>2.1 Demand context for sustainable luxury hospitality</w:t>
      </w:r>
      <w:r>
        <w:rPr>
          <w:rFonts w:ascii="Times New Roman" w:hAnsi="Times New Roman"/>
          <w:b w:val="0"/>
          <w:sz w:val="22"/>
        </w:rPr>
        <w:tab/>
      </w:r>
      <w:r>
        <w:rPr>
          <w:rFonts w:ascii="Times New Roman" w:hAnsi="Times New Roman"/>
          <w:b w:val="0"/>
          <w:sz w:val="22"/>
        </w:rPr>
        <w:t>5</w:t>
      </w:r>
    </w:p>
    <w:p>
      <w:pPr>
        <w:keepLines/>
        <w:tabs>
          <w:tab w:pos="9734" w:val="right" w:leader="dot"/>
        </w:tabs>
        <w:spacing w:line="240" w:lineRule="auto" w:before="0" w:after="0"/>
        <w:ind w:left="403" w:firstLine="0"/>
      </w:pPr>
      <w:r>
        <w:rPr>
          <w:rFonts w:ascii="Times New Roman" w:hAnsi="Times New Roman"/>
          <w:b w:val="0"/>
          <w:sz w:val="22"/>
        </w:rPr>
        <w:t>2.2 Experience value, trust and loyalty</w:t>
      </w:r>
      <w:r>
        <w:rPr>
          <w:rFonts w:ascii="Times New Roman" w:hAnsi="Times New Roman"/>
          <w:b w:val="0"/>
          <w:sz w:val="22"/>
        </w:rPr>
        <w:tab/>
      </w:r>
      <w:r>
        <w:rPr>
          <w:rFonts w:ascii="Times New Roman" w:hAnsi="Times New Roman"/>
          <w:b w:val="0"/>
          <w:sz w:val="22"/>
        </w:rPr>
        <w:t>6</w:t>
      </w:r>
    </w:p>
    <w:p>
      <w:pPr>
        <w:keepLines/>
        <w:tabs>
          <w:tab w:pos="9734" w:val="right" w:leader="dot"/>
        </w:tabs>
        <w:spacing w:line="240" w:lineRule="auto" w:before="0" w:after="0"/>
        <w:ind w:left="403" w:firstLine="0"/>
      </w:pPr>
      <w:r>
        <w:rPr>
          <w:rFonts w:ascii="Times New Roman" w:hAnsi="Times New Roman"/>
          <w:b w:val="0"/>
          <w:sz w:val="22"/>
        </w:rPr>
        <w:t>2.3 Customer decision journey</w:t>
      </w:r>
      <w:r>
        <w:rPr>
          <w:rFonts w:ascii="Times New Roman" w:hAnsi="Times New Roman"/>
          <w:b w:val="0"/>
          <w:sz w:val="22"/>
        </w:rPr>
        <w:tab/>
      </w:r>
      <w:r>
        <w:rPr>
          <w:rFonts w:ascii="Times New Roman" w:hAnsi="Times New Roman"/>
          <w:b w:val="0"/>
          <w:sz w:val="22"/>
        </w:rPr>
        <w:t>7</w:t>
      </w:r>
    </w:p>
    <w:p>
      <w:pPr>
        <w:keepLines/>
        <w:tabs>
          <w:tab w:pos="9734" w:val="right" w:leader="dot"/>
        </w:tabs>
        <w:spacing w:line="240" w:lineRule="auto" w:before="0" w:after="40"/>
        <w:ind w:left="0" w:firstLine="0"/>
      </w:pPr>
      <w:r>
        <w:rPr>
          <w:rFonts w:ascii="Times New Roman" w:hAnsi="Times New Roman"/>
          <w:b/>
          <w:sz w:val="22"/>
        </w:rPr>
        <w:t>3. Segmentation, Targeting, and Positioning (STP)</w:t>
      </w:r>
      <w:r>
        <w:rPr>
          <w:rFonts w:ascii="Times New Roman" w:hAnsi="Times New Roman"/>
          <w:b/>
          <w:sz w:val="22"/>
        </w:rPr>
        <w:tab/>
      </w:r>
      <w:r>
        <w:rPr>
          <w:rFonts w:ascii="Times New Roman" w:hAnsi="Times New Roman"/>
          <w:b/>
          <w:sz w:val="22"/>
        </w:rPr>
        <w:t>7</w:t>
      </w:r>
    </w:p>
    <w:p>
      <w:pPr>
        <w:keepLines/>
        <w:tabs>
          <w:tab w:pos="9734" w:val="right" w:leader="dot"/>
        </w:tabs>
        <w:spacing w:line="240" w:lineRule="auto" w:before="0" w:after="0"/>
        <w:ind w:left="403" w:firstLine="0"/>
      </w:pPr>
      <w:r>
        <w:rPr>
          <w:rFonts w:ascii="Times New Roman" w:hAnsi="Times New Roman"/>
          <w:b w:val="0"/>
          <w:sz w:val="22"/>
        </w:rPr>
        <w:t>3.1 Segmentation approach</w:t>
      </w:r>
      <w:r>
        <w:rPr>
          <w:rFonts w:ascii="Times New Roman" w:hAnsi="Times New Roman"/>
          <w:b w:val="0"/>
          <w:sz w:val="22"/>
        </w:rPr>
        <w:tab/>
      </w:r>
      <w:r>
        <w:rPr>
          <w:rFonts w:ascii="Times New Roman" w:hAnsi="Times New Roman"/>
          <w:b w:val="0"/>
          <w:sz w:val="22"/>
        </w:rPr>
        <w:t>7</w:t>
      </w:r>
    </w:p>
    <w:p>
      <w:pPr>
        <w:keepLines/>
        <w:tabs>
          <w:tab w:pos="9734" w:val="right" w:leader="dot"/>
        </w:tabs>
        <w:spacing w:line="240" w:lineRule="auto" w:before="0" w:after="0"/>
        <w:ind w:left="403" w:firstLine="0"/>
      </w:pPr>
      <w:r>
        <w:rPr>
          <w:rFonts w:ascii="Times New Roman" w:hAnsi="Times New Roman"/>
          <w:b w:val="0"/>
          <w:sz w:val="22"/>
        </w:rPr>
        <w:t>3.2 Target audience profile</w:t>
      </w:r>
      <w:r>
        <w:rPr>
          <w:rFonts w:ascii="Times New Roman" w:hAnsi="Times New Roman"/>
          <w:b w:val="0"/>
          <w:sz w:val="22"/>
        </w:rPr>
        <w:tab/>
      </w:r>
      <w:r>
        <w:rPr>
          <w:rFonts w:ascii="Times New Roman" w:hAnsi="Times New Roman"/>
          <w:b w:val="0"/>
          <w:sz w:val="22"/>
        </w:rPr>
        <w:t>8</w:t>
      </w:r>
    </w:p>
    <w:p>
      <w:pPr>
        <w:keepLines/>
        <w:tabs>
          <w:tab w:pos="9734" w:val="right" w:leader="dot"/>
        </w:tabs>
        <w:spacing w:line="240" w:lineRule="auto" w:before="0" w:after="0"/>
        <w:ind w:left="403" w:firstLine="0"/>
      </w:pPr>
      <w:r>
        <w:rPr>
          <w:rFonts w:ascii="Times New Roman" w:hAnsi="Times New Roman"/>
          <w:b w:val="0"/>
          <w:sz w:val="22"/>
        </w:rPr>
        <w:t>3.3 Positioning statement and map</w:t>
      </w:r>
      <w:r>
        <w:rPr>
          <w:rFonts w:ascii="Times New Roman" w:hAnsi="Times New Roman"/>
          <w:b w:val="0"/>
          <w:sz w:val="22"/>
        </w:rPr>
        <w:tab/>
      </w:r>
      <w:r>
        <w:rPr>
          <w:rFonts w:ascii="Times New Roman" w:hAnsi="Times New Roman"/>
          <w:b w:val="0"/>
          <w:sz w:val="22"/>
        </w:rPr>
        <w:t>9</w:t>
      </w:r>
    </w:p>
    <w:p>
      <w:pPr>
        <w:keepLines/>
        <w:tabs>
          <w:tab w:pos="9734" w:val="right" w:leader="dot"/>
        </w:tabs>
        <w:spacing w:line="240" w:lineRule="auto" w:before="0" w:after="40"/>
        <w:ind w:left="0" w:firstLine="0"/>
      </w:pPr>
      <w:r>
        <w:rPr>
          <w:rFonts w:ascii="Times New Roman" w:hAnsi="Times New Roman"/>
          <w:b/>
          <w:sz w:val="22"/>
        </w:rPr>
        <w:t>4. Extended Tourism Marketing Mix (7 Ps)</w:t>
      </w:r>
      <w:r>
        <w:rPr>
          <w:rFonts w:ascii="Times New Roman" w:hAnsi="Times New Roman"/>
          <w:b/>
          <w:sz w:val="22"/>
        </w:rPr>
        <w:tab/>
      </w:r>
      <w:r>
        <w:rPr>
          <w:rFonts w:ascii="Times New Roman" w:hAnsi="Times New Roman"/>
          <w:b/>
          <w:sz w:val="22"/>
        </w:rPr>
        <w:t>10</w:t>
      </w:r>
    </w:p>
    <w:p>
      <w:pPr>
        <w:keepLines/>
        <w:tabs>
          <w:tab w:pos="9734" w:val="right" w:leader="dot"/>
        </w:tabs>
        <w:spacing w:line="240" w:lineRule="auto" w:before="0" w:after="0"/>
        <w:ind w:left="403" w:firstLine="0"/>
      </w:pPr>
      <w:r>
        <w:rPr>
          <w:rFonts w:ascii="Times New Roman" w:hAnsi="Times New Roman"/>
          <w:b w:val="0"/>
          <w:sz w:val="22"/>
        </w:rPr>
        <w:t>4.1 Product: from villa inventory to a regenerative experience portfolio</w:t>
      </w:r>
      <w:r>
        <w:rPr>
          <w:rFonts w:ascii="Times New Roman" w:hAnsi="Times New Roman"/>
          <w:b w:val="0"/>
          <w:sz w:val="22"/>
        </w:rPr>
        <w:tab/>
      </w:r>
      <w:r>
        <w:rPr>
          <w:rFonts w:ascii="Times New Roman" w:hAnsi="Times New Roman"/>
          <w:b w:val="0"/>
          <w:sz w:val="22"/>
        </w:rPr>
        <w:t>10</w:t>
      </w:r>
    </w:p>
    <w:p>
      <w:pPr>
        <w:keepLines/>
        <w:tabs>
          <w:tab w:pos="9734" w:val="right" w:leader="dot"/>
        </w:tabs>
        <w:spacing w:line="240" w:lineRule="auto" w:before="0" w:after="0"/>
        <w:ind w:left="403" w:firstLine="0"/>
      </w:pPr>
      <w:r>
        <w:rPr>
          <w:rFonts w:ascii="Times New Roman" w:hAnsi="Times New Roman"/>
          <w:b w:val="0"/>
          <w:sz w:val="22"/>
        </w:rPr>
        <w:t>4.2 Price: value-based premium with transparent logic</w:t>
      </w:r>
      <w:r>
        <w:rPr>
          <w:rFonts w:ascii="Times New Roman" w:hAnsi="Times New Roman"/>
          <w:b w:val="0"/>
          <w:sz w:val="22"/>
        </w:rPr>
        <w:tab/>
      </w:r>
      <w:r>
        <w:rPr>
          <w:rFonts w:ascii="Times New Roman" w:hAnsi="Times New Roman"/>
          <w:b w:val="0"/>
          <w:sz w:val="22"/>
        </w:rPr>
        <w:t>10</w:t>
      </w:r>
    </w:p>
    <w:p>
      <w:pPr>
        <w:keepLines/>
        <w:tabs>
          <w:tab w:pos="9734" w:val="right" w:leader="dot"/>
        </w:tabs>
        <w:spacing w:line="240" w:lineRule="auto" w:before="0" w:after="0"/>
        <w:ind w:left="403" w:firstLine="0"/>
      </w:pPr>
      <w:r>
        <w:rPr>
          <w:rFonts w:ascii="Times New Roman" w:hAnsi="Times New Roman"/>
          <w:b w:val="0"/>
          <w:sz w:val="22"/>
        </w:rPr>
        <w:t>4.3 Place: direct relationship first, selective intermediary reach</w:t>
      </w:r>
      <w:r>
        <w:rPr>
          <w:rFonts w:ascii="Times New Roman" w:hAnsi="Times New Roman"/>
          <w:b w:val="0"/>
          <w:sz w:val="22"/>
        </w:rPr>
        <w:tab/>
      </w:r>
      <w:r>
        <w:rPr>
          <w:rFonts w:ascii="Times New Roman" w:hAnsi="Times New Roman"/>
          <w:b w:val="0"/>
          <w:sz w:val="22"/>
        </w:rPr>
        <w:t>11</w:t>
      </w:r>
    </w:p>
    <w:p>
      <w:pPr>
        <w:keepLines/>
        <w:tabs>
          <w:tab w:pos="9734" w:val="right" w:leader="dot"/>
        </w:tabs>
        <w:spacing w:line="240" w:lineRule="auto" w:before="0" w:after="0"/>
        <w:ind w:left="403" w:firstLine="0"/>
      </w:pPr>
      <w:r>
        <w:rPr>
          <w:rFonts w:ascii="Times New Roman" w:hAnsi="Times New Roman"/>
          <w:b w:val="0"/>
          <w:sz w:val="22"/>
        </w:rPr>
        <w:t>4.4 Promotion: proof-rich storytelling rather than generic green claims</w:t>
      </w:r>
      <w:r>
        <w:rPr>
          <w:rFonts w:ascii="Times New Roman" w:hAnsi="Times New Roman"/>
          <w:b w:val="0"/>
          <w:sz w:val="22"/>
        </w:rPr>
        <w:tab/>
      </w:r>
      <w:r>
        <w:rPr>
          <w:rFonts w:ascii="Times New Roman" w:hAnsi="Times New Roman"/>
          <w:b w:val="0"/>
          <w:sz w:val="22"/>
        </w:rPr>
        <w:t>12</w:t>
      </w:r>
    </w:p>
    <w:p>
      <w:pPr>
        <w:keepLines/>
        <w:tabs>
          <w:tab w:pos="9734" w:val="right" w:leader="dot"/>
        </w:tabs>
        <w:spacing w:line="240" w:lineRule="auto" w:before="0" w:after="0"/>
        <w:ind w:left="403" w:firstLine="0"/>
      </w:pPr>
      <w:r>
        <w:rPr>
          <w:rFonts w:ascii="Times New Roman" w:hAnsi="Times New Roman"/>
          <w:b w:val="0"/>
          <w:sz w:val="22"/>
        </w:rPr>
        <w:t>4.5 People: hosts as interpreters of place</w:t>
      </w:r>
      <w:r>
        <w:rPr>
          <w:rFonts w:ascii="Times New Roman" w:hAnsi="Times New Roman"/>
          <w:b w:val="0"/>
          <w:sz w:val="22"/>
        </w:rPr>
        <w:tab/>
      </w:r>
      <w:r>
        <w:rPr>
          <w:rFonts w:ascii="Times New Roman" w:hAnsi="Times New Roman"/>
          <w:b w:val="0"/>
          <w:sz w:val="22"/>
        </w:rPr>
        <w:t>12</w:t>
      </w:r>
    </w:p>
    <w:p>
      <w:pPr>
        <w:keepLines/>
        <w:tabs>
          <w:tab w:pos="9734" w:val="right" w:leader="dot"/>
        </w:tabs>
        <w:spacing w:line="240" w:lineRule="auto" w:before="0" w:after="0"/>
        <w:ind w:left="403" w:firstLine="0"/>
      </w:pPr>
      <w:r>
        <w:rPr>
          <w:rFonts w:ascii="Times New Roman" w:hAnsi="Times New Roman"/>
          <w:b w:val="0"/>
          <w:sz w:val="22"/>
        </w:rPr>
        <w:t>4.6 Process: frictionless service with circular defaults</w:t>
      </w:r>
      <w:r>
        <w:rPr>
          <w:rFonts w:ascii="Times New Roman" w:hAnsi="Times New Roman"/>
          <w:b w:val="0"/>
          <w:sz w:val="22"/>
        </w:rPr>
        <w:tab/>
      </w:r>
      <w:r>
        <w:rPr>
          <w:rFonts w:ascii="Times New Roman" w:hAnsi="Times New Roman"/>
          <w:b w:val="0"/>
          <w:sz w:val="22"/>
        </w:rPr>
        <w:t>13</w:t>
      </w:r>
    </w:p>
    <w:p>
      <w:pPr>
        <w:keepLines/>
        <w:tabs>
          <w:tab w:pos="9734" w:val="right" w:leader="dot"/>
        </w:tabs>
        <w:spacing w:line="240" w:lineRule="auto" w:before="0" w:after="0"/>
        <w:ind w:left="403" w:firstLine="0"/>
      </w:pPr>
      <w:r>
        <w:rPr>
          <w:rFonts w:ascii="Times New Roman" w:hAnsi="Times New Roman"/>
          <w:b w:val="0"/>
          <w:sz w:val="22"/>
        </w:rPr>
        <w:t>4.7 Physical Evidence: let the island prove the promise</w:t>
      </w:r>
      <w:r>
        <w:rPr>
          <w:rFonts w:ascii="Times New Roman" w:hAnsi="Times New Roman"/>
          <w:b w:val="0"/>
          <w:sz w:val="22"/>
        </w:rPr>
        <w:tab/>
      </w:r>
      <w:r>
        <w:rPr>
          <w:rFonts w:ascii="Times New Roman" w:hAnsi="Times New Roman"/>
          <w:b w:val="0"/>
          <w:sz w:val="22"/>
        </w:rPr>
        <w:t>14</w:t>
      </w:r>
    </w:p>
    <w:p>
      <w:pPr>
        <w:keepLines/>
        <w:tabs>
          <w:tab w:pos="9734" w:val="right" w:leader="dot"/>
        </w:tabs>
        <w:spacing w:line="240" w:lineRule="auto" w:before="0" w:after="40"/>
        <w:ind w:left="0" w:firstLine="0"/>
      </w:pPr>
      <w:r>
        <w:rPr>
          <w:rFonts w:ascii="Times New Roman" w:hAnsi="Times New Roman"/>
          <w:b/>
          <w:sz w:val="22"/>
        </w:rPr>
        <w:t>5. Experience Marketing and Service Design</w:t>
      </w:r>
      <w:r>
        <w:rPr>
          <w:rFonts w:ascii="Times New Roman" w:hAnsi="Times New Roman"/>
          <w:b/>
          <w:sz w:val="22"/>
        </w:rPr>
        <w:tab/>
      </w:r>
      <w:r>
        <w:rPr>
          <w:rFonts w:ascii="Times New Roman" w:hAnsi="Times New Roman"/>
          <w:b/>
          <w:sz w:val="22"/>
        </w:rPr>
        <w:t>15</w:t>
      </w:r>
    </w:p>
    <w:p>
      <w:pPr>
        <w:keepLines/>
        <w:tabs>
          <w:tab w:pos="9734" w:val="right" w:leader="dot"/>
        </w:tabs>
        <w:spacing w:line="240" w:lineRule="auto" w:before="0" w:after="40"/>
        <w:ind w:left="0" w:firstLine="0"/>
      </w:pPr>
      <w:r>
        <w:rPr>
          <w:rFonts w:ascii="Times New Roman" w:hAnsi="Times New Roman"/>
          <w:b/>
          <w:sz w:val="22"/>
        </w:rPr>
        <w:t>6. Distribution Pricing Dynamics: Direct Booking Versus OTAs</w:t>
      </w:r>
      <w:r>
        <w:rPr>
          <w:rFonts w:ascii="Times New Roman" w:hAnsi="Times New Roman"/>
          <w:b/>
          <w:sz w:val="22"/>
        </w:rPr>
        <w:tab/>
      </w:r>
      <w:r>
        <w:rPr>
          <w:rFonts w:ascii="Times New Roman" w:hAnsi="Times New Roman"/>
          <w:b/>
          <w:sz w:val="22"/>
        </w:rPr>
        <w:t>15</w:t>
      </w:r>
    </w:p>
    <w:p>
      <w:pPr>
        <w:keepLines/>
        <w:tabs>
          <w:tab w:pos="9734" w:val="right" w:leader="dot"/>
        </w:tabs>
        <w:spacing w:line="240" w:lineRule="auto" w:before="0" w:after="40"/>
        <w:ind w:left="0" w:firstLine="0"/>
      </w:pPr>
      <w:r>
        <w:rPr>
          <w:rFonts w:ascii="Times New Roman" w:hAnsi="Times New Roman"/>
          <w:b/>
          <w:sz w:val="22"/>
        </w:rPr>
        <w:t>7. Implementation, Budgeting &amp; KPIs</w:t>
      </w:r>
      <w:r>
        <w:rPr>
          <w:rFonts w:ascii="Times New Roman" w:hAnsi="Times New Roman"/>
          <w:b/>
          <w:sz w:val="22"/>
        </w:rPr>
        <w:tab/>
      </w:r>
      <w:r>
        <w:rPr>
          <w:rFonts w:ascii="Times New Roman" w:hAnsi="Times New Roman"/>
          <w:b/>
          <w:sz w:val="22"/>
        </w:rPr>
        <w:t>16</w:t>
      </w:r>
    </w:p>
    <w:p>
      <w:pPr>
        <w:keepLines/>
        <w:tabs>
          <w:tab w:pos="9734" w:val="right" w:leader="dot"/>
        </w:tabs>
        <w:spacing w:line="240" w:lineRule="auto" w:before="0" w:after="0"/>
        <w:ind w:left="403" w:firstLine="0"/>
      </w:pPr>
      <w:r>
        <w:rPr>
          <w:rFonts w:ascii="Times New Roman" w:hAnsi="Times New Roman"/>
          <w:b w:val="0"/>
          <w:sz w:val="22"/>
        </w:rPr>
        <w:t>7.1 Twelve-month implementation roadmap</w:t>
      </w:r>
      <w:r>
        <w:rPr>
          <w:rFonts w:ascii="Times New Roman" w:hAnsi="Times New Roman"/>
          <w:b w:val="0"/>
          <w:sz w:val="22"/>
        </w:rPr>
        <w:tab/>
      </w:r>
      <w:r>
        <w:rPr>
          <w:rFonts w:ascii="Times New Roman" w:hAnsi="Times New Roman"/>
          <w:b w:val="0"/>
          <w:sz w:val="22"/>
        </w:rPr>
        <w:t>16</w:t>
      </w:r>
    </w:p>
    <w:p>
      <w:pPr>
        <w:keepLines/>
        <w:tabs>
          <w:tab w:pos="9734" w:val="right" w:leader="dot"/>
        </w:tabs>
        <w:spacing w:line="240" w:lineRule="auto" w:before="0" w:after="0"/>
        <w:ind w:left="403" w:firstLine="0"/>
      </w:pPr>
      <w:r>
        <w:rPr>
          <w:rFonts w:ascii="Times New Roman" w:hAnsi="Times New Roman"/>
          <w:b w:val="0"/>
          <w:sz w:val="22"/>
        </w:rPr>
        <w:t>7.2 KPI framework</w:t>
      </w:r>
      <w:r>
        <w:rPr>
          <w:rFonts w:ascii="Times New Roman" w:hAnsi="Times New Roman"/>
          <w:b w:val="0"/>
          <w:sz w:val="22"/>
        </w:rPr>
        <w:tab/>
      </w:r>
      <w:r>
        <w:rPr>
          <w:rFonts w:ascii="Times New Roman" w:hAnsi="Times New Roman"/>
          <w:b w:val="0"/>
          <w:sz w:val="22"/>
        </w:rPr>
        <w:t>17</w:t>
      </w:r>
    </w:p>
    <w:p>
      <w:pPr>
        <w:keepLines/>
        <w:tabs>
          <w:tab w:pos="9734" w:val="right" w:leader="dot"/>
        </w:tabs>
        <w:spacing w:line="240" w:lineRule="auto" w:before="0" w:after="40"/>
        <w:ind w:left="0" w:firstLine="0"/>
      </w:pPr>
      <w:r>
        <w:rPr>
          <w:rFonts w:ascii="Times New Roman" w:hAnsi="Times New Roman"/>
          <w:b/>
          <w:sz w:val="22"/>
        </w:rPr>
        <w:t>8. Strategic Risks and Controls</w:t>
      </w:r>
      <w:r>
        <w:rPr>
          <w:rFonts w:ascii="Times New Roman" w:hAnsi="Times New Roman"/>
          <w:b/>
          <w:sz w:val="22"/>
        </w:rPr>
        <w:tab/>
      </w:r>
      <w:r>
        <w:rPr>
          <w:rFonts w:ascii="Times New Roman" w:hAnsi="Times New Roman"/>
          <w:b/>
          <w:sz w:val="22"/>
        </w:rPr>
        <w:t>18</w:t>
      </w:r>
    </w:p>
    <w:p>
      <w:pPr>
        <w:keepLines/>
        <w:tabs>
          <w:tab w:pos="9734" w:val="right" w:leader="dot"/>
        </w:tabs>
        <w:spacing w:line="240" w:lineRule="auto" w:before="0" w:after="40"/>
        <w:ind w:left="0" w:firstLine="0"/>
      </w:pPr>
      <w:r>
        <w:rPr>
          <w:rFonts w:ascii="Times New Roman" w:hAnsi="Times New Roman"/>
          <w:b/>
          <w:sz w:val="22"/>
        </w:rPr>
        <w:t>9. Conclusion &amp; Recommendations</w:t>
      </w:r>
      <w:r>
        <w:rPr>
          <w:rFonts w:ascii="Times New Roman" w:hAnsi="Times New Roman"/>
          <w:b/>
          <w:sz w:val="22"/>
        </w:rPr>
        <w:tab/>
      </w:r>
      <w:r>
        <w:rPr>
          <w:rFonts w:ascii="Times New Roman" w:hAnsi="Times New Roman"/>
          <w:b/>
          <w:sz w:val="22"/>
        </w:rPr>
        <w:t>19</w:t>
      </w:r>
    </w:p>
    <w:p>
      <w:pPr>
        <w:keepLines/>
        <w:tabs>
          <w:tab w:pos="9734" w:val="right" w:leader="dot"/>
        </w:tabs>
        <w:spacing w:line="240" w:lineRule="auto" w:before="0" w:after="40"/>
        <w:ind w:left="0" w:firstLine="0"/>
      </w:pPr>
      <w:r>
        <w:rPr>
          <w:rFonts w:ascii="Times New Roman" w:hAnsi="Times New Roman"/>
          <w:b/>
          <w:sz w:val="22"/>
        </w:rPr>
        <w:t>References</w:t>
      </w:r>
      <w:r>
        <w:rPr>
          <w:rFonts w:ascii="Times New Roman" w:hAnsi="Times New Roman"/>
          <w:b/>
          <w:sz w:val="22"/>
        </w:rPr>
        <w:tab/>
      </w:r>
      <w:r>
        <w:rPr>
          <w:rFonts w:ascii="Times New Roman" w:hAnsi="Times New Roman"/>
          <w:b/>
          <w:sz w:val="22"/>
        </w:rPr>
        <w:t>20</w:t>
      </w:r>
    </w:p>
    <w:p>
      <w:pPr>
        <w:keepLines/>
        <w:tabs>
          <w:tab w:pos="9734" w:val="right" w:leader="dot"/>
        </w:tabs>
        <w:spacing w:line="240" w:lineRule="auto" w:before="0" w:after="40"/>
        <w:ind w:left="0" w:firstLine="0"/>
      </w:pPr>
      <w:r>
        <w:rPr>
          <w:rFonts w:ascii="Times New Roman" w:hAnsi="Times New Roman"/>
          <w:b/>
          <w:sz w:val="22"/>
        </w:rPr>
        <w:t>Appendices</w:t>
      </w:r>
      <w:r>
        <w:rPr>
          <w:rFonts w:ascii="Times New Roman" w:hAnsi="Times New Roman"/>
          <w:b/>
          <w:sz w:val="22"/>
        </w:rPr>
        <w:tab/>
      </w:r>
      <w:r>
        <w:rPr>
          <w:rFonts w:ascii="Times New Roman" w:hAnsi="Times New Roman"/>
          <w:b/>
          <w:sz w:val="22"/>
        </w:rPr>
        <w:t>21</w:t>
      </w:r>
    </w:p>
    <w:p>
      <w:pPr>
        <w:keepLines/>
        <w:tabs>
          <w:tab w:pos="9734" w:val="right" w:leader="dot"/>
        </w:tabs>
        <w:spacing w:line="240" w:lineRule="auto" w:before="0" w:after="0"/>
        <w:ind w:left="403" w:firstLine="0"/>
      </w:pPr>
      <w:r>
        <w:rPr>
          <w:rFonts w:ascii="Times New Roman" w:hAnsi="Times New Roman"/>
          <w:b w:val="0"/>
          <w:sz w:val="22"/>
        </w:rPr>
        <w:t>Appendix A. Target Audience Persona</w:t>
      </w:r>
      <w:r>
        <w:rPr>
          <w:rFonts w:ascii="Times New Roman" w:hAnsi="Times New Roman"/>
          <w:b w:val="0"/>
          <w:sz w:val="22"/>
        </w:rPr>
        <w:tab/>
      </w:r>
      <w:r>
        <w:rPr>
          <w:rFonts w:ascii="Times New Roman" w:hAnsi="Times New Roman"/>
          <w:b w:val="0"/>
          <w:sz w:val="22"/>
        </w:rPr>
        <w:t>21</w:t>
      </w:r>
    </w:p>
    <w:p>
      <w:pPr>
        <w:keepLines/>
        <w:tabs>
          <w:tab w:pos="9734" w:val="right" w:leader="dot"/>
        </w:tabs>
        <w:spacing w:line="240" w:lineRule="auto" w:before="0" w:after="0"/>
        <w:ind w:left="403" w:firstLine="0"/>
      </w:pPr>
      <w:r>
        <w:rPr>
          <w:rFonts w:ascii="Times New Roman" w:hAnsi="Times New Roman"/>
          <w:b w:val="0"/>
          <w:sz w:val="22"/>
        </w:rPr>
        <w:t>Appendix B. Channel Decision Rules</w:t>
      </w:r>
      <w:r>
        <w:rPr>
          <w:rFonts w:ascii="Times New Roman" w:hAnsi="Times New Roman"/>
          <w:b w:val="0"/>
          <w:sz w:val="22"/>
        </w:rPr>
        <w:tab/>
      </w:r>
      <w:r>
        <w:rPr>
          <w:rFonts w:ascii="Times New Roman" w:hAnsi="Times New Roman"/>
          <w:b w:val="0"/>
          <w:sz w:val="22"/>
        </w:rPr>
        <w:t>21</w:t>
      </w:r>
    </w:p>
    <w:p>
      <w:pPr>
        <w:keepLines/>
        <w:tabs>
          <w:tab w:pos="9734" w:val="right" w:leader="dot"/>
        </w:tabs>
        <w:spacing w:line="240" w:lineRule="auto" w:before="0" w:after="0"/>
        <w:ind w:left="403" w:firstLine="0"/>
      </w:pPr>
      <w:r>
        <w:rPr>
          <w:rFonts w:ascii="Times New Roman" w:hAnsi="Times New Roman"/>
          <w:b w:val="0"/>
          <w:sz w:val="22"/>
        </w:rPr>
        <w:t>Appendix C. Sustainability Claims Checklist</w:t>
      </w:r>
      <w:r>
        <w:rPr>
          <w:rFonts w:ascii="Times New Roman" w:hAnsi="Times New Roman"/>
          <w:b w:val="0"/>
          <w:sz w:val="22"/>
        </w:rPr>
        <w:tab/>
      </w:r>
      <w:r>
        <w:rPr>
          <w:rFonts w:ascii="Times New Roman" w:hAnsi="Times New Roman"/>
          <w:b w:val="0"/>
          <w:sz w:val="22"/>
        </w:rPr>
        <w:t>22</w:t>
      </w:r>
    </w:p>
    <w:p>
      <w:pPr>
        <w:spacing w:before="0" w:after="0" w:line="240" w:lineRule="auto"/>
      </w:pPr>
      <w:r>
        <w:br w:type="page"/>
      </w:r>
    </w:p>
    <w:p>
      <w:pPr>
        <w:pStyle w:val="Heading1"/>
        <w:ind w:firstLine="0"/>
      </w:pPr>
      <w:r>
        <w:t>Executive Summary</w:t>
      </w:r>
    </w:p>
    <w:p>
      <w:pPr/>
      <w:r>
        <w:rPr>
          <w:rFonts w:ascii="Times New Roman" w:hAnsi="Times New Roman"/>
          <w:sz w:val="24"/>
        </w:rPr>
        <w:t>Soneva Fushi occupies a distinctive position in Maldivian luxury hospitality because its promise is not simply privacy, villas and tropical scenery. The brand has made environmental stewardship, low-impact operations, experiential learning and what it describes as "barefoot" luxury visible parts of the guest proposition. This report evaluates how the extended marketing mix can turn that positioning into a coherent market offer rather than treating sustainability as an isolated communications theme. The central recommendation is a 7Ps architecture called "Bare Luxury, Measurable Stewardship": every major touchpoint should offer evidence that exceptional experiences and environmental responsibility are designed together.</w:t>
      </w:r>
    </w:p>
    <w:p>
      <w:pPr/>
      <w:r>
        <w:rPr>
          <w:rFonts w:ascii="Times New Roman" w:hAnsi="Times New Roman"/>
          <w:sz w:val="24"/>
        </w:rPr>
        <w:t>The analysis identifies three attractive segments: purpose-led luxury couples, multigenerational conscious families and high-value ocean learners. The primary target is purpose-led luxury couples because they combine willingness to pay, high experience intensity and a strong preference for credible environmental practices. The secondary family segment supports longer stays and broader activity spending. Positioning should therefore emphasize privacy, craft, nature immersion and verifiable stewardship rather than competing only on conventional resort opulence.</w:t>
      </w:r>
    </w:p>
    <w:p>
      <w:pPr/>
      <w:r>
        <w:rPr>
          <w:rFonts w:ascii="Times New Roman" w:hAnsi="Times New Roman"/>
          <w:sz w:val="24"/>
        </w:rPr>
        <w:t>The proposed marketing mix links product design to marine learning, wellness and circularity; uses value-based pricing and transparent contribution logic; makes direct booking the preferred relationship channel while retaining selected online intermediaries for discovery; promotes proof-rich stories; trains hosts as interpreters of the destination; embeds service processes that reduce friction and waste; and uses the physical environment as evidence of the brand promise. The channel strategy recognizes that online travel agencies can acquire new customers but can also weaken margin and first-party data ownership, so direct conversion and repeat booking become strategic priorities (Chang et al., 2019; Masiero &amp; Law, 2016).</w:t>
      </w:r>
    </w:p>
    <w:p>
      <w:pPr/>
      <w:r>
        <w:rPr>
          <w:rFonts w:ascii="Times New Roman" w:hAnsi="Times New Roman"/>
          <w:sz w:val="24"/>
        </w:rPr>
        <w:t>A twelve-month implementation programme with a proposed US$3.15 million marketing and experience-development budget is organized around proof creation, partner activation, demand generation and loyalty. Performance is measured through direct-booking share, qualified lead conversion, repeat visitation, average length of stay, experience participation, guest advocacy, waste diversion and sustainability-content engagement. The report concludes that Soneva Fushi can defend premium pricing more effectively when the 7Ps operate as one service system and when environmental claims are supported by observable practices rather than generic green language.</w:t>
      </w:r>
    </w:p>
    <w:p>
      <w:pPr>
        <w:pStyle w:val="Heading1"/>
        <w:ind w:firstLine="0"/>
      </w:pPr>
      <w:r>
        <w:t>1. Introduction</w:t>
      </w:r>
    </w:p>
    <w:p>
      <w:pPr/>
      <w:r>
        <w:rPr>
          <w:rFonts w:ascii="Times New Roman" w:hAnsi="Times New Roman"/>
          <w:sz w:val="24"/>
        </w:rPr>
        <w:t>Luxury hospitality increasingly competes through experiences, identity and meaning in addition to rooms. At the same time, sustainable tourism claims face greater consumer scrutiny. A resort can no longer rely on a green label placed beside an otherwise conventional service model; sustainability must be visible in product design, facilities, staff behaviour, supply choices and the way the service is delivered. This is especially important for remote island resorts where air access, imported goods, waste and marine ecosystem sensitivity make environmental impacts difficult to ignore.</w:t>
      </w:r>
    </w:p>
    <w:p>
      <w:pPr/>
      <w:r>
        <w:rPr>
          <w:rFonts w:ascii="Times New Roman" w:hAnsi="Times New Roman"/>
          <w:sz w:val="24"/>
        </w:rPr>
        <w:t>Soneva Fushi in the Maldives is a suitable case for examining this challenge because the property combines very high-end accommodation with long-running sustainability initiatives. Soneva reports that approximately 90% of solid waste is recycled through its waste-management approach and highlights coral restoration, environmental education and community initiatives as part of its stewardship platform (Soneva, 2026a). Soneva has also invested in solar energy and publicized a goal of meeting close to half of the energy needs of Soneva Fushi and Soneva Jani from solar generation (Soneva, 2024). These initiatives provide tangible evidence, but marketing value arises only when guests understand how they affect the experience and when the organisation avoids overstating what remains an impact-intensive form of travel.</w:t>
      </w:r>
    </w:p>
    <w:p>
      <w:pPr/>
      <w:r>
        <w:rPr>
          <w:rFonts w:ascii="Times New Roman" w:hAnsi="Times New Roman"/>
          <w:sz w:val="24"/>
        </w:rPr>
        <w:t>The purpose of this report is therefore to design an integrated extended marketing mix for Soneva Fushi. It first examines relevant market and consumer behaviour, then develops segmentation, targeting and positioning, evaluates the seven Ps, considers distribution and experience design, and sets out implementation, budgeting and key performance indicators. The argument is that sustainable luxury becomes strategically credible when marketing operations and service operations communicate the same promise.</w:t>
      </w:r>
    </w:p>
    <w:p>
      <w:pPr>
        <w:pStyle w:val="Heading1"/>
        <w:ind w:firstLine="0"/>
      </w:pPr>
      <w:r>
        <w:t>2. Market &amp; Consumer Behaviour Analysis</w:t>
      </w:r>
    </w:p>
    <w:p>
      <w:pPr>
        <w:pStyle w:val="Heading2"/>
        <w:ind w:firstLine="0"/>
      </w:pPr>
      <w:r>
        <w:t>2.1 Demand context for sustainable luxury hospitality</w:t>
      </w:r>
    </w:p>
    <w:p>
      <w:pPr/>
      <w:r>
        <w:rPr>
          <w:rFonts w:ascii="Times New Roman" w:hAnsi="Times New Roman"/>
          <w:sz w:val="24"/>
        </w:rPr>
        <w:t>The luxury resort market contains a productive tension. Guests may seek indulgence, exclusivity and long-haul escape while simultaneously wanting their consumption to reflect environmental and social values. This tension creates both opportunity and risk. Sustainability can enrich the meaning of an expensive trip when guests can see credible outcomes, but vague claims can trigger scepticism. The task for a premium resort is not to ask customers to accept a visibly inferior experience for environmental reasons. It is to redesign the experience so that lower-impact choices become part of what makes the stay distinctive.</w:t>
      </w:r>
    </w:p>
    <w:p>
      <w:pPr/>
      <w:r>
        <w:rPr>
          <w:rFonts w:ascii="Times New Roman" w:hAnsi="Times New Roman"/>
          <w:sz w:val="24"/>
        </w:rPr>
        <w:t>Research on sustainable accommodation suggests that travellers notice environmental, social, cultural and economic attributes in the servicescape and often evaluate them positively when they are integrated into the accommodation experience (Väisänen et al., 2023). This is important because customers encounter sustainability through practical cues: refillable water systems, locally relevant design, food sourcing, energy systems, biodiversity interpretation, waste handling and staff explanations. The servicescape therefore performs both an operational and communication function.</w:t>
      </w:r>
    </w:p>
    <w:p>
      <w:pPr/>
      <w:r>
        <w:rPr>
          <w:rFonts w:ascii="Times New Roman" w:hAnsi="Times New Roman"/>
          <w:sz w:val="24"/>
        </w:rPr>
        <w:t>Luxury travellers are also buying time, access and reduced cognitive effort. Complex sustainability information can undermine the experience if it becomes instructional clutter. The strongest service design makes responsible behaviour easy: reusable items appear by default, transport is coordinated, waste is separated backstage, food choices are curated rather than moralised and activities make conservation interesting. A premium sustainability proposition should therefore feel effortless while still remaining transparent.</w:t>
      </w:r>
    </w:p>
    <w:p>
      <w:pPr>
        <w:pStyle w:val="Heading2"/>
        <w:ind w:firstLine="0"/>
      </w:pPr>
      <w:r>
        <w:t>2.2 Experience value, trust and loyalty</w:t>
      </w:r>
    </w:p>
    <w:p>
      <w:pPr/>
      <w:r>
        <w:rPr>
          <w:rFonts w:ascii="Times New Roman" w:hAnsi="Times New Roman"/>
          <w:sz w:val="24"/>
        </w:rPr>
        <w:t>Pine and Gilmore (1998) argue that organisations create higher-order value when services are staged as memorable experiences. In resort hospitality, that principle can be extended by adding participation and place specificity. A coral-restoration session, observatory experience, reef excursion or visit to a circular-waste facility can transform an abstract claim into a memory. These experiences also create stories that guests can share after the trip, linking the product to advocacy.</w:t>
      </w:r>
    </w:p>
    <w:p>
      <w:pPr/>
      <w:r>
        <w:rPr>
          <w:rFonts w:ascii="Times New Roman" w:hAnsi="Times New Roman"/>
          <w:sz w:val="24"/>
        </w:rPr>
        <w:t>Trust is critical because the service is intangible before arrival. Prospective guests rely on brand communications, images, reviews, recommendations and signals of service quality. Classic service-quality research shows that perceived reliability and responsiveness shape behavioural outcomes such as loyalty and willingness to recommend (Zeithaml et al., 1996). For Soneva Fushi, sustainability proof should therefore be attached to the same service-quality standards as dining or housekeeping. If a guest encounters obvious single-use waste, poorly maintained conservation experiences or staff who cannot explain a stated initiative, the credibility loss may affect the entire brand.</w:t>
      </w:r>
    </w:p>
    <w:p>
      <w:pPr/>
      <w:r>
        <w:rPr>
          <w:rFonts w:ascii="Times New Roman" w:hAnsi="Times New Roman"/>
          <w:sz w:val="24"/>
        </w:rPr>
        <w:t>The physical setting magnifies this effect. Bitner’s (1992) servicescape framework explains how ambient conditions, spatial layout and signs influence customers and employees. At Soneva Fushi, natural materials, landscape preservation, outdoor movement, lighting, waste displays and conservation spaces can all reinforce a sense that luxury is rooted in place. The danger is over-curation: if sustainability evidence feels theatrical rather than operational, it may look like greenwashing. Authenticity therefore requires consistency between front-stage design and back-stage practice.</w:t>
      </w:r>
    </w:p>
    <w:p>
      <w:pPr>
        <w:pStyle w:val="Heading2"/>
        <w:ind w:firstLine="0"/>
      </w:pPr>
      <w:r>
        <w:t>2.3 Customer decision journey</w:t>
      </w:r>
    </w:p>
    <w:p>
      <w:pPr/>
      <w:r>
        <w:rPr>
          <w:rFonts w:ascii="Times New Roman" w:hAnsi="Times New Roman"/>
          <w:sz w:val="24"/>
        </w:rPr>
        <w:t>The customer journey begins well before a booking. At awareness, a traveller may discover the resort through editorial coverage, social media, luxury travel advisers, search engines or an online travel agency. At consideration, the customer compares villa design, privacy, flight connectivity, family facilities, sustainability credentials, reviews and total trip cost. At booking, confidence is influenced by the clarity of inclusions, transfer arrangements, cancellation rules and response speed. On-property, service personalisation and experience quality shape satisfaction. After departure, memories, photographs, conservation updates and loyalty communication can create advocacy and repeat demand.</w:t>
      </w:r>
    </w:p>
    <w:p>
      <w:pPr/>
      <w:r>
        <w:rPr>
          <w:rFonts w:ascii="Times New Roman" w:hAnsi="Times New Roman"/>
          <w:sz w:val="24"/>
        </w:rPr>
        <w:t>This journey means that marketing cannot be separated into a promotional stage followed by a service stage. Every stage produces data and expectations for the next one. Direct channels are especially important because they allow the resort to recognise preferences earlier, explain complex value and retain first-party customer relationships. Intermediaries remain useful for visibility, but a long-term strategy should convert discovery into direct relationships wherever feasible.</w:t>
      </w:r>
    </w:p>
    <w:p>
      <w:pPr>
        <w:pStyle w:val="Heading1"/>
        <w:ind w:firstLine="0"/>
      </w:pPr>
      <w:r>
        <w:t>3. Segmentation, Targeting, and Positioning (STP)</w:t>
      </w:r>
    </w:p>
    <w:p>
      <w:pPr>
        <w:pStyle w:val="Heading2"/>
        <w:ind w:firstLine="0"/>
      </w:pPr>
      <w:r>
        <w:t>3.1 Segmentation approach</w:t>
      </w:r>
    </w:p>
    <w:p>
      <w:pPr/>
      <w:r>
        <w:rPr>
          <w:rFonts w:ascii="Times New Roman" w:hAnsi="Times New Roman"/>
          <w:sz w:val="24"/>
        </w:rPr>
        <w:t>Demographic variables such as income, age and family status are necessary but insufficient for a premium eco-resort. Two households with similar income can have very different attitudes toward sustainability, privacy and participation. Behavioural and psychographic segmentation should therefore identify what travellers want to feel and do, how much planning support they value and how they judge environmental credibility.</w:t>
      </w:r>
    </w:p>
    <w:p>
      <w:pPr>
        <w:spacing w:line="240" w:lineRule="auto" w:before="120" w:after="80"/>
        <w:ind w:firstLine="0"/>
        <w:jc w:val="center"/>
      </w:pPr>
      <w:r>
        <w:rPr>
          <w:rFonts w:ascii="Times New Roman" w:hAnsi="Times New Roman"/>
          <w:b/>
          <w:sz w:val="22"/>
        </w:rPr>
        <w:t>Table 1. Priority market segments for Soneva Fushi</w:t>
      </w:r>
    </w:p>
    <w:tbl>
      <w:tblPr>
        <w:tblStyle w:val="TableGrid"/>
        <w:tblW w:type="auto" w:w="0"/>
        <w:jc w:val="center"/>
        <w:tblLayout w:type="autofit"/>
        <w:tblLook w:firstColumn="1" w:firstRow="1" w:lastColumn="0" w:lastRow="0" w:noHBand="0" w:noVBand="1" w:val="04A0"/>
      </w:tblPr>
      <w:tblGrid>
        <w:gridCol w:w="1958"/>
        <w:gridCol w:w="1958"/>
        <w:gridCol w:w="1958"/>
        <w:gridCol w:w="1958"/>
        <w:gridCol w:w="1958"/>
      </w:tblGrid>
      <w:tr>
        <w:tc>
          <w:tcPr>
            <w:tcW w:type="dxa" w:w="1958"/>
            <w:shd w:fill="D9E6F2"/>
            <w:tcMar>
              <w:top w:w="80" w:type="dxa"/>
              <w:start w:w="100" w:type="dxa"/>
              <w:bottom w:w="80" w:type="dxa"/>
              <w:end w:w="100" w:type="dxa"/>
            </w:tcMar>
            <w:vAlign w:val="center"/>
          </w:tcPr>
          <w:p>
            <w:pPr>
              <w:spacing w:line="240" w:lineRule="auto" w:after="0"/>
              <w:ind w:firstLine="0"/>
              <w:jc w:val="center"/>
            </w:pPr>
            <w:r>
              <w:rPr>
                <w:rFonts w:ascii="Times New Roman" w:hAnsi="Times New Roman"/>
                <w:b/>
                <w:sz w:val="21"/>
              </w:rPr>
              <w:t>Segment</w:t>
            </w:r>
          </w:p>
        </w:tc>
        <w:tc>
          <w:tcPr>
            <w:tcW w:type="dxa" w:w="1958"/>
            <w:shd w:fill="D9E6F2"/>
            <w:tcMar>
              <w:top w:w="80" w:type="dxa"/>
              <w:start w:w="100" w:type="dxa"/>
              <w:bottom w:w="80" w:type="dxa"/>
              <w:end w:w="100" w:type="dxa"/>
            </w:tcMar>
            <w:vAlign w:val="center"/>
          </w:tcPr>
          <w:p>
            <w:pPr>
              <w:spacing w:line="240" w:lineRule="auto" w:after="0"/>
              <w:ind w:firstLine="0"/>
              <w:jc w:val="center"/>
            </w:pPr>
            <w:r>
              <w:rPr>
                <w:rFonts w:ascii="Times New Roman" w:hAnsi="Times New Roman"/>
                <w:b/>
                <w:sz w:val="21"/>
              </w:rPr>
              <w:t>Core motivation</w:t>
            </w:r>
          </w:p>
        </w:tc>
        <w:tc>
          <w:tcPr>
            <w:tcW w:type="dxa" w:w="1958"/>
            <w:shd w:fill="D9E6F2"/>
            <w:tcMar>
              <w:top w:w="80" w:type="dxa"/>
              <w:start w:w="100" w:type="dxa"/>
              <w:bottom w:w="80" w:type="dxa"/>
              <w:end w:w="100" w:type="dxa"/>
            </w:tcMar>
            <w:vAlign w:val="center"/>
          </w:tcPr>
          <w:p>
            <w:pPr>
              <w:spacing w:line="240" w:lineRule="auto" w:after="0"/>
              <w:ind w:firstLine="0"/>
              <w:jc w:val="center"/>
            </w:pPr>
            <w:r>
              <w:rPr>
                <w:rFonts w:ascii="Times New Roman" w:hAnsi="Times New Roman"/>
                <w:b/>
                <w:sz w:val="21"/>
              </w:rPr>
              <w:t>Desired experiences</w:t>
            </w:r>
          </w:p>
        </w:tc>
        <w:tc>
          <w:tcPr>
            <w:tcW w:type="dxa" w:w="1958"/>
            <w:shd w:fill="D9E6F2"/>
            <w:tcMar>
              <w:top w:w="80" w:type="dxa"/>
              <w:start w:w="100" w:type="dxa"/>
              <w:bottom w:w="80" w:type="dxa"/>
              <w:end w:w="100" w:type="dxa"/>
            </w:tcMar>
            <w:vAlign w:val="center"/>
          </w:tcPr>
          <w:p>
            <w:pPr>
              <w:spacing w:line="240" w:lineRule="auto" w:after="0"/>
              <w:ind w:firstLine="0"/>
              <w:jc w:val="center"/>
            </w:pPr>
            <w:r>
              <w:rPr>
                <w:rFonts w:ascii="Times New Roman" w:hAnsi="Times New Roman"/>
                <w:b/>
                <w:sz w:val="21"/>
              </w:rPr>
              <w:t>Likely barriers</w:t>
            </w:r>
          </w:p>
        </w:tc>
        <w:tc>
          <w:tcPr>
            <w:tcW w:type="dxa" w:w="1958"/>
            <w:shd w:fill="D9E6F2"/>
            <w:tcMar>
              <w:top w:w="80" w:type="dxa"/>
              <w:start w:w="100" w:type="dxa"/>
              <w:bottom w:w="80" w:type="dxa"/>
              <w:end w:w="100" w:type="dxa"/>
            </w:tcMar>
            <w:vAlign w:val="center"/>
          </w:tcPr>
          <w:p>
            <w:pPr>
              <w:spacing w:line="240" w:lineRule="auto" w:after="0"/>
              <w:ind w:firstLine="0"/>
              <w:jc w:val="center"/>
            </w:pPr>
            <w:r>
              <w:rPr>
                <w:rFonts w:ascii="Times New Roman" w:hAnsi="Times New Roman"/>
                <w:b/>
                <w:sz w:val="21"/>
              </w:rPr>
              <w:t>Marketing implication</w:t>
            </w:r>
          </w:p>
        </w:tc>
      </w:tr>
      <w:tr>
        <w:tc>
          <w:tcPr>
            <w:tcW w:type="dxa" w:w="1958"/>
            <w:tcMar>
              <w:top w:w="80" w:type="dxa"/>
              <w:start w:w="100" w:type="dxa"/>
              <w:bottom w:w="80" w:type="dxa"/>
              <w:end w:w="100" w:type="dxa"/>
            </w:tcMar>
            <w:vAlign w:val="center"/>
          </w:tcPr>
          <w:p>
            <w:pPr>
              <w:spacing w:line="240" w:lineRule="auto" w:after="0"/>
              <w:ind w:firstLine="0"/>
            </w:pPr>
            <w:r>
              <w:rPr>
                <w:rFonts w:ascii="Times New Roman" w:hAnsi="Times New Roman"/>
                <w:sz w:val="21"/>
              </w:rPr>
              <w:t>Purpose-led luxury couples</w:t>
            </w:r>
          </w:p>
        </w:tc>
        <w:tc>
          <w:tcPr>
            <w:tcW w:type="dxa" w:w="1958"/>
            <w:tcMar>
              <w:top w:w="80" w:type="dxa"/>
              <w:start w:w="100" w:type="dxa"/>
              <w:bottom w:w="80" w:type="dxa"/>
              <w:end w:w="100" w:type="dxa"/>
            </w:tcMar>
            <w:vAlign w:val="center"/>
          </w:tcPr>
          <w:p>
            <w:pPr>
              <w:spacing w:line="240" w:lineRule="auto" w:after="0"/>
              <w:ind w:firstLine="0"/>
            </w:pPr>
            <w:r>
              <w:rPr>
                <w:rFonts w:ascii="Times New Roman" w:hAnsi="Times New Roman"/>
                <w:sz w:val="21"/>
              </w:rPr>
              <w:t>Private escape that is consistent with personal values</w:t>
            </w:r>
          </w:p>
        </w:tc>
        <w:tc>
          <w:tcPr>
            <w:tcW w:type="dxa" w:w="1958"/>
            <w:tcMar>
              <w:top w:w="80" w:type="dxa"/>
              <w:start w:w="100" w:type="dxa"/>
              <w:bottom w:w="80" w:type="dxa"/>
              <w:end w:w="100" w:type="dxa"/>
            </w:tcMar>
            <w:vAlign w:val="center"/>
          </w:tcPr>
          <w:p>
            <w:pPr>
              <w:spacing w:line="240" w:lineRule="auto" w:after="0"/>
              <w:ind w:firstLine="0"/>
            </w:pPr>
            <w:r>
              <w:rPr>
                <w:rFonts w:ascii="Times New Roman" w:hAnsi="Times New Roman"/>
                <w:sz w:val="21"/>
              </w:rPr>
              <w:t>Villas, wellness, fine dining, marine encounters, low-friction sustainability</w:t>
            </w:r>
          </w:p>
        </w:tc>
        <w:tc>
          <w:tcPr>
            <w:tcW w:type="dxa" w:w="1958"/>
            <w:tcMar>
              <w:top w:w="80" w:type="dxa"/>
              <w:start w:w="100" w:type="dxa"/>
              <w:bottom w:w="80" w:type="dxa"/>
              <w:end w:w="100" w:type="dxa"/>
            </w:tcMar>
            <w:vAlign w:val="center"/>
          </w:tcPr>
          <w:p>
            <w:pPr>
              <w:spacing w:line="240" w:lineRule="auto" w:after="0"/>
              <w:ind w:firstLine="0"/>
            </w:pPr>
            <w:r>
              <w:rPr>
                <w:rFonts w:ascii="Times New Roman" w:hAnsi="Times New Roman"/>
                <w:sz w:val="21"/>
              </w:rPr>
              <w:t>High total trip cost; scepticism about luxury sustainability claims</w:t>
            </w:r>
          </w:p>
        </w:tc>
        <w:tc>
          <w:tcPr>
            <w:tcW w:type="dxa" w:w="1958"/>
            <w:tcMar>
              <w:top w:w="80" w:type="dxa"/>
              <w:start w:w="100" w:type="dxa"/>
              <w:bottom w:w="80" w:type="dxa"/>
              <w:end w:w="100" w:type="dxa"/>
            </w:tcMar>
            <w:vAlign w:val="center"/>
          </w:tcPr>
          <w:p>
            <w:pPr>
              <w:spacing w:line="240" w:lineRule="auto" w:after="0"/>
              <w:ind w:firstLine="0"/>
            </w:pPr>
            <w:r>
              <w:rPr>
                <w:rFonts w:ascii="Times New Roman" w:hAnsi="Times New Roman"/>
                <w:sz w:val="21"/>
              </w:rPr>
              <w:t>Lead with evidence, privacy, design and personalised itineraries</w:t>
            </w:r>
          </w:p>
        </w:tc>
      </w:tr>
      <w:tr>
        <w:tc>
          <w:tcPr>
            <w:tcW w:type="dxa" w:w="1958"/>
            <w:tcMar>
              <w:top w:w="80" w:type="dxa"/>
              <w:start w:w="100" w:type="dxa"/>
              <w:bottom w:w="80" w:type="dxa"/>
              <w:end w:w="100" w:type="dxa"/>
            </w:tcMar>
            <w:vAlign w:val="center"/>
          </w:tcPr>
          <w:p>
            <w:pPr>
              <w:spacing w:line="240" w:lineRule="auto" w:after="0"/>
              <w:ind w:firstLine="0"/>
            </w:pPr>
            <w:r>
              <w:rPr>
                <w:rFonts w:ascii="Times New Roman" w:hAnsi="Times New Roman"/>
                <w:sz w:val="21"/>
              </w:rPr>
              <w:t>Conscious multigenerational families</w:t>
            </w:r>
          </w:p>
        </w:tc>
        <w:tc>
          <w:tcPr>
            <w:tcW w:type="dxa" w:w="1958"/>
            <w:tcMar>
              <w:top w:w="80" w:type="dxa"/>
              <w:start w:w="100" w:type="dxa"/>
              <w:bottom w:w="80" w:type="dxa"/>
              <w:end w:w="100" w:type="dxa"/>
            </w:tcMar>
            <w:vAlign w:val="center"/>
          </w:tcPr>
          <w:p>
            <w:pPr>
              <w:spacing w:line="240" w:lineRule="auto" w:after="0"/>
              <w:ind w:firstLine="0"/>
            </w:pPr>
            <w:r>
              <w:rPr>
                <w:rFonts w:ascii="Times New Roman" w:hAnsi="Times New Roman"/>
                <w:sz w:val="21"/>
              </w:rPr>
              <w:t>Meaningful family time and learning across age groups</w:t>
            </w:r>
          </w:p>
        </w:tc>
        <w:tc>
          <w:tcPr>
            <w:tcW w:type="dxa" w:w="1958"/>
            <w:tcMar>
              <w:top w:w="80" w:type="dxa"/>
              <w:start w:w="100" w:type="dxa"/>
              <w:bottom w:w="80" w:type="dxa"/>
              <w:end w:w="100" w:type="dxa"/>
            </w:tcMar>
            <w:vAlign w:val="center"/>
          </w:tcPr>
          <w:p>
            <w:pPr>
              <w:spacing w:line="240" w:lineRule="auto" w:after="0"/>
              <w:ind w:firstLine="0"/>
            </w:pPr>
            <w:r>
              <w:rPr>
                <w:rFonts w:ascii="Times New Roman" w:hAnsi="Times New Roman"/>
                <w:sz w:val="21"/>
              </w:rPr>
              <w:t>Kids' learning, water activities, astronomy, flexible dining, family villas</w:t>
            </w:r>
          </w:p>
        </w:tc>
        <w:tc>
          <w:tcPr>
            <w:tcW w:type="dxa" w:w="1958"/>
            <w:tcMar>
              <w:top w:w="80" w:type="dxa"/>
              <w:start w:w="100" w:type="dxa"/>
              <w:bottom w:w="80" w:type="dxa"/>
              <w:end w:w="100" w:type="dxa"/>
            </w:tcMar>
            <w:vAlign w:val="center"/>
          </w:tcPr>
          <w:p>
            <w:pPr>
              <w:spacing w:line="240" w:lineRule="auto" w:after="0"/>
              <w:ind w:firstLine="0"/>
            </w:pPr>
            <w:r>
              <w:rPr>
                <w:rFonts w:ascii="Times New Roman" w:hAnsi="Times New Roman"/>
                <w:sz w:val="21"/>
              </w:rPr>
              <w:t>Logistics, safety, price complexity</w:t>
            </w:r>
          </w:p>
        </w:tc>
        <w:tc>
          <w:tcPr>
            <w:tcW w:type="dxa" w:w="1958"/>
            <w:tcMar>
              <w:top w:w="80" w:type="dxa"/>
              <w:start w:w="100" w:type="dxa"/>
              <w:bottom w:w="80" w:type="dxa"/>
              <w:end w:w="100" w:type="dxa"/>
            </w:tcMar>
            <w:vAlign w:val="center"/>
          </w:tcPr>
          <w:p>
            <w:pPr>
              <w:spacing w:line="240" w:lineRule="auto" w:after="0"/>
              <w:ind w:firstLine="0"/>
            </w:pPr>
            <w:r>
              <w:rPr>
                <w:rFonts w:ascii="Times New Roman" w:hAnsi="Times New Roman"/>
                <w:sz w:val="21"/>
              </w:rPr>
              <w:t>Package convenience, education and multigenerational value</w:t>
            </w:r>
          </w:p>
        </w:tc>
      </w:tr>
      <w:tr>
        <w:tc>
          <w:tcPr>
            <w:tcW w:type="dxa" w:w="1958"/>
            <w:tcMar>
              <w:top w:w="80" w:type="dxa"/>
              <w:start w:w="100" w:type="dxa"/>
              <w:bottom w:w="80" w:type="dxa"/>
              <w:end w:w="100" w:type="dxa"/>
            </w:tcMar>
            <w:vAlign w:val="center"/>
          </w:tcPr>
          <w:p>
            <w:pPr>
              <w:spacing w:line="240" w:lineRule="auto" w:after="0"/>
              <w:ind w:firstLine="0"/>
            </w:pPr>
            <w:r>
              <w:rPr>
                <w:rFonts w:ascii="Times New Roman" w:hAnsi="Times New Roman"/>
                <w:sz w:val="21"/>
              </w:rPr>
              <w:t>Ocean learners and nature connoisseurs</w:t>
            </w:r>
          </w:p>
        </w:tc>
        <w:tc>
          <w:tcPr>
            <w:tcW w:type="dxa" w:w="1958"/>
            <w:tcMar>
              <w:top w:w="80" w:type="dxa"/>
              <w:start w:w="100" w:type="dxa"/>
              <w:bottom w:w="80" w:type="dxa"/>
              <w:end w:w="100" w:type="dxa"/>
            </w:tcMar>
            <w:vAlign w:val="center"/>
          </w:tcPr>
          <w:p>
            <w:pPr>
              <w:spacing w:line="240" w:lineRule="auto" w:after="0"/>
              <w:ind w:firstLine="0"/>
            </w:pPr>
            <w:r>
              <w:rPr>
                <w:rFonts w:ascii="Times New Roman" w:hAnsi="Times New Roman"/>
                <w:sz w:val="21"/>
              </w:rPr>
              <w:t>High-access nature immersion with expert interpretation</w:t>
            </w:r>
          </w:p>
        </w:tc>
        <w:tc>
          <w:tcPr>
            <w:tcW w:type="dxa" w:w="1958"/>
            <w:tcMar>
              <w:top w:w="80" w:type="dxa"/>
              <w:start w:w="100" w:type="dxa"/>
              <w:bottom w:w="80" w:type="dxa"/>
              <w:end w:w="100" w:type="dxa"/>
            </w:tcMar>
            <w:vAlign w:val="center"/>
          </w:tcPr>
          <w:p>
            <w:pPr>
              <w:spacing w:line="240" w:lineRule="auto" w:after="0"/>
              <w:ind w:firstLine="0"/>
            </w:pPr>
            <w:r>
              <w:rPr>
                <w:rFonts w:ascii="Times New Roman" w:hAnsi="Times New Roman"/>
                <w:sz w:val="21"/>
              </w:rPr>
              <w:t>Reef science, diving, conservation, wildlife, expert-led excursions</w:t>
            </w:r>
          </w:p>
        </w:tc>
        <w:tc>
          <w:tcPr>
            <w:tcW w:type="dxa" w:w="1958"/>
            <w:tcMar>
              <w:top w:w="80" w:type="dxa"/>
              <w:start w:w="100" w:type="dxa"/>
              <w:bottom w:w="80" w:type="dxa"/>
              <w:end w:w="100" w:type="dxa"/>
            </w:tcMar>
            <w:vAlign w:val="center"/>
          </w:tcPr>
          <w:p>
            <w:pPr>
              <w:spacing w:line="240" w:lineRule="auto" w:after="0"/>
              <w:ind w:firstLine="0"/>
            </w:pPr>
            <w:r>
              <w:rPr>
                <w:rFonts w:ascii="Times New Roman" w:hAnsi="Times New Roman"/>
                <w:sz w:val="21"/>
              </w:rPr>
              <w:t>Fear that conservation content may be superficial</w:t>
            </w:r>
          </w:p>
        </w:tc>
        <w:tc>
          <w:tcPr>
            <w:tcW w:type="dxa" w:w="1958"/>
            <w:tcMar>
              <w:top w:w="80" w:type="dxa"/>
              <w:start w:w="100" w:type="dxa"/>
              <w:bottom w:w="80" w:type="dxa"/>
              <w:end w:w="100" w:type="dxa"/>
            </w:tcMar>
            <w:vAlign w:val="center"/>
          </w:tcPr>
          <w:p>
            <w:pPr>
              <w:spacing w:line="240" w:lineRule="auto" w:after="0"/>
              <w:ind w:firstLine="0"/>
            </w:pPr>
            <w:r>
              <w:rPr>
                <w:rFonts w:ascii="Times New Roman" w:hAnsi="Times New Roman"/>
                <w:sz w:val="21"/>
              </w:rPr>
              <w:t>Use scientist-led proof, small groups and project updates</w:t>
            </w:r>
          </w:p>
        </w:tc>
      </w:tr>
      <w:tr>
        <w:tc>
          <w:tcPr>
            <w:tcW w:type="dxa" w:w="1958"/>
            <w:tcMar>
              <w:top w:w="80" w:type="dxa"/>
              <w:start w:w="100" w:type="dxa"/>
              <w:bottom w:w="80" w:type="dxa"/>
              <w:end w:w="100" w:type="dxa"/>
            </w:tcMar>
            <w:vAlign w:val="center"/>
          </w:tcPr>
          <w:p>
            <w:pPr>
              <w:spacing w:line="240" w:lineRule="auto" w:after="0"/>
              <w:ind w:firstLine="0"/>
            </w:pPr>
            <w:r>
              <w:rPr>
                <w:rFonts w:ascii="Times New Roman" w:hAnsi="Times New Roman"/>
                <w:sz w:val="21"/>
              </w:rPr>
              <w:t>Celebration seekers</w:t>
            </w:r>
          </w:p>
        </w:tc>
        <w:tc>
          <w:tcPr>
            <w:tcW w:type="dxa" w:w="1958"/>
            <w:tcMar>
              <w:top w:w="80" w:type="dxa"/>
              <w:start w:w="100" w:type="dxa"/>
              <w:bottom w:w="80" w:type="dxa"/>
              <w:end w:w="100" w:type="dxa"/>
            </w:tcMar>
            <w:vAlign w:val="center"/>
          </w:tcPr>
          <w:p>
            <w:pPr>
              <w:spacing w:line="240" w:lineRule="auto" w:after="0"/>
              <w:ind w:firstLine="0"/>
            </w:pPr>
            <w:r>
              <w:rPr>
                <w:rFonts w:ascii="Times New Roman" w:hAnsi="Times New Roman"/>
                <w:sz w:val="21"/>
              </w:rPr>
              <w:t>Milestones, honeymoons and exceptional privacy</w:t>
            </w:r>
          </w:p>
        </w:tc>
        <w:tc>
          <w:tcPr>
            <w:tcW w:type="dxa" w:w="1958"/>
            <w:tcMar>
              <w:top w:w="80" w:type="dxa"/>
              <w:start w:w="100" w:type="dxa"/>
              <w:bottom w:w="80" w:type="dxa"/>
              <w:end w:w="100" w:type="dxa"/>
            </w:tcMar>
            <w:vAlign w:val="center"/>
          </w:tcPr>
          <w:p>
            <w:pPr>
              <w:spacing w:line="240" w:lineRule="auto" w:after="0"/>
              <w:ind w:firstLine="0"/>
            </w:pPr>
            <w:r>
              <w:rPr>
                <w:rFonts w:ascii="Times New Roman" w:hAnsi="Times New Roman"/>
                <w:sz w:val="21"/>
              </w:rPr>
              <w:t>Private dining, spa, photography, bespoke experiences</w:t>
            </w:r>
          </w:p>
        </w:tc>
        <w:tc>
          <w:tcPr>
            <w:tcW w:type="dxa" w:w="1958"/>
            <w:tcMar>
              <w:top w:w="80" w:type="dxa"/>
              <w:start w:w="100" w:type="dxa"/>
              <w:bottom w:w="80" w:type="dxa"/>
              <w:end w:w="100" w:type="dxa"/>
            </w:tcMar>
            <w:vAlign w:val="center"/>
          </w:tcPr>
          <w:p>
            <w:pPr>
              <w:spacing w:line="240" w:lineRule="auto" w:after="0"/>
              <w:ind w:firstLine="0"/>
            </w:pPr>
            <w:r>
              <w:rPr>
                <w:rFonts w:ascii="Times New Roman" w:hAnsi="Times New Roman"/>
                <w:sz w:val="21"/>
              </w:rPr>
              <w:t>May prioritise glamour over sustainability</w:t>
            </w:r>
          </w:p>
        </w:tc>
        <w:tc>
          <w:tcPr>
            <w:tcW w:type="dxa" w:w="1958"/>
            <w:tcMar>
              <w:top w:w="80" w:type="dxa"/>
              <w:start w:w="100" w:type="dxa"/>
              <w:bottom w:w="80" w:type="dxa"/>
              <w:end w:w="100" w:type="dxa"/>
            </w:tcMar>
            <w:vAlign w:val="center"/>
          </w:tcPr>
          <w:p>
            <w:pPr>
              <w:spacing w:line="240" w:lineRule="auto" w:after="0"/>
              <w:ind w:firstLine="0"/>
            </w:pPr>
            <w:r>
              <w:rPr>
                <w:rFonts w:ascii="Times New Roman" w:hAnsi="Times New Roman"/>
                <w:sz w:val="21"/>
              </w:rPr>
              <w:t>Position stewardship as part of exclusivity, not a compromise</w:t>
            </w:r>
          </w:p>
        </w:tc>
      </w:tr>
    </w:tbl>
    <w:p>
      <w:pPr>
        <w:spacing w:after="0"/>
      </w:pPr>
    </w:p>
    <w:p>
      <w:pPr>
        <w:pStyle w:val="Heading2"/>
        <w:ind w:firstLine="0"/>
      </w:pPr>
      <w:r>
        <w:t>3.2 Target audience profile</w:t>
      </w:r>
    </w:p>
    <w:p>
      <w:pPr/>
      <w:r>
        <w:rPr>
          <w:rFonts w:ascii="Times New Roman" w:hAnsi="Times New Roman"/>
          <w:sz w:val="24"/>
        </w:rPr>
        <w:t>The primary target is the purpose-led luxury couple aged approximately 35–60, usually from affluent long-haul source markets. The segment is digitally confident but often validates choices through expert travel advisers, trusted media and peer reviews. These customers can afford luxury alternatives and therefore need a reason beyond price to select one resort. They value privacy, personalisation and high service consistency but also want evidence that the property’s environmental story is more than a marketing layer.</w:t>
      </w:r>
    </w:p>
    <w:p>
      <w:pPr/>
      <w:r>
        <w:rPr>
          <w:rFonts w:ascii="Times New Roman" w:hAnsi="Times New Roman"/>
          <w:sz w:val="24"/>
        </w:rPr>
        <w:t>The secondary target is multigenerational families who seek both convenience and meaningful shared experiences. This segment can produce longer stays and multiple revenue streams, including dining, wellness, water sports and private experiences. For families, sustainability becomes more persuasive when it is framed as discovery: children can see marine life, learn how waste is transformed, participate in nature activities and leave with stories rather than lectures.</w:t>
      </w:r>
    </w:p>
    <w:p>
      <w:pPr>
        <w:pStyle w:val="Heading2"/>
        <w:ind w:firstLine="0"/>
      </w:pPr>
      <w:r>
        <w:t>3.3 Positioning statement and map</w:t>
      </w:r>
    </w:p>
    <w:p>
      <w:pPr/>
      <w:r>
        <w:rPr>
          <w:rFonts w:ascii="Times New Roman" w:hAnsi="Times New Roman"/>
          <w:sz w:val="24"/>
        </w:rPr>
        <w:t>The recommended positioning is: "For high-value travellers who want exceptional privacy without disconnecting from place, Soneva Fushi is the Maldivian island resort where bare luxury is enriched by measurable environmental stewardship, hands-on discovery and highly personalised service." The phrase "measurable" is deliberate. It requires the brand to support claims with current indicators and avoid suggesting that an international luxury trip has no impact.</w:t>
      </w:r>
    </w:p>
    <w:p>
      <w:pPr/>
      <w:r>
        <w:rPr>
          <w:rFonts w:ascii="Times New Roman" w:hAnsi="Times New Roman"/>
          <w:sz w:val="24"/>
        </w:rPr>
        <w:t>A conceptual positioning map can use two axes: degree of experiential stewardship (low to high) and style of luxury (formal/ornamental to relaxed/place-led). The desired position for Soneva Fushi is high stewardship and highly relaxed/place-led luxury. This distinguishes the brand from resorts that use formal opulence as their primary symbol of value and from eco-properties that may offer strong environmental credentials but less depth in premium service.</w:t>
      </w:r>
    </w:p>
    <w:p>
      <w:pPr>
        <w:spacing w:line="240" w:lineRule="auto" w:before="120" w:after="80"/>
        <w:ind w:firstLine="0"/>
        <w:jc w:val="center"/>
      </w:pPr>
      <w:r>
        <w:rPr>
          <w:rFonts w:ascii="Times New Roman" w:hAnsi="Times New Roman"/>
          <w:b/>
          <w:sz w:val="22"/>
        </w:rPr>
        <w:t>Table 2. Strategic positioning map</w:t>
      </w:r>
    </w:p>
    <w:tbl>
      <w:tblPr>
        <w:tblStyle w:val="TableGrid"/>
        <w:tblW w:type="auto" w:w="0"/>
        <w:jc w:val="center"/>
        <w:tblLayout w:type="autofit"/>
        <w:tblLook w:firstColumn="1" w:firstRow="1" w:lastColumn="0" w:lastRow="0" w:noHBand="0" w:noVBand="1" w:val="04A0"/>
      </w:tblPr>
      <w:tblGrid>
        <w:gridCol w:w="2448"/>
        <w:gridCol w:w="2448"/>
        <w:gridCol w:w="2448"/>
        <w:gridCol w:w="2448"/>
      </w:tblGrid>
      <w:tr>
        <w:tc>
          <w:tcPr>
            <w:tcW w:type="dxa" w:w="2448"/>
            <w:shd w:fill="D9E6F2"/>
            <w:tcMar>
              <w:top w:w="80" w:type="dxa"/>
              <w:start w:w="100" w:type="dxa"/>
              <w:bottom w:w="80" w:type="dxa"/>
              <w:end w:w="100" w:type="dxa"/>
            </w:tcMar>
            <w:vAlign w:val="center"/>
          </w:tcPr>
          <w:p>
            <w:pPr>
              <w:spacing w:line="240" w:lineRule="auto" w:after="0"/>
              <w:ind w:firstLine="0"/>
              <w:jc w:val="center"/>
            </w:pPr>
            <w:r>
              <w:rPr>
                <w:rFonts w:ascii="Times New Roman" w:hAnsi="Times New Roman"/>
                <w:b/>
                <w:sz w:val="21"/>
              </w:rPr>
              <w:t>Position</w:t>
            </w:r>
          </w:p>
        </w:tc>
        <w:tc>
          <w:tcPr>
            <w:tcW w:type="dxa" w:w="2448"/>
            <w:shd w:fill="D9E6F2"/>
            <w:tcMar>
              <w:top w:w="80" w:type="dxa"/>
              <w:start w:w="100" w:type="dxa"/>
              <w:bottom w:w="80" w:type="dxa"/>
              <w:end w:w="100" w:type="dxa"/>
            </w:tcMar>
            <w:vAlign w:val="center"/>
          </w:tcPr>
          <w:p>
            <w:pPr>
              <w:spacing w:line="240" w:lineRule="auto" w:after="0"/>
              <w:ind w:firstLine="0"/>
              <w:jc w:val="center"/>
            </w:pPr>
            <w:r>
              <w:rPr>
                <w:rFonts w:ascii="Times New Roman" w:hAnsi="Times New Roman"/>
                <w:b/>
                <w:sz w:val="21"/>
              </w:rPr>
              <w:t>Service style</w:t>
            </w:r>
          </w:p>
        </w:tc>
        <w:tc>
          <w:tcPr>
            <w:tcW w:type="dxa" w:w="2448"/>
            <w:shd w:fill="D9E6F2"/>
            <w:tcMar>
              <w:top w:w="80" w:type="dxa"/>
              <w:start w:w="100" w:type="dxa"/>
              <w:bottom w:w="80" w:type="dxa"/>
              <w:end w:w="100" w:type="dxa"/>
            </w:tcMar>
            <w:vAlign w:val="center"/>
          </w:tcPr>
          <w:p>
            <w:pPr>
              <w:spacing w:line="240" w:lineRule="auto" w:after="0"/>
              <w:ind w:firstLine="0"/>
              <w:jc w:val="center"/>
            </w:pPr>
            <w:r>
              <w:rPr>
                <w:rFonts w:ascii="Times New Roman" w:hAnsi="Times New Roman"/>
                <w:b/>
                <w:sz w:val="21"/>
              </w:rPr>
              <w:t>Stewardship visibility</w:t>
            </w:r>
          </w:p>
        </w:tc>
        <w:tc>
          <w:tcPr>
            <w:tcW w:type="dxa" w:w="2448"/>
            <w:shd w:fill="D9E6F2"/>
            <w:tcMar>
              <w:top w:w="80" w:type="dxa"/>
              <w:start w:w="100" w:type="dxa"/>
              <w:bottom w:w="80" w:type="dxa"/>
              <w:end w:w="100" w:type="dxa"/>
            </w:tcMar>
            <w:vAlign w:val="center"/>
          </w:tcPr>
          <w:p>
            <w:pPr>
              <w:spacing w:line="240" w:lineRule="auto" w:after="0"/>
              <w:ind w:firstLine="0"/>
              <w:jc w:val="center"/>
            </w:pPr>
            <w:r>
              <w:rPr>
                <w:rFonts w:ascii="Times New Roman" w:hAnsi="Times New Roman"/>
                <w:b/>
                <w:sz w:val="21"/>
              </w:rPr>
              <w:t>Strategic interpretation</w:t>
            </w:r>
          </w:p>
        </w:tc>
      </w:tr>
      <w:tr>
        <w:tc>
          <w:tcPr>
            <w:tcW w:type="dxa" w:w="2448"/>
            <w:tcMar>
              <w:top w:w="80" w:type="dxa"/>
              <w:start w:w="100" w:type="dxa"/>
              <w:bottom w:w="80" w:type="dxa"/>
              <w:end w:w="100" w:type="dxa"/>
            </w:tcMar>
            <w:vAlign w:val="center"/>
          </w:tcPr>
          <w:p>
            <w:pPr>
              <w:spacing w:line="240" w:lineRule="auto" w:after="0"/>
              <w:ind w:firstLine="0"/>
            </w:pPr>
            <w:r>
              <w:rPr>
                <w:rFonts w:ascii="Times New Roman" w:hAnsi="Times New Roman"/>
                <w:sz w:val="21"/>
              </w:rPr>
              <w:t>Conventional ultra-luxury</w:t>
            </w:r>
          </w:p>
        </w:tc>
        <w:tc>
          <w:tcPr>
            <w:tcW w:type="dxa" w:w="2448"/>
            <w:tcMar>
              <w:top w:w="80" w:type="dxa"/>
              <w:start w:w="100" w:type="dxa"/>
              <w:bottom w:w="80" w:type="dxa"/>
              <w:end w:w="100" w:type="dxa"/>
            </w:tcMar>
            <w:vAlign w:val="center"/>
          </w:tcPr>
          <w:p>
            <w:pPr>
              <w:spacing w:line="240" w:lineRule="auto" w:after="0"/>
              <w:ind w:firstLine="0"/>
            </w:pPr>
            <w:r>
              <w:rPr>
                <w:rFonts w:ascii="Times New Roman" w:hAnsi="Times New Roman"/>
                <w:sz w:val="21"/>
              </w:rPr>
              <w:t>Highly formal</w:t>
            </w:r>
          </w:p>
        </w:tc>
        <w:tc>
          <w:tcPr>
            <w:tcW w:type="dxa" w:w="2448"/>
            <w:tcMar>
              <w:top w:w="80" w:type="dxa"/>
              <w:start w:w="100" w:type="dxa"/>
              <w:bottom w:w="80" w:type="dxa"/>
              <w:end w:w="100" w:type="dxa"/>
            </w:tcMar>
            <w:vAlign w:val="center"/>
          </w:tcPr>
          <w:p>
            <w:pPr>
              <w:spacing w:line="240" w:lineRule="auto" w:after="0"/>
              <w:ind w:firstLine="0"/>
            </w:pPr>
            <w:r>
              <w:rPr>
                <w:rFonts w:ascii="Times New Roman" w:hAnsi="Times New Roman"/>
                <w:sz w:val="21"/>
              </w:rPr>
              <w:t>Low to moderate</w:t>
            </w:r>
          </w:p>
        </w:tc>
        <w:tc>
          <w:tcPr>
            <w:tcW w:type="dxa" w:w="2448"/>
            <w:tcMar>
              <w:top w:w="80" w:type="dxa"/>
              <w:start w:w="100" w:type="dxa"/>
              <w:bottom w:w="80" w:type="dxa"/>
              <w:end w:w="100" w:type="dxa"/>
            </w:tcMar>
            <w:vAlign w:val="center"/>
          </w:tcPr>
          <w:p>
            <w:pPr>
              <w:spacing w:line="240" w:lineRule="auto" w:after="0"/>
              <w:ind w:firstLine="0"/>
            </w:pPr>
            <w:r>
              <w:rPr>
                <w:rFonts w:ascii="Times New Roman" w:hAnsi="Times New Roman"/>
                <w:sz w:val="21"/>
              </w:rPr>
              <w:t>Competes through status, design and service intensity</w:t>
            </w:r>
          </w:p>
        </w:tc>
      </w:tr>
      <w:tr>
        <w:tc>
          <w:tcPr>
            <w:tcW w:type="dxa" w:w="2448"/>
            <w:tcMar>
              <w:top w:w="80" w:type="dxa"/>
              <w:start w:w="100" w:type="dxa"/>
              <w:bottom w:w="80" w:type="dxa"/>
              <w:end w:w="100" w:type="dxa"/>
            </w:tcMar>
            <w:vAlign w:val="center"/>
          </w:tcPr>
          <w:p>
            <w:pPr>
              <w:spacing w:line="240" w:lineRule="auto" w:after="0"/>
              <w:ind w:firstLine="0"/>
            </w:pPr>
            <w:r>
              <w:rPr>
                <w:rFonts w:ascii="Times New Roman" w:hAnsi="Times New Roman"/>
                <w:sz w:val="21"/>
              </w:rPr>
              <w:t>Lifestyle island luxury</w:t>
            </w:r>
          </w:p>
        </w:tc>
        <w:tc>
          <w:tcPr>
            <w:tcW w:type="dxa" w:w="2448"/>
            <w:tcMar>
              <w:top w:w="80" w:type="dxa"/>
              <w:start w:w="100" w:type="dxa"/>
              <w:bottom w:w="80" w:type="dxa"/>
              <w:end w:w="100" w:type="dxa"/>
            </w:tcMar>
            <w:vAlign w:val="center"/>
          </w:tcPr>
          <w:p>
            <w:pPr>
              <w:spacing w:line="240" w:lineRule="auto" w:after="0"/>
              <w:ind w:firstLine="0"/>
            </w:pPr>
            <w:r>
              <w:rPr>
                <w:rFonts w:ascii="Times New Roman" w:hAnsi="Times New Roman"/>
                <w:sz w:val="21"/>
              </w:rPr>
              <w:t>Relaxed</w:t>
            </w:r>
          </w:p>
        </w:tc>
        <w:tc>
          <w:tcPr>
            <w:tcW w:type="dxa" w:w="2448"/>
            <w:tcMar>
              <w:top w:w="80" w:type="dxa"/>
              <w:start w:w="100" w:type="dxa"/>
              <w:bottom w:w="80" w:type="dxa"/>
              <w:end w:w="100" w:type="dxa"/>
            </w:tcMar>
            <w:vAlign w:val="center"/>
          </w:tcPr>
          <w:p>
            <w:pPr>
              <w:spacing w:line="240" w:lineRule="auto" w:after="0"/>
              <w:ind w:firstLine="0"/>
            </w:pPr>
            <w:r>
              <w:rPr>
                <w:rFonts w:ascii="Times New Roman" w:hAnsi="Times New Roman"/>
                <w:sz w:val="21"/>
              </w:rPr>
              <w:t>Moderate</w:t>
            </w:r>
          </w:p>
        </w:tc>
        <w:tc>
          <w:tcPr>
            <w:tcW w:type="dxa" w:w="2448"/>
            <w:tcMar>
              <w:top w:w="80" w:type="dxa"/>
              <w:start w:w="100" w:type="dxa"/>
              <w:bottom w:w="80" w:type="dxa"/>
              <w:end w:w="100" w:type="dxa"/>
            </w:tcMar>
            <w:vAlign w:val="center"/>
          </w:tcPr>
          <w:p>
            <w:pPr>
              <w:spacing w:line="240" w:lineRule="auto" w:after="0"/>
              <w:ind w:firstLine="0"/>
            </w:pPr>
            <w:r>
              <w:rPr>
                <w:rFonts w:ascii="Times New Roman" w:hAnsi="Times New Roman"/>
                <w:sz w:val="21"/>
              </w:rPr>
              <w:t>Competes through social energy, aesthetics and experiences</w:t>
            </w:r>
          </w:p>
        </w:tc>
      </w:tr>
      <w:tr>
        <w:tc>
          <w:tcPr>
            <w:tcW w:type="dxa" w:w="2448"/>
            <w:tcMar>
              <w:top w:w="80" w:type="dxa"/>
              <w:start w:w="100" w:type="dxa"/>
              <w:bottom w:w="80" w:type="dxa"/>
              <w:end w:w="100" w:type="dxa"/>
            </w:tcMar>
            <w:vAlign w:val="center"/>
          </w:tcPr>
          <w:p>
            <w:pPr>
              <w:spacing w:line="240" w:lineRule="auto" w:after="0"/>
              <w:ind w:firstLine="0"/>
            </w:pPr>
            <w:r>
              <w:rPr>
                <w:rFonts w:ascii="Times New Roman" w:hAnsi="Times New Roman"/>
                <w:sz w:val="21"/>
              </w:rPr>
              <w:t>Eco-lodge model</w:t>
            </w:r>
          </w:p>
        </w:tc>
        <w:tc>
          <w:tcPr>
            <w:tcW w:type="dxa" w:w="2448"/>
            <w:tcMar>
              <w:top w:w="80" w:type="dxa"/>
              <w:start w:w="100" w:type="dxa"/>
              <w:bottom w:w="80" w:type="dxa"/>
              <w:end w:w="100" w:type="dxa"/>
            </w:tcMar>
            <w:vAlign w:val="center"/>
          </w:tcPr>
          <w:p>
            <w:pPr>
              <w:spacing w:line="240" w:lineRule="auto" w:after="0"/>
              <w:ind w:firstLine="0"/>
            </w:pPr>
            <w:r>
              <w:rPr>
                <w:rFonts w:ascii="Times New Roman" w:hAnsi="Times New Roman"/>
                <w:sz w:val="21"/>
              </w:rPr>
              <w:t>Place-led</w:t>
            </w:r>
          </w:p>
        </w:tc>
        <w:tc>
          <w:tcPr>
            <w:tcW w:type="dxa" w:w="2448"/>
            <w:tcMar>
              <w:top w:w="80" w:type="dxa"/>
              <w:start w:w="100" w:type="dxa"/>
              <w:bottom w:w="80" w:type="dxa"/>
              <w:end w:w="100" w:type="dxa"/>
            </w:tcMar>
            <w:vAlign w:val="center"/>
          </w:tcPr>
          <w:p>
            <w:pPr>
              <w:spacing w:line="240" w:lineRule="auto" w:after="0"/>
              <w:ind w:firstLine="0"/>
            </w:pPr>
            <w:r>
              <w:rPr>
                <w:rFonts w:ascii="Times New Roman" w:hAnsi="Times New Roman"/>
                <w:sz w:val="21"/>
              </w:rPr>
              <w:t>High</w:t>
            </w:r>
          </w:p>
        </w:tc>
        <w:tc>
          <w:tcPr>
            <w:tcW w:type="dxa" w:w="2448"/>
            <w:tcMar>
              <w:top w:w="80" w:type="dxa"/>
              <w:start w:w="100" w:type="dxa"/>
              <w:bottom w:w="80" w:type="dxa"/>
              <w:end w:w="100" w:type="dxa"/>
            </w:tcMar>
            <w:vAlign w:val="center"/>
          </w:tcPr>
          <w:p>
            <w:pPr>
              <w:spacing w:line="240" w:lineRule="auto" w:after="0"/>
              <w:ind w:firstLine="0"/>
            </w:pPr>
            <w:r>
              <w:rPr>
                <w:rFonts w:ascii="Times New Roman" w:hAnsi="Times New Roman"/>
                <w:sz w:val="21"/>
              </w:rPr>
              <w:t>Competes through conservation and nature, sometimes with lower service intensity</w:t>
            </w:r>
          </w:p>
        </w:tc>
      </w:tr>
      <w:tr>
        <w:tc>
          <w:tcPr>
            <w:tcW w:type="dxa" w:w="2448"/>
            <w:tcMar>
              <w:top w:w="80" w:type="dxa"/>
              <w:start w:w="100" w:type="dxa"/>
              <w:bottom w:w="80" w:type="dxa"/>
              <w:end w:w="100" w:type="dxa"/>
            </w:tcMar>
            <w:vAlign w:val="center"/>
          </w:tcPr>
          <w:p>
            <w:pPr>
              <w:spacing w:line="240" w:lineRule="auto" w:after="0"/>
              <w:ind w:firstLine="0"/>
            </w:pPr>
            <w:r>
              <w:rPr>
                <w:rFonts w:ascii="Times New Roman" w:hAnsi="Times New Roman"/>
                <w:sz w:val="21"/>
              </w:rPr>
              <w:t>Recommended Soneva Fushi position</w:t>
            </w:r>
          </w:p>
        </w:tc>
        <w:tc>
          <w:tcPr>
            <w:tcW w:type="dxa" w:w="2448"/>
            <w:tcMar>
              <w:top w:w="80" w:type="dxa"/>
              <w:start w:w="100" w:type="dxa"/>
              <w:bottom w:w="80" w:type="dxa"/>
              <w:end w:w="100" w:type="dxa"/>
            </w:tcMar>
            <w:vAlign w:val="center"/>
          </w:tcPr>
          <w:p>
            <w:pPr>
              <w:spacing w:line="240" w:lineRule="auto" w:after="0"/>
              <w:ind w:firstLine="0"/>
            </w:pPr>
            <w:r>
              <w:rPr>
                <w:rFonts w:ascii="Times New Roman" w:hAnsi="Times New Roman"/>
                <w:sz w:val="21"/>
              </w:rPr>
              <w:t>Relaxed, highly personalised</w:t>
            </w:r>
          </w:p>
        </w:tc>
        <w:tc>
          <w:tcPr>
            <w:tcW w:type="dxa" w:w="2448"/>
            <w:tcMar>
              <w:top w:w="80" w:type="dxa"/>
              <w:start w:w="100" w:type="dxa"/>
              <w:bottom w:w="80" w:type="dxa"/>
              <w:end w:w="100" w:type="dxa"/>
            </w:tcMar>
            <w:vAlign w:val="center"/>
          </w:tcPr>
          <w:p>
            <w:pPr>
              <w:spacing w:line="240" w:lineRule="auto" w:after="0"/>
              <w:ind w:firstLine="0"/>
            </w:pPr>
            <w:r>
              <w:rPr>
                <w:rFonts w:ascii="Times New Roman" w:hAnsi="Times New Roman"/>
                <w:sz w:val="21"/>
              </w:rPr>
              <w:t>High and evidence-led</w:t>
            </w:r>
          </w:p>
        </w:tc>
        <w:tc>
          <w:tcPr>
            <w:tcW w:type="dxa" w:w="2448"/>
            <w:tcMar>
              <w:top w:w="80" w:type="dxa"/>
              <w:start w:w="100" w:type="dxa"/>
              <w:bottom w:w="80" w:type="dxa"/>
              <w:end w:w="100" w:type="dxa"/>
            </w:tcMar>
            <w:vAlign w:val="center"/>
          </w:tcPr>
          <w:p>
            <w:pPr>
              <w:spacing w:line="240" w:lineRule="auto" w:after="0"/>
              <w:ind w:firstLine="0"/>
            </w:pPr>
            <w:r>
              <w:rPr>
                <w:rFonts w:ascii="Times New Roman" w:hAnsi="Times New Roman"/>
                <w:sz w:val="21"/>
              </w:rPr>
              <w:t>Combines premium comfort, privacy, learning and visible circular/environmental practices</w:t>
            </w:r>
          </w:p>
        </w:tc>
      </w:tr>
    </w:tbl>
    <w:p>
      <w:pPr>
        <w:spacing w:after="0"/>
      </w:pPr>
    </w:p>
    <w:p>
      <w:pPr>
        <w:pStyle w:val="Heading1"/>
        <w:ind w:firstLine="0"/>
      </w:pPr>
      <w:r>
        <w:t>4. Extended Tourism Marketing Mix (7 Ps)</w:t>
      </w:r>
    </w:p>
    <w:p>
      <w:pPr>
        <w:pStyle w:val="Heading2"/>
        <w:ind w:firstLine="0"/>
      </w:pPr>
      <w:r>
        <w:t>4.1 Product: from villa inventory to a regenerative experience portfolio</w:t>
      </w:r>
    </w:p>
    <w:p>
      <w:pPr/>
      <w:r>
        <w:rPr>
          <w:rFonts w:ascii="Times New Roman" w:hAnsi="Times New Roman"/>
          <w:sz w:val="24"/>
        </w:rPr>
        <w:t>The core product is not simply accommodation. It is a bundle of privacy, island environment, service, food, wellbeing, culture and learning. Product design should therefore package sustainability as an experience layer rather than as a separate tour. For example, a five-night itinerary might combine private reef exploration, a conservation briefing, a locally contextualised dining experience, a visit to the resort’s waste-to-value operations and a follow-up update showing progress on the environmental project the guest encountered.</w:t>
      </w:r>
    </w:p>
    <w:p>
      <w:pPr/>
      <w:r>
        <w:rPr>
          <w:rFonts w:ascii="Times New Roman" w:hAnsi="Times New Roman"/>
          <w:sz w:val="24"/>
        </w:rPr>
        <w:t>Soneva’s AquaTerra centre at Soneva Fushi provides a credible platform for this approach because it brings marine conservation, education and research into the guest environment (Soneva, 2023). The marketing opportunity is to create tiered participation. Some guests may want a twenty-minute introduction, while others may want an expert-led half-day. Tiering avoids forcing a single level of engagement while making the product relevant to different motivations.</w:t>
      </w:r>
    </w:p>
    <w:p>
      <w:pPr/>
      <w:r>
        <w:rPr>
          <w:rFonts w:ascii="Times New Roman" w:hAnsi="Times New Roman"/>
          <w:sz w:val="24"/>
        </w:rPr>
        <w:t>Product governance should also define what not to offer. Experiences that create environmental pressure, excessive noise or contradictory waste should be reviewed against the positioning. In premium hospitality, removing a poorly aligned experience can strengthen brand coherence even when it sacrifices short-term revenue.</w:t>
      </w:r>
    </w:p>
    <w:p>
      <w:pPr>
        <w:pStyle w:val="Heading2"/>
        <w:ind w:firstLine="0"/>
      </w:pPr>
      <w:r>
        <w:t>4.2 Price: value-based premium with transparent logic</w:t>
      </w:r>
    </w:p>
    <w:p>
      <w:pPr/>
      <w:r>
        <w:rPr>
          <w:rFonts w:ascii="Times New Roman" w:hAnsi="Times New Roman"/>
          <w:sz w:val="24"/>
        </w:rPr>
        <w:t>The resort should maintain premium pricing because discount dependence would conflict with exclusivity and can weaken the perceived value of conservation-intensive experiences. Price architecture should instead vary through villa type, season, length of stay and experience bundles. Transparent package design can reduce "bill shock" by clarifying transfers, meals and included activities before booking.</w:t>
      </w:r>
    </w:p>
    <w:p>
      <w:pPr/>
      <w:r>
        <w:rPr>
          <w:rFonts w:ascii="Times New Roman" w:hAnsi="Times New Roman"/>
          <w:sz w:val="24"/>
        </w:rPr>
        <w:t>A small visible stewardship contribution can be effective if the customer is told what it supports and if the resort reports outcomes. However, sustainability should not be positioned merely as an extra fee passed to the guest. The base price should already fund responsible operations. Any additional contribution must create incremental, traceable value.</w:t>
      </w:r>
    </w:p>
    <w:p>
      <w:pPr/>
      <w:r>
        <w:rPr>
          <w:rFonts w:ascii="Times New Roman" w:hAnsi="Times New Roman"/>
          <w:sz w:val="24"/>
        </w:rPr>
        <w:t>For repeat customers, value can be delivered through privileged access rather than broad discounts: priority villa selection, a private specialist session, flexible transfers or invitation-only conservation experiences. This protects rate integrity while rewarding loyalty.</w:t>
      </w:r>
    </w:p>
    <w:p>
      <w:pPr>
        <w:pStyle w:val="Heading2"/>
        <w:ind w:firstLine="0"/>
      </w:pPr>
      <w:r>
        <w:t>4.3 Place: direct relationship first, selective intermediary reach</w:t>
      </w:r>
    </w:p>
    <w:p>
      <w:pPr/>
      <w:r>
        <w:rPr>
          <w:rFonts w:ascii="Times New Roman" w:hAnsi="Times New Roman"/>
          <w:sz w:val="24"/>
        </w:rPr>
        <w:t>Distribution must balance reach with customer ownership. Online travel agencies can introduce new customers, particularly in discovery phases, but research shows that hotel websites and OTAs simultaneously cooperate and compete for future bookings (Chang et al., 2019). Masiero and Law (2016) likewise demonstrate that customers use different hotel reservation channels for different reasons, implying that channel strategy should match customer behaviour rather than assume a single preferred channel.</w:t>
      </w:r>
    </w:p>
    <w:p>
      <w:pPr/>
      <w:r>
        <w:rPr>
          <w:rFonts w:ascii="Times New Roman" w:hAnsi="Times New Roman"/>
          <w:sz w:val="24"/>
        </w:rPr>
        <w:t>The proposed channel hierarchy is therefore: direct website and reservations team as the primary conversion channel; luxury travel advisers and specialist tour operators as high-touch relationship channels; selected OTAs as controlled discovery channels; and remarketing/CRM as the mechanism for converting acquired guests into direct repeat customers. Direct bookings should offer informational and relationship advantages, not deceptive price discrimination. Examples include deeper itinerary planning, a named pre-arrival host and earlier access to limited experiences.</w:t>
      </w:r>
    </w:p>
    <w:p>
      <w:pPr/>
      <w:r>
        <w:rPr>
          <w:rFonts w:ascii="Times New Roman" w:hAnsi="Times New Roman"/>
          <w:sz w:val="24"/>
        </w:rPr>
        <w:t>The website should reduce the cognitive burden of a complex remote-island journey. Pages should integrate villa comparison, transfer logic, sustainability proof, sample itineraries, family guidance, accessibility information and live adviser contact. A high-value customer should not need to assemble critical information from multiple pages.</w:t>
      </w:r>
    </w:p>
    <w:p>
      <w:pPr>
        <w:pStyle w:val="Heading2"/>
        <w:ind w:firstLine="0"/>
      </w:pPr>
      <w:r>
        <w:t>4.4 Promotion: proof-rich storytelling rather than generic green claims</w:t>
      </w:r>
    </w:p>
    <w:p>
      <w:pPr/>
      <w:r>
        <w:rPr>
          <w:rFonts w:ascii="Times New Roman" w:hAnsi="Times New Roman"/>
          <w:sz w:val="24"/>
        </w:rPr>
        <w:t>Promotion should use a content rule: every sustainability message needs a visible practice, a credible source or a measurable outcome. A campaign about circularity should show how materials move through the resort; a reef story should introduce scientists and methods; an energy story should distinguish current performance from future targets. Soneva’s published stewardship information, including waste recycling and solar initiatives, gives the brand material for evidence-led communication (Soneva, 2024, 2026a).</w:t>
      </w:r>
    </w:p>
    <w:p>
      <w:pPr/>
      <w:r>
        <w:rPr>
          <w:rFonts w:ascii="Times New Roman" w:hAnsi="Times New Roman"/>
          <w:sz w:val="24"/>
        </w:rPr>
        <w:t>Three recurring creative territories are recommended: "Made on the Island" for craft, food and circularity; "Life Below the Villa" for marine ecology and reef restoration; and "The Luxury of Less" for quiet, privacy, night skies, natural materials and reduced unnecessary consumption. Each territory can support long-form editorial content, short social video, adviser toolkits and pre-arrival storytelling.</w:t>
      </w:r>
    </w:p>
    <w:p>
      <w:pPr/>
      <w:r>
        <w:rPr>
          <w:rFonts w:ascii="Times New Roman" w:hAnsi="Times New Roman"/>
          <w:sz w:val="24"/>
        </w:rPr>
        <w:t>Promotion should also manage risk. Environmental communication must avoid absolute claims such as "impact-free" unless they can be substantiated. The resort should publish limitations and work-in-progress areas alongside achievements. This can strengthen trust because sophisticated customers recognise that remote-island tourism has unavoidable footprints.</w:t>
      </w:r>
    </w:p>
    <w:p>
      <w:pPr>
        <w:pStyle w:val="Heading2"/>
        <w:ind w:firstLine="0"/>
      </w:pPr>
      <w:r>
        <w:t>4.5 People: hosts as interpreters of place</w:t>
      </w:r>
    </w:p>
    <w:p>
      <w:pPr/>
      <w:r>
        <w:rPr>
          <w:rFonts w:ascii="Times New Roman" w:hAnsi="Times New Roman"/>
          <w:sz w:val="24"/>
        </w:rPr>
        <w:t>People are central because premium hospitality is co-created in real time. Staff should not be expected to memorise marketing slogans; they need service knowledge and enough sustainability literacy to explain practices naturally. Training should include storytelling, cultural sensitivity, marine and waste basics, guest privacy, service recovery and how to respond when a guest challenges an environmental claim.</w:t>
      </w:r>
    </w:p>
    <w:p>
      <w:pPr/>
      <w:r>
        <w:rPr>
          <w:rFonts w:ascii="Times New Roman" w:hAnsi="Times New Roman"/>
          <w:sz w:val="24"/>
        </w:rPr>
        <w:t>Service quality research emphasizes the behavioural consequences of reliability and responsiveness (Zeithaml et al., 1996). Accordingly, Soneva should measure not only satisfaction scores but also consistency across pre-arrival, arrival, on-island and post-stay interactions. Empowered hosts should be able to solve small service failures without excessive escalation, while specialist questions are routed to appropriate environmental or marine experts.</w:t>
      </w:r>
    </w:p>
    <w:p>
      <w:pPr/>
      <w:r>
        <w:rPr>
          <w:rFonts w:ascii="Times New Roman" w:hAnsi="Times New Roman"/>
          <w:sz w:val="24"/>
        </w:rPr>
        <w:t>Employee experience also affects the guest experience. Staff accommodation, learning opportunities, wellbeing and career development should be treated as marketing infrastructure because the brand promise depends on the enthusiasm and credibility of people delivering it.</w:t>
      </w:r>
    </w:p>
    <w:p>
      <w:pPr>
        <w:pStyle w:val="Heading2"/>
        <w:ind w:firstLine="0"/>
      </w:pPr>
      <w:r>
        <w:t>4.6 Process: frictionless service with circular defaults</w:t>
      </w:r>
    </w:p>
    <w:p>
      <w:pPr/>
      <w:r>
        <w:rPr>
          <w:rFonts w:ascii="Times New Roman" w:hAnsi="Times New Roman"/>
          <w:sz w:val="24"/>
        </w:rPr>
        <w:t>Processes should make sustainable choices easy and premium. Pre-arrival preference capture can reduce unnecessary amenities and improve personalisation. Digital itineraries can replace paper without becoming mandatory when a guest prefers physical materials. Refill systems should work invisibly. Food forecasting and reservation data can reduce waste while increasing freshness. Maintenance processes can prioritise repair and reuse before replacement.</w:t>
      </w:r>
    </w:p>
    <w:p>
      <w:pPr/>
      <w:r>
        <w:rPr>
          <w:rFonts w:ascii="Times New Roman" w:hAnsi="Times New Roman"/>
          <w:sz w:val="24"/>
        </w:rPr>
        <w:t>A "closed-loop guest journey" should connect booking data, preferences, experience participation and post-stay communication. If a guest joins a reef programme, the CRM can later send a concise science update rather than a generic sales email. This improves relevance and turns conservation into a relationship asset.</w:t>
      </w:r>
    </w:p>
    <w:p>
      <w:pPr/>
      <w:r>
        <w:rPr>
          <w:rFonts w:ascii="Times New Roman" w:hAnsi="Times New Roman"/>
          <w:sz w:val="24"/>
        </w:rPr>
        <w:t>Process design must also include service recovery. Weather disruptions, transfer delays and cancelled marine activities are normal risks in island hospitality. The resort should predefine alternative experiences and communication protocols so that sustainability does not become an excuse for poor service.</w:t>
      </w:r>
    </w:p>
    <w:p>
      <w:pPr>
        <w:pStyle w:val="Heading2"/>
        <w:ind w:firstLine="0"/>
      </w:pPr>
      <w:r>
        <w:t>4.7 Physical Evidence: let the island prove the promise</w:t>
      </w:r>
    </w:p>
    <w:p>
      <w:pPr/>
      <w:r>
        <w:rPr>
          <w:rFonts w:ascii="Times New Roman" w:hAnsi="Times New Roman"/>
          <w:sz w:val="24"/>
        </w:rPr>
        <w:t>Physical evidence is particularly important for an intangible service. Bitner (1992) shows that physical surroundings influence customer responses, and sustainable-servicescape research demonstrates that travellers interpret sustainability through visible accommodation attributes (Väisänen et al., 2023). Soneva Fushi should therefore make environmental systems legible without turning the resort into an exhibition.</w:t>
      </w:r>
    </w:p>
    <w:p>
      <w:pPr/>
      <w:r>
        <w:rPr>
          <w:rFonts w:ascii="Times New Roman" w:hAnsi="Times New Roman"/>
          <w:sz w:val="24"/>
        </w:rPr>
        <w:t>Examples include discreet interpretive signs in material-recovery areas, transparent information at water-refill points, low-glare night lighting, native landscaping, reusable in-room objects, menus that identify meaningful sourcing stories and well-designed conservation spaces. The AquaTerra centre can function as a flagship proof point because its scientific purpose is tangible and place-specific.</w:t>
      </w:r>
    </w:p>
    <w:p>
      <w:pPr>
        <w:spacing w:line="240" w:lineRule="auto" w:before="120" w:after="80"/>
        <w:ind w:firstLine="0"/>
        <w:jc w:val="center"/>
      </w:pPr>
      <w:r>
        <w:rPr>
          <w:rFonts w:ascii="Times New Roman" w:hAnsi="Times New Roman"/>
          <w:b/>
          <w:sz w:val="22"/>
        </w:rPr>
        <w:t>Table 3. Integrated 7Ps matrix</w:t>
      </w:r>
    </w:p>
    <w:tbl>
      <w:tblPr>
        <w:tblStyle w:val="TableGrid"/>
        <w:tblW w:type="auto" w:w="0"/>
        <w:jc w:val="center"/>
        <w:tblLayout w:type="autofit"/>
        <w:tblLook w:firstColumn="1" w:firstRow="1" w:lastColumn="0" w:lastRow="0" w:noHBand="0" w:noVBand="1" w:val="04A0"/>
      </w:tblPr>
      <w:tblGrid>
        <w:gridCol w:w="2448"/>
        <w:gridCol w:w="2448"/>
        <w:gridCol w:w="2448"/>
        <w:gridCol w:w="2448"/>
      </w:tblGrid>
      <w:tr>
        <w:tc>
          <w:tcPr>
            <w:tcW w:type="dxa" w:w="2448"/>
            <w:shd w:fill="D9E6F2"/>
            <w:tcMar>
              <w:top w:w="80" w:type="dxa"/>
              <w:start w:w="100" w:type="dxa"/>
              <w:bottom w:w="80" w:type="dxa"/>
              <w:end w:w="100" w:type="dxa"/>
            </w:tcMar>
            <w:vAlign w:val="center"/>
          </w:tcPr>
          <w:p>
            <w:pPr>
              <w:spacing w:line="240" w:lineRule="auto" w:after="0"/>
              <w:ind w:firstLine="0"/>
              <w:jc w:val="center"/>
            </w:pPr>
            <w:r>
              <w:rPr>
                <w:rFonts w:ascii="Times New Roman" w:hAnsi="Times New Roman"/>
                <w:b/>
                <w:sz w:val="21"/>
              </w:rPr>
              <w:t>P</w:t>
            </w:r>
          </w:p>
        </w:tc>
        <w:tc>
          <w:tcPr>
            <w:tcW w:type="dxa" w:w="2448"/>
            <w:shd w:fill="D9E6F2"/>
            <w:tcMar>
              <w:top w:w="80" w:type="dxa"/>
              <w:start w:w="100" w:type="dxa"/>
              <w:bottom w:w="80" w:type="dxa"/>
              <w:end w:w="100" w:type="dxa"/>
            </w:tcMar>
            <w:vAlign w:val="center"/>
          </w:tcPr>
          <w:p>
            <w:pPr>
              <w:spacing w:line="240" w:lineRule="auto" w:after="0"/>
              <w:ind w:firstLine="0"/>
              <w:jc w:val="center"/>
            </w:pPr>
            <w:r>
              <w:rPr>
                <w:rFonts w:ascii="Times New Roman" w:hAnsi="Times New Roman"/>
                <w:b/>
                <w:sz w:val="21"/>
              </w:rPr>
              <w:t>Strategic action</w:t>
            </w:r>
          </w:p>
        </w:tc>
        <w:tc>
          <w:tcPr>
            <w:tcW w:type="dxa" w:w="2448"/>
            <w:shd w:fill="D9E6F2"/>
            <w:tcMar>
              <w:top w:w="80" w:type="dxa"/>
              <w:start w:w="100" w:type="dxa"/>
              <w:bottom w:w="80" w:type="dxa"/>
              <w:end w:w="100" w:type="dxa"/>
            </w:tcMar>
            <w:vAlign w:val="center"/>
          </w:tcPr>
          <w:p>
            <w:pPr>
              <w:spacing w:line="240" w:lineRule="auto" w:after="0"/>
              <w:ind w:firstLine="0"/>
              <w:jc w:val="center"/>
            </w:pPr>
            <w:r>
              <w:rPr>
                <w:rFonts w:ascii="Times New Roman" w:hAnsi="Times New Roman"/>
                <w:b/>
                <w:sz w:val="21"/>
              </w:rPr>
              <w:t>Guest value created</w:t>
            </w:r>
          </w:p>
        </w:tc>
        <w:tc>
          <w:tcPr>
            <w:tcW w:type="dxa" w:w="2448"/>
            <w:shd w:fill="D9E6F2"/>
            <w:tcMar>
              <w:top w:w="80" w:type="dxa"/>
              <w:start w:w="100" w:type="dxa"/>
              <w:bottom w:w="80" w:type="dxa"/>
              <w:end w:w="100" w:type="dxa"/>
            </w:tcMar>
            <w:vAlign w:val="center"/>
          </w:tcPr>
          <w:p>
            <w:pPr>
              <w:spacing w:line="240" w:lineRule="auto" w:after="0"/>
              <w:ind w:firstLine="0"/>
              <w:jc w:val="center"/>
            </w:pPr>
            <w:r>
              <w:rPr>
                <w:rFonts w:ascii="Times New Roman" w:hAnsi="Times New Roman"/>
                <w:b/>
                <w:sz w:val="21"/>
              </w:rPr>
              <w:t>Primary metric</w:t>
            </w:r>
          </w:p>
        </w:tc>
      </w:tr>
      <w:tr>
        <w:tc>
          <w:tcPr>
            <w:tcW w:type="dxa" w:w="2448"/>
            <w:tcMar>
              <w:top w:w="80" w:type="dxa"/>
              <w:start w:w="100" w:type="dxa"/>
              <w:bottom w:w="80" w:type="dxa"/>
              <w:end w:w="100" w:type="dxa"/>
            </w:tcMar>
            <w:vAlign w:val="center"/>
          </w:tcPr>
          <w:p>
            <w:pPr>
              <w:spacing w:line="240" w:lineRule="auto" w:after="0"/>
              <w:ind w:firstLine="0"/>
            </w:pPr>
            <w:r>
              <w:rPr>
                <w:rFonts w:ascii="Times New Roman" w:hAnsi="Times New Roman"/>
                <w:sz w:val="21"/>
              </w:rPr>
              <w:t>Product</w:t>
            </w:r>
          </w:p>
        </w:tc>
        <w:tc>
          <w:tcPr>
            <w:tcW w:type="dxa" w:w="2448"/>
            <w:tcMar>
              <w:top w:w="80" w:type="dxa"/>
              <w:start w:w="100" w:type="dxa"/>
              <w:bottom w:w="80" w:type="dxa"/>
              <w:end w:w="100" w:type="dxa"/>
            </w:tcMar>
            <w:vAlign w:val="center"/>
          </w:tcPr>
          <w:p>
            <w:pPr>
              <w:spacing w:line="240" w:lineRule="auto" w:after="0"/>
              <w:ind w:firstLine="0"/>
            </w:pPr>
            <w:r>
              <w:rPr>
                <w:rFonts w:ascii="Times New Roman" w:hAnsi="Times New Roman"/>
                <w:sz w:val="21"/>
              </w:rPr>
              <w:t>Build tiered stewardship experiences into stay design</w:t>
            </w:r>
          </w:p>
        </w:tc>
        <w:tc>
          <w:tcPr>
            <w:tcW w:type="dxa" w:w="2448"/>
            <w:tcMar>
              <w:top w:w="80" w:type="dxa"/>
              <w:start w:w="100" w:type="dxa"/>
              <w:bottom w:w="80" w:type="dxa"/>
              <w:end w:w="100" w:type="dxa"/>
            </w:tcMar>
            <w:vAlign w:val="center"/>
          </w:tcPr>
          <w:p>
            <w:pPr>
              <w:spacing w:line="240" w:lineRule="auto" w:after="0"/>
              <w:ind w:firstLine="0"/>
            </w:pPr>
            <w:r>
              <w:rPr>
                <w:rFonts w:ascii="Times New Roman" w:hAnsi="Times New Roman"/>
                <w:sz w:val="21"/>
              </w:rPr>
              <w:t>Memorable access and learning</w:t>
            </w:r>
          </w:p>
        </w:tc>
        <w:tc>
          <w:tcPr>
            <w:tcW w:type="dxa" w:w="2448"/>
            <w:tcMar>
              <w:top w:w="80" w:type="dxa"/>
              <w:start w:w="100" w:type="dxa"/>
              <w:bottom w:w="80" w:type="dxa"/>
              <w:end w:w="100" w:type="dxa"/>
            </w:tcMar>
            <w:vAlign w:val="center"/>
          </w:tcPr>
          <w:p>
            <w:pPr>
              <w:spacing w:line="240" w:lineRule="auto" w:after="0"/>
              <w:ind w:firstLine="0"/>
            </w:pPr>
            <w:r>
              <w:rPr>
                <w:rFonts w:ascii="Times New Roman" w:hAnsi="Times New Roman"/>
                <w:sz w:val="21"/>
              </w:rPr>
              <w:t>Experience participation rate</w:t>
            </w:r>
          </w:p>
        </w:tc>
      </w:tr>
      <w:tr>
        <w:tc>
          <w:tcPr>
            <w:tcW w:type="dxa" w:w="2448"/>
            <w:tcMar>
              <w:top w:w="80" w:type="dxa"/>
              <w:start w:w="100" w:type="dxa"/>
              <w:bottom w:w="80" w:type="dxa"/>
              <w:end w:w="100" w:type="dxa"/>
            </w:tcMar>
            <w:vAlign w:val="center"/>
          </w:tcPr>
          <w:p>
            <w:pPr>
              <w:spacing w:line="240" w:lineRule="auto" w:after="0"/>
              <w:ind w:firstLine="0"/>
            </w:pPr>
            <w:r>
              <w:rPr>
                <w:rFonts w:ascii="Times New Roman" w:hAnsi="Times New Roman"/>
                <w:sz w:val="21"/>
              </w:rPr>
              <w:t>Price</w:t>
            </w:r>
          </w:p>
        </w:tc>
        <w:tc>
          <w:tcPr>
            <w:tcW w:type="dxa" w:w="2448"/>
            <w:tcMar>
              <w:top w:w="80" w:type="dxa"/>
              <w:start w:w="100" w:type="dxa"/>
              <w:bottom w:w="80" w:type="dxa"/>
              <w:end w:w="100" w:type="dxa"/>
            </w:tcMar>
            <w:vAlign w:val="center"/>
          </w:tcPr>
          <w:p>
            <w:pPr>
              <w:spacing w:line="240" w:lineRule="auto" w:after="0"/>
              <w:ind w:firstLine="0"/>
            </w:pPr>
            <w:r>
              <w:rPr>
                <w:rFonts w:ascii="Times New Roman" w:hAnsi="Times New Roman"/>
                <w:sz w:val="21"/>
              </w:rPr>
              <w:t>Protect premium rates; use transparent inclusions and access-based loyalty rewards</w:t>
            </w:r>
          </w:p>
        </w:tc>
        <w:tc>
          <w:tcPr>
            <w:tcW w:type="dxa" w:w="2448"/>
            <w:tcMar>
              <w:top w:w="80" w:type="dxa"/>
              <w:start w:w="100" w:type="dxa"/>
              <w:bottom w:w="80" w:type="dxa"/>
              <w:end w:w="100" w:type="dxa"/>
            </w:tcMar>
            <w:vAlign w:val="center"/>
          </w:tcPr>
          <w:p>
            <w:pPr>
              <w:spacing w:line="240" w:lineRule="auto" w:after="0"/>
              <w:ind w:firstLine="0"/>
            </w:pPr>
            <w:r>
              <w:rPr>
                <w:rFonts w:ascii="Times New Roman" w:hAnsi="Times New Roman"/>
                <w:sz w:val="21"/>
              </w:rPr>
              <w:t>Confidence and perceived fairness</w:t>
            </w:r>
          </w:p>
        </w:tc>
        <w:tc>
          <w:tcPr>
            <w:tcW w:type="dxa" w:w="2448"/>
            <w:tcMar>
              <w:top w:w="80" w:type="dxa"/>
              <w:start w:w="100" w:type="dxa"/>
              <w:bottom w:w="80" w:type="dxa"/>
              <w:end w:w="100" w:type="dxa"/>
            </w:tcMar>
            <w:vAlign w:val="center"/>
          </w:tcPr>
          <w:p>
            <w:pPr>
              <w:spacing w:line="240" w:lineRule="auto" w:after="0"/>
              <w:ind w:firstLine="0"/>
            </w:pPr>
            <w:r>
              <w:rPr>
                <w:rFonts w:ascii="Times New Roman" w:hAnsi="Times New Roman"/>
                <w:sz w:val="21"/>
              </w:rPr>
              <w:t>ADR, package uptake, repeat revenue</w:t>
            </w:r>
          </w:p>
        </w:tc>
      </w:tr>
      <w:tr>
        <w:tc>
          <w:tcPr>
            <w:tcW w:type="dxa" w:w="2448"/>
            <w:tcMar>
              <w:top w:w="80" w:type="dxa"/>
              <w:start w:w="100" w:type="dxa"/>
              <w:bottom w:w="80" w:type="dxa"/>
              <w:end w:w="100" w:type="dxa"/>
            </w:tcMar>
            <w:vAlign w:val="center"/>
          </w:tcPr>
          <w:p>
            <w:pPr>
              <w:spacing w:line="240" w:lineRule="auto" w:after="0"/>
              <w:ind w:firstLine="0"/>
            </w:pPr>
            <w:r>
              <w:rPr>
                <w:rFonts w:ascii="Times New Roman" w:hAnsi="Times New Roman"/>
                <w:sz w:val="21"/>
              </w:rPr>
              <w:t>Place</w:t>
            </w:r>
          </w:p>
        </w:tc>
        <w:tc>
          <w:tcPr>
            <w:tcW w:type="dxa" w:w="2448"/>
            <w:tcMar>
              <w:top w:w="80" w:type="dxa"/>
              <w:start w:w="100" w:type="dxa"/>
              <w:bottom w:w="80" w:type="dxa"/>
              <w:end w:w="100" w:type="dxa"/>
            </w:tcMar>
            <w:vAlign w:val="center"/>
          </w:tcPr>
          <w:p>
            <w:pPr>
              <w:spacing w:line="240" w:lineRule="auto" w:after="0"/>
              <w:ind w:firstLine="0"/>
            </w:pPr>
            <w:r>
              <w:rPr>
                <w:rFonts w:ascii="Times New Roman" w:hAnsi="Times New Roman"/>
                <w:sz w:val="21"/>
              </w:rPr>
              <w:t>Prioritise direct and adviser channels; use OTAs selectively for acquisition</w:t>
            </w:r>
          </w:p>
        </w:tc>
        <w:tc>
          <w:tcPr>
            <w:tcW w:type="dxa" w:w="2448"/>
            <w:tcMar>
              <w:top w:w="80" w:type="dxa"/>
              <w:start w:w="100" w:type="dxa"/>
              <w:bottom w:w="80" w:type="dxa"/>
              <w:end w:w="100" w:type="dxa"/>
            </w:tcMar>
            <w:vAlign w:val="center"/>
          </w:tcPr>
          <w:p>
            <w:pPr>
              <w:spacing w:line="240" w:lineRule="auto" w:after="0"/>
              <w:ind w:firstLine="0"/>
            </w:pPr>
            <w:r>
              <w:rPr>
                <w:rFonts w:ascii="Times New Roman" w:hAnsi="Times New Roman"/>
                <w:sz w:val="21"/>
              </w:rPr>
              <w:t>Convenience plus relationship continuity</w:t>
            </w:r>
          </w:p>
        </w:tc>
        <w:tc>
          <w:tcPr>
            <w:tcW w:type="dxa" w:w="2448"/>
            <w:tcMar>
              <w:top w:w="80" w:type="dxa"/>
              <w:start w:w="100" w:type="dxa"/>
              <w:bottom w:w="80" w:type="dxa"/>
              <w:end w:w="100" w:type="dxa"/>
            </w:tcMar>
            <w:vAlign w:val="center"/>
          </w:tcPr>
          <w:p>
            <w:pPr>
              <w:spacing w:line="240" w:lineRule="auto" w:after="0"/>
              <w:ind w:firstLine="0"/>
            </w:pPr>
            <w:r>
              <w:rPr>
                <w:rFonts w:ascii="Times New Roman" w:hAnsi="Times New Roman"/>
                <w:sz w:val="21"/>
              </w:rPr>
              <w:t>Direct-booking share, channel CAC</w:t>
            </w:r>
          </w:p>
        </w:tc>
      </w:tr>
      <w:tr>
        <w:tc>
          <w:tcPr>
            <w:tcW w:type="dxa" w:w="2448"/>
            <w:tcMar>
              <w:top w:w="80" w:type="dxa"/>
              <w:start w:w="100" w:type="dxa"/>
              <w:bottom w:w="80" w:type="dxa"/>
              <w:end w:w="100" w:type="dxa"/>
            </w:tcMar>
            <w:vAlign w:val="center"/>
          </w:tcPr>
          <w:p>
            <w:pPr>
              <w:spacing w:line="240" w:lineRule="auto" w:after="0"/>
              <w:ind w:firstLine="0"/>
            </w:pPr>
            <w:r>
              <w:rPr>
                <w:rFonts w:ascii="Times New Roman" w:hAnsi="Times New Roman"/>
                <w:sz w:val="21"/>
              </w:rPr>
              <w:t>Promotion</w:t>
            </w:r>
          </w:p>
        </w:tc>
        <w:tc>
          <w:tcPr>
            <w:tcW w:type="dxa" w:w="2448"/>
            <w:tcMar>
              <w:top w:w="80" w:type="dxa"/>
              <w:start w:w="100" w:type="dxa"/>
              <w:bottom w:w="80" w:type="dxa"/>
              <w:end w:w="100" w:type="dxa"/>
            </w:tcMar>
            <w:vAlign w:val="center"/>
          </w:tcPr>
          <w:p>
            <w:pPr>
              <w:spacing w:line="240" w:lineRule="auto" w:after="0"/>
              <w:ind w:firstLine="0"/>
            </w:pPr>
            <w:r>
              <w:rPr>
                <w:rFonts w:ascii="Times New Roman" w:hAnsi="Times New Roman"/>
                <w:sz w:val="21"/>
              </w:rPr>
              <w:t>Use measurable proof, expert voices and three recurring content territories</w:t>
            </w:r>
          </w:p>
        </w:tc>
        <w:tc>
          <w:tcPr>
            <w:tcW w:type="dxa" w:w="2448"/>
            <w:tcMar>
              <w:top w:w="80" w:type="dxa"/>
              <w:start w:w="100" w:type="dxa"/>
              <w:bottom w:w="80" w:type="dxa"/>
              <w:end w:w="100" w:type="dxa"/>
            </w:tcMar>
            <w:vAlign w:val="center"/>
          </w:tcPr>
          <w:p>
            <w:pPr>
              <w:spacing w:line="240" w:lineRule="auto" w:after="0"/>
              <w:ind w:firstLine="0"/>
            </w:pPr>
            <w:r>
              <w:rPr>
                <w:rFonts w:ascii="Times New Roman" w:hAnsi="Times New Roman"/>
                <w:sz w:val="21"/>
              </w:rPr>
              <w:t>Trust and differentiation</w:t>
            </w:r>
          </w:p>
        </w:tc>
        <w:tc>
          <w:tcPr>
            <w:tcW w:type="dxa" w:w="2448"/>
            <w:tcMar>
              <w:top w:w="80" w:type="dxa"/>
              <w:start w:w="100" w:type="dxa"/>
              <w:bottom w:w="80" w:type="dxa"/>
              <w:end w:w="100" w:type="dxa"/>
            </w:tcMar>
            <w:vAlign w:val="center"/>
          </w:tcPr>
          <w:p>
            <w:pPr>
              <w:spacing w:line="240" w:lineRule="auto" w:after="0"/>
              <w:ind w:firstLine="0"/>
            </w:pPr>
            <w:r>
              <w:rPr>
                <w:rFonts w:ascii="Times New Roman" w:hAnsi="Times New Roman"/>
                <w:sz w:val="21"/>
              </w:rPr>
              <w:t>Qualified traffic, content completion, brand search</w:t>
            </w:r>
          </w:p>
        </w:tc>
      </w:tr>
      <w:tr>
        <w:tc>
          <w:tcPr>
            <w:tcW w:type="dxa" w:w="2448"/>
            <w:tcMar>
              <w:top w:w="80" w:type="dxa"/>
              <w:start w:w="100" w:type="dxa"/>
              <w:bottom w:w="80" w:type="dxa"/>
              <w:end w:w="100" w:type="dxa"/>
            </w:tcMar>
            <w:vAlign w:val="center"/>
          </w:tcPr>
          <w:p>
            <w:pPr>
              <w:spacing w:line="240" w:lineRule="auto" w:after="0"/>
              <w:ind w:firstLine="0"/>
            </w:pPr>
            <w:r>
              <w:rPr>
                <w:rFonts w:ascii="Times New Roman" w:hAnsi="Times New Roman"/>
                <w:sz w:val="21"/>
              </w:rPr>
              <w:t>People</w:t>
            </w:r>
          </w:p>
        </w:tc>
        <w:tc>
          <w:tcPr>
            <w:tcW w:type="dxa" w:w="2448"/>
            <w:tcMar>
              <w:top w:w="80" w:type="dxa"/>
              <w:start w:w="100" w:type="dxa"/>
              <w:bottom w:w="80" w:type="dxa"/>
              <w:end w:w="100" w:type="dxa"/>
            </w:tcMar>
            <w:vAlign w:val="center"/>
          </w:tcPr>
          <w:p>
            <w:pPr>
              <w:spacing w:line="240" w:lineRule="auto" w:after="0"/>
              <w:ind w:firstLine="0"/>
            </w:pPr>
            <w:r>
              <w:rPr>
                <w:rFonts w:ascii="Times New Roman" w:hAnsi="Times New Roman"/>
                <w:sz w:val="21"/>
              </w:rPr>
              <w:t>Train hosts in service recovery and sustainability interpretation</w:t>
            </w:r>
          </w:p>
        </w:tc>
        <w:tc>
          <w:tcPr>
            <w:tcW w:type="dxa" w:w="2448"/>
            <w:tcMar>
              <w:top w:w="80" w:type="dxa"/>
              <w:start w:w="100" w:type="dxa"/>
              <w:bottom w:w="80" w:type="dxa"/>
              <w:end w:w="100" w:type="dxa"/>
            </w:tcMar>
            <w:vAlign w:val="center"/>
          </w:tcPr>
          <w:p>
            <w:pPr>
              <w:spacing w:line="240" w:lineRule="auto" w:after="0"/>
              <w:ind w:firstLine="0"/>
            </w:pPr>
            <w:r>
              <w:rPr>
                <w:rFonts w:ascii="Times New Roman" w:hAnsi="Times New Roman"/>
                <w:sz w:val="21"/>
              </w:rPr>
              <w:t>Credible, personalised interaction</w:t>
            </w:r>
          </w:p>
        </w:tc>
        <w:tc>
          <w:tcPr>
            <w:tcW w:type="dxa" w:w="2448"/>
            <w:tcMar>
              <w:top w:w="80" w:type="dxa"/>
              <w:start w:w="100" w:type="dxa"/>
              <w:bottom w:w="80" w:type="dxa"/>
              <w:end w:w="100" w:type="dxa"/>
            </w:tcMar>
            <w:vAlign w:val="center"/>
          </w:tcPr>
          <w:p>
            <w:pPr>
              <w:spacing w:line="240" w:lineRule="auto" w:after="0"/>
              <w:ind w:firstLine="0"/>
            </w:pPr>
            <w:r>
              <w:rPr>
                <w:rFonts w:ascii="Times New Roman" w:hAnsi="Times New Roman"/>
                <w:sz w:val="21"/>
              </w:rPr>
              <w:t>Service consistency and advocacy</w:t>
            </w:r>
          </w:p>
        </w:tc>
      </w:tr>
      <w:tr>
        <w:tc>
          <w:tcPr>
            <w:tcW w:type="dxa" w:w="2448"/>
            <w:tcMar>
              <w:top w:w="80" w:type="dxa"/>
              <w:start w:w="100" w:type="dxa"/>
              <w:bottom w:w="80" w:type="dxa"/>
              <w:end w:w="100" w:type="dxa"/>
            </w:tcMar>
            <w:vAlign w:val="center"/>
          </w:tcPr>
          <w:p>
            <w:pPr>
              <w:spacing w:line="240" w:lineRule="auto" w:after="0"/>
              <w:ind w:firstLine="0"/>
            </w:pPr>
            <w:r>
              <w:rPr>
                <w:rFonts w:ascii="Times New Roman" w:hAnsi="Times New Roman"/>
                <w:sz w:val="21"/>
              </w:rPr>
              <w:t>Process</w:t>
            </w:r>
          </w:p>
        </w:tc>
        <w:tc>
          <w:tcPr>
            <w:tcW w:type="dxa" w:w="2448"/>
            <w:tcMar>
              <w:top w:w="80" w:type="dxa"/>
              <w:start w:w="100" w:type="dxa"/>
              <w:bottom w:w="80" w:type="dxa"/>
              <w:end w:w="100" w:type="dxa"/>
            </w:tcMar>
            <w:vAlign w:val="center"/>
          </w:tcPr>
          <w:p>
            <w:pPr>
              <w:spacing w:line="240" w:lineRule="auto" w:after="0"/>
              <w:ind w:firstLine="0"/>
            </w:pPr>
            <w:r>
              <w:rPr>
                <w:rFonts w:ascii="Times New Roman" w:hAnsi="Times New Roman"/>
                <w:sz w:val="21"/>
              </w:rPr>
              <w:t>Use preference data, circular defaults and relevant post-stay CRM</w:t>
            </w:r>
          </w:p>
        </w:tc>
        <w:tc>
          <w:tcPr>
            <w:tcW w:type="dxa" w:w="2448"/>
            <w:tcMar>
              <w:top w:w="80" w:type="dxa"/>
              <w:start w:w="100" w:type="dxa"/>
              <w:bottom w:w="80" w:type="dxa"/>
              <w:end w:w="100" w:type="dxa"/>
            </w:tcMar>
            <w:vAlign w:val="center"/>
          </w:tcPr>
          <w:p>
            <w:pPr>
              <w:spacing w:line="240" w:lineRule="auto" w:after="0"/>
              <w:ind w:firstLine="0"/>
            </w:pPr>
            <w:r>
              <w:rPr>
                <w:rFonts w:ascii="Times New Roman" w:hAnsi="Times New Roman"/>
                <w:sz w:val="21"/>
              </w:rPr>
              <w:t>Low friction and reduced waste</w:t>
            </w:r>
          </w:p>
        </w:tc>
        <w:tc>
          <w:tcPr>
            <w:tcW w:type="dxa" w:w="2448"/>
            <w:tcMar>
              <w:top w:w="80" w:type="dxa"/>
              <w:start w:w="100" w:type="dxa"/>
              <w:bottom w:w="80" w:type="dxa"/>
              <w:end w:w="100" w:type="dxa"/>
            </w:tcMar>
            <w:vAlign w:val="center"/>
          </w:tcPr>
          <w:p>
            <w:pPr>
              <w:spacing w:line="240" w:lineRule="auto" w:after="0"/>
              <w:ind w:firstLine="0"/>
            </w:pPr>
            <w:r>
              <w:rPr>
                <w:rFonts w:ascii="Times New Roman" w:hAnsi="Times New Roman"/>
                <w:sz w:val="21"/>
              </w:rPr>
              <w:t>Response time, waste per guest-night</w:t>
            </w:r>
          </w:p>
        </w:tc>
      </w:tr>
      <w:tr>
        <w:tc>
          <w:tcPr>
            <w:tcW w:type="dxa" w:w="2448"/>
            <w:tcMar>
              <w:top w:w="80" w:type="dxa"/>
              <w:start w:w="100" w:type="dxa"/>
              <w:bottom w:w="80" w:type="dxa"/>
              <w:end w:w="100" w:type="dxa"/>
            </w:tcMar>
            <w:vAlign w:val="center"/>
          </w:tcPr>
          <w:p>
            <w:pPr>
              <w:spacing w:line="240" w:lineRule="auto" w:after="0"/>
              <w:ind w:firstLine="0"/>
            </w:pPr>
            <w:r>
              <w:rPr>
                <w:rFonts w:ascii="Times New Roman" w:hAnsi="Times New Roman"/>
                <w:sz w:val="21"/>
              </w:rPr>
              <w:t>Physical Evidence</w:t>
            </w:r>
          </w:p>
        </w:tc>
        <w:tc>
          <w:tcPr>
            <w:tcW w:type="dxa" w:w="2448"/>
            <w:tcMar>
              <w:top w:w="80" w:type="dxa"/>
              <w:start w:w="100" w:type="dxa"/>
              <w:bottom w:w="80" w:type="dxa"/>
              <w:end w:w="100" w:type="dxa"/>
            </w:tcMar>
            <w:vAlign w:val="center"/>
          </w:tcPr>
          <w:p>
            <w:pPr>
              <w:spacing w:line="240" w:lineRule="auto" w:after="0"/>
              <w:ind w:firstLine="0"/>
            </w:pPr>
            <w:r>
              <w:rPr>
                <w:rFonts w:ascii="Times New Roman" w:hAnsi="Times New Roman"/>
                <w:sz w:val="21"/>
              </w:rPr>
              <w:t>Make environmental systems visible through elegant servicescape cues</w:t>
            </w:r>
          </w:p>
        </w:tc>
        <w:tc>
          <w:tcPr>
            <w:tcW w:type="dxa" w:w="2448"/>
            <w:tcMar>
              <w:top w:w="80" w:type="dxa"/>
              <w:start w:w="100" w:type="dxa"/>
              <w:bottom w:w="80" w:type="dxa"/>
              <w:end w:w="100" w:type="dxa"/>
            </w:tcMar>
            <w:vAlign w:val="center"/>
          </w:tcPr>
          <w:p>
            <w:pPr>
              <w:spacing w:line="240" w:lineRule="auto" w:after="0"/>
              <w:ind w:firstLine="0"/>
            </w:pPr>
            <w:r>
              <w:rPr>
                <w:rFonts w:ascii="Times New Roman" w:hAnsi="Times New Roman"/>
                <w:sz w:val="21"/>
              </w:rPr>
              <w:t>Tangible reassurance</w:t>
            </w:r>
          </w:p>
        </w:tc>
        <w:tc>
          <w:tcPr>
            <w:tcW w:type="dxa" w:w="2448"/>
            <w:tcMar>
              <w:top w:w="80" w:type="dxa"/>
              <w:start w:w="100" w:type="dxa"/>
              <w:bottom w:w="80" w:type="dxa"/>
              <w:end w:w="100" w:type="dxa"/>
            </w:tcMar>
            <w:vAlign w:val="center"/>
          </w:tcPr>
          <w:p>
            <w:pPr>
              <w:spacing w:line="240" w:lineRule="auto" w:after="0"/>
              <w:ind w:firstLine="0"/>
            </w:pPr>
            <w:r>
              <w:rPr>
                <w:rFonts w:ascii="Times New Roman" w:hAnsi="Times New Roman"/>
                <w:sz w:val="21"/>
              </w:rPr>
              <w:t>Guest recognition of stewardship attributes</w:t>
            </w:r>
          </w:p>
        </w:tc>
      </w:tr>
    </w:tbl>
    <w:p>
      <w:pPr>
        <w:spacing w:after="0"/>
      </w:pPr>
    </w:p>
    <w:p>
      <w:pPr>
        <w:pStyle w:val="Heading1"/>
        <w:ind w:firstLine="0"/>
      </w:pPr>
      <w:r>
        <w:t>5. Experience Marketing and Service Design</w:t>
      </w:r>
    </w:p>
    <w:p>
      <w:pPr/>
      <w:r>
        <w:rPr>
          <w:rFonts w:ascii="Times New Roman" w:hAnsi="Times New Roman"/>
          <w:sz w:val="24"/>
        </w:rPr>
        <w:t>Experience marketing should be built around participation, not passive communication. Pine and Gilmore (1998) distinguish memorable experiences from ordinary service delivery; at Soneva Fushi, participation can move the brand from "a resort that has sustainability initiatives" to "a resort where the guest encounters how the island is cared for." The objective is not to make every holiday educational. It is to offer opt-in layers that deepen the stay for guests who want them.</w:t>
      </w:r>
    </w:p>
    <w:p>
      <w:pPr/>
      <w:r>
        <w:rPr>
          <w:rFonts w:ascii="Times New Roman" w:hAnsi="Times New Roman"/>
          <w:sz w:val="24"/>
        </w:rPr>
        <w:t>A recommended signature product is the "Island Stewardship Trail," a flexible sequence rather than a fixed tour. Guests might visit AquaTerra, observe waste transformation, meet a gardener or chef, join a reef activity and end with a private sunset interpretation session. Digital content before and after the stay can frame the experience and update outcomes. The trail would also make the 7Ps easier to coordinate because product, people, process, promotion and physical evidence share the same narrative.</w:t>
      </w:r>
    </w:p>
    <w:p>
      <w:pPr/>
      <w:r>
        <w:rPr>
          <w:rFonts w:ascii="Times New Roman" w:hAnsi="Times New Roman"/>
          <w:sz w:val="24"/>
        </w:rPr>
        <w:t>Customer satisfaction should be measured at moments that matter rather than through one long survey at departure. Micro-feedback after transfer, first-night dining and key experiences can identify recoverable issues. Post-stay research can focus on memory, recommendation and trust. This supports an evidence-based service-design cycle.</w:t>
      </w:r>
    </w:p>
    <w:p>
      <w:pPr>
        <w:pStyle w:val="Heading1"/>
        <w:ind w:firstLine="0"/>
      </w:pPr>
      <w:r>
        <w:t>6. Distribution Pricing Dynamics: Direct Booking Versus OTAs</w:t>
      </w:r>
    </w:p>
    <w:p>
      <w:pPr/>
      <w:r>
        <w:rPr>
          <w:rFonts w:ascii="Times New Roman" w:hAnsi="Times New Roman"/>
          <w:sz w:val="24"/>
        </w:rPr>
        <w:t>OTAs provide reach, comparison convenience and consumer confidence. For a high-value remote resort, they can also introduce travellers who would not initially search the brand directly. The cost is commission, less control over presentation and weaker access to first-party behavioural data. Hotel and OTA channels therefore have a simultaneous cooperative and competitive relationship (Chang et al., 2019).</w:t>
      </w:r>
    </w:p>
    <w:p>
      <w:pPr/>
      <w:r>
        <w:rPr>
          <w:rFonts w:ascii="Times New Roman" w:hAnsi="Times New Roman"/>
          <w:sz w:val="24"/>
        </w:rPr>
        <w:t>Soneva Fushi should not attempt to eliminate intermediaries. Instead, it should assign roles. OTAs can support discovery and selected periods; luxury advisers can convert clients who value reassurance; the brand website should carry the richest content and be optimised for direct conversion; and post-stay CRM should make the second booking more likely to be direct. Channel performance should be compared on net contribution rather than room revenue alone. The relevant calculation is net revenue after commission, paid media, loyalty benefits, service costs and cancellation rates.</w:t>
      </w:r>
    </w:p>
    <w:p>
      <w:pPr/>
      <w:r>
        <w:rPr>
          <w:rFonts w:ascii="Times New Roman" w:hAnsi="Times New Roman"/>
          <w:sz w:val="24"/>
        </w:rPr>
        <w:t>A direct-booking benefit should add service rather than create confusing rate disparities. Examples include a personal itinerary consultation, early access to limited marine sessions or complimentary private transfer coordination. This respects channel partners while giving a rational reason to build a direct relationship.</w:t>
      </w:r>
    </w:p>
    <w:p>
      <w:pPr>
        <w:pStyle w:val="Heading1"/>
        <w:ind w:firstLine="0"/>
      </w:pPr>
      <w:r>
        <w:t>7. Implementation, Budgeting &amp; KPIs</w:t>
      </w:r>
    </w:p>
    <w:p>
      <w:pPr>
        <w:pStyle w:val="Heading2"/>
        <w:ind w:firstLine="0"/>
      </w:pPr>
      <w:r>
        <w:t>7.1 Twelve-month implementation roadmap</w:t>
      </w:r>
    </w:p>
    <w:p>
      <w:pPr/>
      <w:r>
        <w:rPr>
          <w:rFonts w:ascii="Times New Roman" w:hAnsi="Times New Roman"/>
          <w:sz w:val="24"/>
        </w:rPr>
        <w:t>The programme should begin with operational proof before large-scale promotion. Months 1–3 audit sustainability claims, customer journey friction, channel data and staff knowledge. Months 4–6 build content assets, direct-booking tools and the Island Stewardship Trail. Months 7–9 scale targeted media, luxury adviser education and CRM journeys. Months 10–12 optimise using conversion, contribution margin and guest-experience evidence, then publish a concise annual stewardship dashboard.</w:t>
      </w:r>
    </w:p>
    <w:p>
      <w:pPr>
        <w:spacing w:line="240" w:lineRule="auto" w:before="120" w:after="80"/>
        <w:ind w:firstLine="0"/>
        <w:jc w:val="center"/>
      </w:pPr>
      <w:r>
        <w:rPr>
          <w:rFonts w:ascii="Times New Roman" w:hAnsi="Times New Roman"/>
          <w:b/>
          <w:sz w:val="22"/>
        </w:rPr>
        <w:t>Table 4. Proposed twelve-month budget</w:t>
      </w:r>
    </w:p>
    <w:tbl>
      <w:tblPr>
        <w:tblStyle w:val="TableGrid"/>
        <w:tblW w:type="auto" w:w="0"/>
        <w:jc w:val="center"/>
        <w:tblLayout w:type="autofit"/>
        <w:tblLook w:firstColumn="1" w:firstRow="1" w:lastColumn="0" w:lastRow="0" w:noHBand="0" w:noVBand="1" w:val="04A0"/>
      </w:tblPr>
      <w:tblGrid>
        <w:gridCol w:w="3264"/>
        <w:gridCol w:w="3264"/>
        <w:gridCol w:w="3264"/>
      </w:tblGrid>
      <w:tr>
        <w:tc>
          <w:tcPr>
            <w:tcW w:type="dxa" w:w="3264"/>
            <w:shd w:fill="D9E6F2"/>
            <w:tcMar>
              <w:top w:w="80" w:type="dxa"/>
              <w:start w:w="100" w:type="dxa"/>
              <w:bottom w:w="80" w:type="dxa"/>
              <w:end w:w="100" w:type="dxa"/>
            </w:tcMar>
            <w:vAlign w:val="center"/>
          </w:tcPr>
          <w:p>
            <w:pPr>
              <w:spacing w:line="240" w:lineRule="auto" w:after="0"/>
              <w:ind w:firstLine="0"/>
              <w:jc w:val="center"/>
            </w:pPr>
            <w:r>
              <w:rPr>
                <w:rFonts w:ascii="Times New Roman" w:hAnsi="Times New Roman"/>
                <w:b/>
                <w:sz w:val="21"/>
              </w:rPr>
              <w:t>Investment area</w:t>
            </w:r>
          </w:p>
        </w:tc>
        <w:tc>
          <w:tcPr>
            <w:tcW w:type="dxa" w:w="3264"/>
            <w:shd w:fill="D9E6F2"/>
            <w:tcMar>
              <w:top w:w="80" w:type="dxa"/>
              <w:start w:w="100" w:type="dxa"/>
              <w:bottom w:w="80" w:type="dxa"/>
              <w:end w:w="100" w:type="dxa"/>
            </w:tcMar>
            <w:vAlign w:val="center"/>
          </w:tcPr>
          <w:p>
            <w:pPr>
              <w:spacing w:line="240" w:lineRule="auto" w:after="0"/>
              <w:ind w:firstLine="0"/>
              <w:jc w:val="center"/>
            </w:pPr>
            <w:r>
              <w:rPr>
                <w:rFonts w:ascii="Times New Roman" w:hAnsi="Times New Roman"/>
                <w:b/>
                <w:sz w:val="21"/>
              </w:rPr>
              <w:t>Proposed budget (US$)</w:t>
            </w:r>
          </w:p>
        </w:tc>
        <w:tc>
          <w:tcPr>
            <w:tcW w:type="dxa" w:w="3264"/>
            <w:shd w:fill="D9E6F2"/>
            <w:tcMar>
              <w:top w:w="80" w:type="dxa"/>
              <w:start w:w="100" w:type="dxa"/>
              <w:bottom w:w="80" w:type="dxa"/>
              <w:end w:w="100" w:type="dxa"/>
            </w:tcMar>
            <w:vAlign w:val="center"/>
          </w:tcPr>
          <w:p>
            <w:pPr>
              <w:spacing w:line="240" w:lineRule="auto" w:after="0"/>
              <w:ind w:firstLine="0"/>
              <w:jc w:val="center"/>
            </w:pPr>
            <w:r>
              <w:rPr>
                <w:rFonts w:ascii="Times New Roman" w:hAnsi="Times New Roman"/>
                <w:b/>
                <w:sz w:val="21"/>
              </w:rPr>
              <w:t>Purpose</w:t>
            </w:r>
          </w:p>
        </w:tc>
      </w:tr>
      <w:tr>
        <w:tc>
          <w:tcPr>
            <w:tcW w:type="dxa" w:w="3264"/>
            <w:tcMar>
              <w:top w:w="80" w:type="dxa"/>
              <w:start w:w="100" w:type="dxa"/>
              <w:bottom w:w="80" w:type="dxa"/>
              <w:end w:w="100" w:type="dxa"/>
            </w:tcMar>
            <w:vAlign w:val="center"/>
          </w:tcPr>
          <w:p>
            <w:pPr>
              <w:spacing w:line="240" w:lineRule="auto" w:after="0"/>
              <w:ind w:firstLine="0"/>
            </w:pPr>
            <w:r>
              <w:rPr>
                <w:rFonts w:ascii="Times New Roman" w:hAnsi="Times New Roman"/>
                <w:sz w:val="21"/>
              </w:rPr>
              <w:t>Content production and documentary storytelling</w:t>
            </w:r>
          </w:p>
        </w:tc>
        <w:tc>
          <w:tcPr>
            <w:tcW w:type="dxa" w:w="3264"/>
            <w:tcMar>
              <w:top w:w="80" w:type="dxa"/>
              <w:start w:w="100" w:type="dxa"/>
              <w:bottom w:w="80" w:type="dxa"/>
              <w:end w:w="100" w:type="dxa"/>
            </w:tcMar>
            <w:vAlign w:val="center"/>
          </w:tcPr>
          <w:p>
            <w:pPr>
              <w:spacing w:line="240" w:lineRule="auto" w:after="0"/>
              <w:ind w:firstLine="0"/>
            </w:pPr>
            <w:r>
              <w:rPr>
                <w:rFonts w:ascii="Times New Roman" w:hAnsi="Times New Roman"/>
                <w:sz w:val="21"/>
              </w:rPr>
              <w:t>650,000</w:t>
            </w:r>
          </w:p>
        </w:tc>
        <w:tc>
          <w:tcPr>
            <w:tcW w:type="dxa" w:w="3264"/>
            <w:tcMar>
              <w:top w:w="80" w:type="dxa"/>
              <w:start w:w="100" w:type="dxa"/>
              <w:bottom w:w="80" w:type="dxa"/>
              <w:end w:w="100" w:type="dxa"/>
            </w:tcMar>
            <w:vAlign w:val="center"/>
          </w:tcPr>
          <w:p>
            <w:pPr>
              <w:spacing w:line="240" w:lineRule="auto" w:after="0"/>
              <w:ind w:firstLine="0"/>
            </w:pPr>
            <w:r>
              <w:rPr>
                <w:rFonts w:ascii="Times New Roman" w:hAnsi="Times New Roman"/>
                <w:sz w:val="21"/>
              </w:rPr>
              <w:t>Create credible visual proof and reusable campaign assets</w:t>
            </w:r>
          </w:p>
        </w:tc>
      </w:tr>
      <w:tr>
        <w:tc>
          <w:tcPr>
            <w:tcW w:type="dxa" w:w="3264"/>
            <w:tcMar>
              <w:top w:w="80" w:type="dxa"/>
              <w:start w:w="100" w:type="dxa"/>
              <w:bottom w:w="80" w:type="dxa"/>
              <w:end w:w="100" w:type="dxa"/>
            </w:tcMar>
            <w:vAlign w:val="center"/>
          </w:tcPr>
          <w:p>
            <w:pPr>
              <w:spacing w:line="240" w:lineRule="auto" w:after="0"/>
              <w:ind w:firstLine="0"/>
            </w:pPr>
            <w:r>
              <w:rPr>
                <w:rFonts w:ascii="Times New Roman" w:hAnsi="Times New Roman"/>
                <w:sz w:val="21"/>
              </w:rPr>
              <w:t>Performance media and search</w:t>
            </w:r>
          </w:p>
        </w:tc>
        <w:tc>
          <w:tcPr>
            <w:tcW w:type="dxa" w:w="3264"/>
            <w:tcMar>
              <w:top w:w="80" w:type="dxa"/>
              <w:start w:w="100" w:type="dxa"/>
              <w:bottom w:w="80" w:type="dxa"/>
              <w:end w:w="100" w:type="dxa"/>
            </w:tcMar>
            <w:vAlign w:val="center"/>
          </w:tcPr>
          <w:p>
            <w:pPr>
              <w:spacing w:line="240" w:lineRule="auto" w:after="0"/>
              <w:ind w:firstLine="0"/>
            </w:pPr>
            <w:r>
              <w:rPr>
                <w:rFonts w:ascii="Times New Roman" w:hAnsi="Times New Roman"/>
                <w:sz w:val="21"/>
              </w:rPr>
              <w:t>700,000</w:t>
            </w:r>
          </w:p>
        </w:tc>
        <w:tc>
          <w:tcPr>
            <w:tcW w:type="dxa" w:w="3264"/>
            <w:tcMar>
              <w:top w:w="80" w:type="dxa"/>
              <w:start w:w="100" w:type="dxa"/>
              <w:bottom w:w="80" w:type="dxa"/>
              <w:end w:w="100" w:type="dxa"/>
            </w:tcMar>
            <w:vAlign w:val="center"/>
          </w:tcPr>
          <w:p>
            <w:pPr>
              <w:spacing w:line="240" w:lineRule="auto" w:after="0"/>
              <w:ind w:firstLine="0"/>
            </w:pPr>
            <w:r>
              <w:rPr>
                <w:rFonts w:ascii="Times New Roman" w:hAnsi="Times New Roman"/>
                <w:sz w:val="21"/>
              </w:rPr>
              <w:t>Acquire high-intent demand in priority source markets</w:t>
            </w:r>
          </w:p>
        </w:tc>
      </w:tr>
      <w:tr>
        <w:tc>
          <w:tcPr>
            <w:tcW w:type="dxa" w:w="3264"/>
            <w:tcMar>
              <w:top w:w="80" w:type="dxa"/>
              <w:start w:w="100" w:type="dxa"/>
              <w:bottom w:w="80" w:type="dxa"/>
              <w:end w:w="100" w:type="dxa"/>
            </w:tcMar>
            <w:vAlign w:val="center"/>
          </w:tcPr>
          <w:p>
            <w:pPr>
              <w:spacing w:line="240" w:lineRule="auto" w:after="0"/>
              <w:ind w:firstLine="0"/>
            </w:pPr>
            <w:r>
              <w:rPr>
                <w:rFonts w:ascii="Times New Roman" w:hAnsi="Times New Roman"/>
                <w:sz w:val="21"/>
              </w:rPr>
              <w:t>Luxury adviser and partner programme</w:t>
            </w:r>
          </w:p>
        </w:tc>
        <w:tc>
          <w:tcPr>
            <w:tcW w:type="dxa" w:w="3264"/>
            <w:tcMar>
              <w:top w:w="80" w:type="dxa"/>
              <w:start w:w="100" w:type="dxa"/>
              <w:bottom w:w="80" w:type="dxa"/>
              <w:end w:w="100" w:type="dxa"/>
            </w:tcMar>
            <w:vAlign w:val="center"/>
          </w:tcPr>
          <w:p>
            <w:pPr>
              <w:spacing w:line="240" w:lineRule="auto" w:after="0"/>
              <w:ind w:firstLine="0"/>
            </w:pPr>
            <w:r>
              <w:rPr>
                <w:rFonts w:ascii="Times New Roman" w:hAnsi="Times New Roman"/>
                <w:sz w:val="21"/>
              </w:rPr>
              <w:t>350,000</w:t>
            </w:r>
          </w:p>
        </w:tc>
        <w:tc>
          <w:tcPr>
            <w:tcW w:type="dxa" w:w="3264"/>
            <w:tcMar>
              <w:top w:w="80" w:type="dxa"/>
              <w:start w:w="100" w:type="dxa"/>
              <w:bottom w:w="80" w:type="dxa"/>
              <w:end w:w="100" w:type="dxa"/>
            </w:tcMar>
            <w:vAlign w:val="center"/>
          </w:tcPr>
          <w:p>
            <w:pPr>
              <w:spacing w:line="240" w:lineRule="auto" w:after="0"/>
              <w:ind w:firstLine="0"/>
            </w:pPr>
            <w:r>
              <w:rPr>
                <w:rFonts w:ascii="Times New Roman" w:hAnsi="Times New Roman"/>
                <w:sz w:val="21"/>
              </w:rPr>
              <w:t>Training, co-marketing and high-touch conversion</w:t>
            </w:r>
          </w:p>
        </w:tc>
      </w:tr>
      <w:tr>
        <w:tc>
          <w:tcPr>
            <w:tcW w:type="dxa" w:w="3264"/>
            <w:tcMar>
              <w:top w:w="80" w:type="dxa"/>
              <w:start w:w="100" w:type="dxa"/>
              <w:bottom w:w="80" w:type="dxa"/>
              <w:end w:w="100" w:type="dxa"/>
            </w:tcMar>
            <w:vAlign w:val="center"/>
          </w:tcPr>
          <w:p>
            <w:pPr>
              <w:spacing w:line="240" w:lineRule="auto" w:after="0"/>
              <w:ind w:firstLine="0"/>
            </w:pPr>
            <w:r>
              <w:rPr>
                <w:rFonts w:ascii="Times New Roman" w:hAnsi="Times New Roman"/>
                <w:sz w:val="21"/>
              </w:rPr>
              <w:t>Website, CRM and conversion optimisation</w:t>
            </w:r>
          </w:p>
        </w:tc>
        <w:tc>
          <w:tcPr>
            <w:tcW w:type="dxa" w:w="3264"/>
            <w:tcMar>
              <w:top w:w="80" w:type="dxa"/>
              <w:start w:w="100" w:type="dxa"/>
              <w:bottom w:w="80" w:type="dxa"/>
              <w:end w:w="100" w:type="dxa"/>
            </w:tcMar>
            <w:vAlign w:val="center"/>
          </w:tcPr>
          <w:p>
            <w:pPr>
              <w:spacing w:line="240" w:lineRule="auto" w:after="0"/>
              <w:ind w:firstLine="0"/>
            </w:pPr>
            <w:r>
              <w:rPr>
                <w:rFonts w:ascii="Times New Roman" w:hAnsi="Times New Roman"/>
                <w:sz w:val="21"/>
              </w:rPr>
              <w:t>420,000</w:t>
            </w:r>
          </w:p>
        </w:tc>
        <w:tc>
          <w:tcPr>
            <w:tcW w:type="dxa" w:w="3264"/>
            <w:tcMar>
              <w:top w:w="80" w:type="dxa"/>
              <w:start w:w="100" w:type="dxa"/>
              <w:bottom w:w="80" w:type="dxa"/>
              <w:end w:w="100" w:type="dxa"/>
            </w:tcMar>
            <w:vAlign w:val="center"/>
          </w:tcPr>
          <w:p>
            <w:pPr>
              <w:spacing w:line="240" w:lineRule="auto" w:after="0"/>
              <w:ind w:firstLine="0"/>
            </w:pPr>
            <w:r>
              <w:rPr>
                <w:rFonts w:ascii="Times New Roman" w:hAnsi="Times New Roman"/>
                <w:sz w:val="21"/>
              </w:rPr>
              <w:t>Improve direct booking, personalisation and lifecycle communication</w:t>
            </w:r>
          </w:p>
        </w:tc>
      </w:tr>
      <w:tr>
        <w:tc>
          <w:tcPr>
            <w:tcW w:type="dxa" w:w="3264"/>
            <w:tcMar>
              <w:top w:w="80" w:type="dxa"/>
              <w:start w:w="100" w:type="dxa"/>
              <w:bottom w:w="80" w:type="dxa"/>
              <w:end w:w="100" w:type="dxa"/>
            </w:tcMar>
            <w:vAlign w:val="center"/>
          </w:tcPr>
          <w:p>
            <w:pPr>
              <w:spacing w:line="240" w:lineRule="auto" w:after="0"/>
              <w:ind w:firstLine="0"/>
            </w:pPr>
            <w:r>
              <w:rPr>
                <w:rFonts w:ascii="Times New Roman" w:hAnsi="Times New Roman"/>
                <w:sz w:val="21"/>
              </w:rPr>
              <w:t>Guest experience/service design pilots</w:t>
            </w:r>
          </w:p>
        </w:tc>
        <w:tc>
          <w:tcPr>
            <w:tcW w:type="dxa" w:w="3264"/>
            <w:tcMar>
              <w:top w:w="80" w:type="dxa"/>
              <w:start w:w="100" w:type="dxa"/>
              <w:bottom w:w="80" w:type="dxa"/>
              <w:end w:w="100" w:type="dxa"/>
            </w:tcMar>
            <w:vAlign w:val="center"/>
          </w:tcPr>
          <w:p>
            <w:pPr>
              <w:spacing w:line="240" w:lineRule="auto" w:after="0"/>
              <w:ind w:firstLine="0"/>
            </w:pPr>
            <w:r>
              <w:rPr>
                <w:rFonts w:ascii="Times New Roman" w:hAnsi="Times New Roman"/>
                <w:sz w:val="21"/>
              </w:rPr>
              <w:t>410,000</w:t>
            </w:r>
          </w:p>
        </w:tc>
        <w:tc>
          <w:tcPr>
            <w:tcW w:type="dxa" w:w="3264"/>
            <w:tcMar>
              <w:top w:w="80" w:type="dxa"/>
              <w:start w:w="100" w:type="dxa"/>
              <w:bottom w:w="80" w:type="dxa"/>
              <w:end w:w="100" w:type="dxa"/>
            </w:tcMar>
            <w:vAlign w:val="center"/>
          </w:tcPr>
          <w:p>
            <w:pPr>
              <w:spacing w:line="240" w:lineRule="auto" w:after="0"/>
              <w:ind w:firstLine="0"/>
            </w:pPr>
            <w:r>
              <w:rPr>
                <w:rFonts w:ascii="Times New Roman" w:hAnsi="Times New Roman"/>
                <w:sz w:val="21"/>
              </w:rPr>
              <w:t>Develop Island Stewardship Trail and supporting touchpoints</w:t>
            </w:r>
          </w:p>
        </w:tc>
      </w:tr>
      <w:tr>
        <w:tc>
          <w:tcPr>
            <w:tcW w:type="dxa" w:w="3264"/>
            <w:tcMar>
              <w:top w:w="80" w:type="dxa"/>
              <w:start w:w="100" w:type="dxa"/>
              <w:bottom w:w="80" w:type="dxa"/>
              <w:end w:w="100" w:type="dxa"/>
            </w:tcMar>
            <w:vAlign w:val="center"/>
          </w:tcPr>
          <w:p>
            <w:pPr>
              <w:spacing w:line="240" w:lineRule="auto" w:after="0"/>
              <w:ind w:firstLine="0"/>
            </w:pPr>
            <w:r>
              <w:rPr>
                <w:rFonts w:ascii="Times New Roman" w:hAnsi="Times New Roman"/>
                <w:sz w:val="21"/>
              </w:rPr>
              <w:t>Training and employee engagement</w:t>
            </w:r>
          </w:p>
        </w:tc>
        <w:tc>
          <w:tcPr>
            <w:tcW w:type="dxa" w:w="3264"/>
            <w:tcMar>
              <w:top w:w="80" w:type="dxa"/>
              <w:start w:w="100" w:type="dxa"/>
              <w:bottom w:w="80" w:type="dxa"/>
              <w:end w:w="100" w:type="dxa"/>
            </w:tcMar>
            <w:vAlign w:val="center"/>
          </w:tcPr>
          <w:p>
            <w:pPr>
              <w:spacing w:line="240" w:lineRule="auto" w:after="0"/>
              <w:ind w:firstLine="0"/>
            </w:pPr>
            <w:r>
              <w:rPr>
                <w:rFonts w:ascii="Times New Roman" w:hAnsi="Times New Roman"/>
                <w:sz w:val="21"/>
              </w:rPr>
              <w:t>220,000</w:t>
            </w:r>
          </w:p>
        </w:tc>
        <w:tc>
          <w:tcPr>
            <w:tcW w:type="dxa" w:w="3264"/>
            <w:tcMar>
              <w:top w:w="80" w:type="dxa"/>
              <w:start w:w="100" w:type="dxa"/>
              <w:bottom w:w="80" w:type="dxa"/>
              <w:end w:w="100" w:type="dxa"/>
            </w:tcMar>
            <w:vAlign w:val="center"/>
          </w:tcPr>
          <w:p>
            <w:pPr>
              <w:spacing w:line="240" w:lineRule="auto" w:after="0"/>
              <w:ind w:firstLine="0"/>
            </w:pPr>
            <w:r>
              <w:rPr>
                <w:rFonts w:ascii="Times New Roman" w:hAnsi="Times New Roman"/>
                <w:sz w:val="21"/>
              </w:rPr>
              <w:t>Service recovery, sustainability interpretation and consistency</w:t>
            </w:r>
          </w:p>
        </w:tc>
      </w:tr>
      <w:tr>
        <w:tc>
          <w:tcPr>
            <w:tcW w:type="dxa" w:w="3264"/>
            <w:tcMar>
              <w:top w:w="80" w:type="dxa"/>
              <w:start w:w="100" w:type="dxa"/>
              <w:bottom w:w="80" w:type="dxa"/>
              <w:end w:w="100" w:type="dxa"/>
            </w:tcMar>
            <w:vAlign w:val="center"/>
          </w:tcPr>
          <w:p>
            <w:pPr>
              <w:spacing w:line="240" w:lineRule="auto" w:after="0"/>
              <w:ind w:firstLine="0"/>
            </w:pPr>
            <w:r>
              <w:rPr>
                <w:rFonts w:ascii="Times New Roman" w:hAnsi="Times New Roman"/>
                <w:sz w:val="21"/>
              </w:rPr>
              <w:t>Measurement, research and reputation monitoring</w:t>
            </w:r>
          </w:p>
        </w:tc>
        <w:tc>
          <w:tcPr>
            <w:tcW w:type="dxa" w:w="3264"/>
            <w:tcMar>
              <w:top w:w="80" w:type="dxa"/>
              <w:start w:w="100" w:type="dxa"/>
              <w:bottom w:w="80" w:type="dxa"/>
              <w:end w:w="100" w:type="dxa"/>
            </w:tcMar>
            <w:vAlign w:val="center"/>
          </w:tcPr>
          <w:p>
            <w:pPr>
              <w:spacing w:line="240" w:lineRule="auto" w:after="0"/>
              <w:ind w:firstLine="0"/>
            </w:pPr>
            <w:r>
              <w:rPr>
                <w:rFonts w:ascii="Times New Roman" w:hAnsi="Times New Roman"/>
                <w:sz w:val="21"/>
              </w:rPr>
              <w:t>180,000</w:t>
            </w:r>
          </w:p>
        </w:tc>
        <w:tc>
          <w:tcPr>
            <w:tcW w:type="dxa" w:w="3264"/>
            <w:tcMar>
              <w:top w:w="80" w:type="dxa"/>
              <w:start w:w="100" w:type="dxa"/>
              <w:bottom w:w="80" w:type="dxa"/>
              <w:end w:w="100" w:type="dxa"/>
            </w:tcMar>
            <w:vAlign w:val="center"/>
          </w:tcPr>
          <w:p>
            <w:pPr>
              <w:spacing w:line="240" w:lineRule="auto" w:after="0"/>
              <w:ind w:firstLine="0"/>
            </w:pPr>
            <w:r>
              <w:rPr>
                <w:rFonts w:ascii="Times New Roman" w:hAnsi="Times New Roman"/>
                <w:sz w:val="21"/>
              </w:rPr>
              <w:t>Brand lift, attribution, review analysis and claim monitoring</w:t>
            </w:r>
          </w:p>
        </w:tc>
      </w:tr>
      <w:tr>
        <w:tc>
          <w:tcPr>
            <w:tcW w:type="dxa" w:w="3264"/>
            <w:tcMar>
              <w:top w:w="80" w:type="dxa"/>
              <w:start w:w="100" w:type="dxa"/>
              <w:bottom w:w="80" w:type="dxa"/>
              <w:end w:w="100" w:type="dxa"/>
            </w:tcMar>
            <w:vAlign w:val="center"/>
          </w:tcPr>
          <w:p>
            <w:pPr>
              <w:spacing w:line="240" w:lineRule="auto" w:after="0"/>
              <w:ind w:firstLine="0"/>
            </w:pPr>
            <w:r>
              <w:rPr>
                <w:rFonts w:ascii="Times New Roman" w:hAnsi="Times New Roman"/>
                <w:sz w:val="21"/>
              </w:rPr>
              <w:t>Contingency and test-and-learn fund</w:t>
            </w:r>
          </w:p>
        </w:tc>
        <w:tc>
          <w:tcPr>
            <w:tcW w:type="dxa" w:w="3264"/>
            <w:tcMar>
              <w:top w:w="80" w:type="dxa"/>
              <w:start w:w="100" w:type="dxa"/>
              <w:bottom w:w="80" w:type="dxa"/>
              <w:end w:w="100" w:type="dxa"/>
            </w:tcMar>
            <w:vAlign w:val="center"/>
          </w:tcPr>
          <w:p>
            <w:pPr>
              <w:spacing w:line="240" w:lineRule="auto" w:after="0"/>
              <w:ind w:firstLine="0"/>
            </w:pPr>
            <w:r>
              <w:rPr>
                <w:rFonts w:ascii="Times New Roman" w:hAnsi="Times New Roman"/>
                <w:sz w:val="21"/>
              </w:rPr>
              <w:t>220,000</w:t>
            </w:r>
          </w:p>
        </w:tc>
        <w:tc>
          <w:tcPr>
            <w:tcW w:type="dxa" w:w="3264"/>
            <w:tcMar>
              <w:top w:w="80" w:type="dxa"/>
              <w:start w:w="100" w:type="dxa"/>
              <w:bottom w:w="80" w:type="dxa"/>
              <w:end w:w="100" w:type="dxa"/>
            </w:tcMar>
            <w:vAlign w:val="center"/>
          </w:tcPr>
          <w:p>
            <w:pPr>
              <w:spacing w:line="240" w:lineRule="auto" w:after="0"/>
              <w:ind w:firstLine="0"/>
            </w:pPr>
            <w:r>
              <w:rPr>
                <w:rFonts w:ascii="Times New Roman" w:hAnsi="Times New Roman"/>
                <w:sz w:val="21"/>
              </w:rPr>
              <w:t>Respond to seasonality, platform shifts and new opportunities</w:t>
            </w:r>
          </w:p>
        </w:tc>
      </w:tr>
      <w:tr>
        <w:tc>
          <w:tcPr>
            <w:tcW w:type="dxa" w:w="3264"/>
            <w:tcMar>
              <w:top w:w="80" w:type="dxa"/>
              <w:start w:w="100" w:type="dxa"/>
              <w:bottom w:w="80" w:type="dxa"/>
              <w:end w:w="100" w:type="dxa"/>
            </w:tcMar>
            <w:vAlign w:val="center"/>
          </w:tcPr>
          <w:p>
            <w:pPr>
              <w:spacing w:line="240" w:lineRule="auto" w:after="0"/>
              <w:ind w:firstLine="0"/>
            </w:pPr>
            <w:r>
              <w:rPr>
                <w:rFonts w:ascii="Times New Roman" w:hAnsi="Times New Roman"/>
                <w:sz w:val="21"/>
              </w:rPr>
              <w:t>Total</w:t>
            </w:r>
          </w:p>
        </w:tc>
        <w:tc>
          <w:tcPr>
            <w:tcW w:type="dxa" w:w="3264"/>
            <w:tcMar>
              <w:top w:w="80" w:type="dxa"/>
              <w:start w:w="100" w:type="dxa"/>
              <w:bottom w:w="80" w:type="dxa"/>
              <w:end w:w="100" w:type="dxa"/>
            </w:tcMar>
            <w:vAlign w:val="center"/>
          </w:tcPr>
          <w:p>
            <w:pPr>
              <w:spacing w:line="240" w:lineRule="auto" w:after="0"/>
              <w:ind w:firstLine="0"/>
            </w:pPr>
            <w:r>
              <w:rPr>
                <w:rFonts w:ascii="Times New Roman" w:hAnsi="Times New Roman"/>
                <w:sz w:val="21"/>
              </w:rPr>
              <w:t>3,150,000</w:t>
            </w:r>
          </w:p>
        </w:tc>
        <w:tc>
          <w:tcPr>
            <w:tcW w:type="dxa" w:w="3264"/>
            <w:tcMar>
              <w:top w:w="80" w:type="dxa"/>
              <w:start w:w="100" w:type="dxa"/>
              <w:bottom w:w="80" w:type="dxa"/>
              <w:end w:w="100" w:type="dxa"/>
            </w:tcMar>
            <w:vAlign w:val="center"/>
          </w:tcPr>
          <w:p>
            <w:pPr>
              <w:spacing w:line="240" w:lineRule="auto" w:after="0"/>
              <w:ind w:firstLine="0"/>
            </w:pPr>
            <w:r>
              <w:rPr>
                <w:rFonts w:ascii="Times New Roman" w:hAnsi="Times New Roman"/>
                <w:sz w:val="21"/>
              </w:rPr>
              <w:t>Integrated marketing and experience-development investment</w:t>
            </w:r>
          </w:p>
        </w:tc>
      </w:tr>
    </w:tbl>
    <w:p>
      <w:pPr>
        <w:spacing w:after="0"/>
      </w:pPr>
    </w:p>
    <w:p>
      <w:pPr/>
      <w:r>
        <w:rPr>
          <w:rFonts w:ascii="Times New Roman" w:hAnsi="Times New Roman"/>
          <w:sz w:val="24"/>
        </w:rPr>
        <w:t>The budget is illustrative and should be recalibrated against actual room inventory, source-market profitability and existing corporate spend. Its strategic logic is more important than the absolute figure: money is reserved for service design and measurement, not only advertising.</w:t>
      </w:r>
    </w:p>
    <w:p>
      <w:pPr>
        <w:pStyle w:val="Heading2"/>
        <w:ind w:firstLine="0"/>
      </w:pPr>
      <w:r>
        <w:t>7.2 KPI framework</w:t>
      </w:r>
    </w:p>
    <w:p>
      <w:pPr/>
      <w:r>
        <w:rPr>
          <w:rFonts w:ascii="Times New Roman" w:hAnsi="Times New Roman"/>
          <w:sz w:val="24"/>
        </w:rPr>
        <w:t>Marketing effectiveness should be judged across acquisition, relationship, experience and stewardship. Financial measures alone may encourage short-term discounting, while environmental measures alone may ignore commercial sustainability. A balanced scorecard is therefore appropriate.</w:t>
      </w:r>
    </w:p>
    <w:p>
      <w:pPr>
        <w:spacing w:line="240" w:lineRule="auto" w:before="120" w:after="80"/>
        <w:ind w:firstLine="0"/>
        <w:jc w:val="center"/>
      </w:pPr>
      <w:r>
        <w:rPr>
          <w:rFonts w:ascii="Times New Roman" w:hAnsi="Times New Roman"/>
          <w:b/>
          <w:sz w:val="22"/>
        </w:rPr>
        <w:t>Table 5. KPI scorecard</w:t>
      </w:r>
    </w:p>
    <w:tbl>
      <w:tblPr>
        <w:tblStyle w:val="TableGrid"/>
        <w:tblW w:type="auto" w:w="0"/>
        <w:jc w:val="center"/>
        <w:tblLayout w:type="autofit"/>
        <w:tblLook w:firstColumn="1" w:firstRow="1" w:lastColumn="0" w:lastRow="0" w:noHBand="0" w:noVBand="1" w:val="04A0"/>
      </w:tblPr>
      <w:tblGrid>
        <w:gridCol w:w="3264"/>
        <w:gridCol w:w="3264"/>
        <w:gridCol w:w="3264"/>
      </w:tblGrid>
      <w:tr>
        <w:tc>
          <w:tcPr>
            <w:tcW w:type="dxa" w:w="3264"/>
            <w:shd w:fill="D9E6F2"/>
            <w:tcMar>
              <w:top w:w="80" w:type="dxa"/>
              <w:start w:w="100" w:type="dxa"/>
              <w:bottom w:w="80" w:type="dxa"/>
              <w:end w:w="100" w:type="dxa"/>
            </w:tcMar>
            <w:vAlign w:val="center"/>
          </w:tcPr>
          <w:p>
            <w:pPr>
              <w:spacing w:line="240" w:lineRule="auto" w:after="0"/>
              <w:ind w:firstLine="0"/>
              <w:jc w:val="center"/>
            </w:pPr>
            <w:r>
              <w:rPr>
                <w:rFonts w:ascii="Times New Roman" w:hAnsi="Times New Roman"/>
                <w:b/>
                <w:sz w:val="21"/>
              </w:rPr>
              <w:t>Objective</w:t>
            </w:r>
          </w:p>
        </w:tc>
        <w:tc>
          <w:tcPr>
            <w:tcW w:type="dxa" w:w="3264"/>
            <w:shd w:fill="D9E6F2"/>
            <w:tcMar>
              <w:top w:w="80" w:type="dxa"/>
              <w:start w:w="100" w:type="dxa"/>
              <w:bottom w:w="80" w:type="dxa"/>
              <w:end w:w="100" w:type="dxa"/>
            </w:tcMar>
            <w:vAlign w:val="center"/>
          </w:tcPr>
          <w:p>
            <w:pPr>
              <w:spacing w:line="240" w:lineRule="auto" w:after="0"/>
              <w:ind w:firstLine="0"/>
              <w:jc w:val="center"/>
            </w:pPr>
            <w:r>
              <w:rPr>
                <w:rFonts w:ascii="Times New Roman" w:hAnsi="Times New Roman"/>
                <w:b/>
                <w:sz w:val="21"/>
              </w:rPr>
              <w:t>KPI</w:t>
            </w:r>
          </w:p>
        </w:tc>
        <w:tc>
          <w:tcPr>
            <w:tcW w:type="dxa" w:w="3264"/>
            <w:shd w:fill="D9E6F2"/>
            <w:tcMar>
              <w:top w:w="80" w:type="dxa"/>
              <w:start w:w="100" w:type="dxa"/>
              <w:bottom w:w="80" w:type="dxa"/>
              <w:end w:w="100" w:type="dxa"/>
            </w:tcMar>
            <w:vAlign w:val="center"/>
          </w:tcPr>
          <w:p>
            <w:pPr>
              <w:spacing w:line="240" w:lineRule="auto" w:after="0"/>
              <w:ind w:firstLine="0"/>
              <w:jc w:val="center"/>
            </w:pPr>
            <w:r>
              <w:rPr>
                <w:rFonts w:ascii="Times New Roman" w:hAnsi="Times New Roman"/>
                <w:b/>
                <w:sz w:val="21"/>
              </w:rPr>
              <w:t>12-month directional target</w:t>
            </w:r>
          </w:p>
        </w:tc>
      </w:tr>
      <w:tr>
        <w:tc>
          <w:tcPr>
            <w:tcW w:type="dxa" w:w="3264"/>
            <w:tcMar>
              <w:top w:w="80" w:type="dxa"/>
              <w:start w:w="100" w:type="dxa"/>
              <w:bottom w:w="80" w:type="dxa"/>
              <w:end w:w="100" w:type="dxa"/>
            </w:tcMar>
            <w:vAlign w:val="center"/>
          </w:tcPr>
          <w:p>
            <w:pPr>
              <w:spacing w:line="240" w:lineRule="auto" w:after="0"/>
              <w:ind w:firstLine="0"/>
            </w:pPr>
            <w:r>
              <w:rPr>
                <w:rFonts w:ascii="Times New Roman" w:hAnsi="Times New Roman"/>
                <w:sz w:val="21"/>
              </w:rPr>
              <w:t>Strengthen direct demand</w:t>
            </w:r>
          </w:p>
        </w:tc>
        <w:tc>
          <w:tcPr>
            <w:tcW w:type="dxa" w:w="3264"/>
            <w:tcMar>
              <w:top w:w="80" w:type="dxa"/>
              <w:start w:w="100" w:type="dxa"/>
              <w:bottom w:w="80" w:type="dxa"/>
              <w:end w:w="100" w:type="dxa"/>
            </w:tcMar>
            <w:vAlign w:val="center"/>
          </w:tcPr>
          <w:p>
            <w:pPr>
              <w:spacing w:line="240" w:lineRule="auto" w:after="0"/>
              <w:ind w:firstLine="0"/>
            </w:pPr>
            <w:r>
              <w:rPr>
                <w:rFonts w:ascii="Times New Roman" w:hAnsi="Times New Roman"/>
                <w:sz w:val="21"/>
              </w:rPr>
              <w:t>Direct-booking share</w:t>
            </w:r>
          </w:p>
        </w:tc>
        <w:tc>
          <w:tcPr>
            <w:tcW w:type="dxa" w:w="3264"/>
            <w:tcMar>
              <w:top w:w="80" w:type="dxa"/>
              <w:start w:w="100" w:type="dxa"/>
              <w:bottom w:w="80" w:type="dxa"/>
              <w:end w:w="100" w:type="dxa"/>
            </w:tcMar>
            <w:vAlign w:val="center"/>
          </w:tcPr>
          <w:p>
            <w:pPr>
              <w:spacing w:line="240" w:lineRule="auto" w:after="0"/>
              <w:ind w:firstLine="0"/>
            </w:pPr>
            <w:r>
              <w:rPr>
                <w:rFonts w:ascii="Times New Roman" w:hAnsi="Times New Roman"/>
                <w:sz w:val="21"/>
              </w:rPr>
              <w:t>Increase by 8 percentage points</w:t>
            </w:r>
          </w:p>
        </w:tc>
      </w:tr>
      <w:tr>
        <w:tc>
          <w:tcPr>
            <w:tcW w:type="dxa" w:w="3264"/>
            <w:tcMar>
              <w:top w:w="80" w:type="dxa"/>
              <w:start w:w="100" w:type="dxa"/>
              <w:bottom w:w="80" w:type="dxa"/>
              <w:end w:w="100" w:type="dxa"/>
            </w:tcMar>
            <w:vAlign w:val="center"/>
          </w:tcPr>
          <w:p>
            <w:pPr>
              <w:spacing w:line="240" w:lineRule="auto" w:after="0"/>
              <w:ind w:firstLine="0"/>
            </w:pPr>
            <w:r>
              <w:rPr>
                <w:rFonts w:ascii="Times New Roman" w:hAnsi="Times New Roman"/>
                <w:sz w:val="21"/>
              </w:rPr>
              <w:t>Improve conversion</w:t>
            </w:r>
          </w:p>
        </w:tc>
        <w:tc>
          <w:tcPr>
            <w:tcW w:type="dxa" w:w="3264"/>
            <w:tcMar>
              <w:top w:w="80" w:type="dxa"/>
              <w:start w:w="100" w:type="dxa"/>
              <w:bottom w:w="80" w:type="dxa"/>
              <w:end w:w="100" w:type="dxa"/>
            </w:tcMar>
            <w:vAlign w:val="center"/>
          </w:tcPr>
          <w:p>
            <w:pPr>
              <w:spacing w:line="240" w:lineRule="auto" w:after="0"/>
              <w:ind w:firstLine="0"/>
            </w:pPr>
            <w:r>
              <w:rPr>
                <w:rFonts w:ascii="Times New Roman" w:hAnsi="Times New Roman"/>
                <w:sz w:val="21"/>
              </w:rPr>
              <w:t>Qualified website enquiry-to-booking rate</w:t>
            </w:r>
          </w:p>
        </w:tc>
        <w:tc>
          <w:tcPr>
            <w:tcW w:type="dxa" w:w="3264"/>
            <w:tcMar>
              <w:top w:w="80" w:type="dxa"/>
              <w:start w:w="100" w:type="dxa"/>
              <w:bottom w:w="80" w:type="dxa"/>
              <w:end w:w="100" w:type="dxa"/>
            </w:tcMar>
            <w:vAlign w:val="center"/>
          </w:tcPr>
          <w:p>
            <w:pPr>
              <w:spacing w:line="240" w:lineRule="auto" w:after="0"/>
              <w:ind w:firstLine="0"/>
            </w:pPr>
            <w:r>
              <w:rPr>
                <w:rFonts w:ascii="Times New Roman" w:hAnsi="Times New Roman"/>
                <w:sz w:val="21"/>
              </w:rPr>
              <w:t>Increase by 15%</w:t>
            </w:r>
          </w:p>
        </w:tc>
      </w:tr>
      <w:tr>
        <w:tc>
          <w:tcPr>
            <w:tcW w:type="dxa" w:w="3264"/>
            <w:tcMar>
              <w:top w:w="80" w:type="dxa"/>
              <w:start w:w="100" w:type="dxa"/>
              <w:bottom w:w="80" w:type="dxa"/>
              <w:end w:w="100" w:type="dxa"/>
            </w:tcMar>
            <w:vAlign w:val="center"/>
          </w:tcPr>
          <w:p>
            <w:pPr>
              <w:spacing w:line="240" w:lineRule="auto" w:after="0"/>
              <w:ind w:firstLine="0"/>
            </w:pPr>
            <w:r>
              <w:rPr>
                <w:rFonts w:ascii="Times New Roman" w:hAnsi="Times New Roman"/>
                <w:sz w:val="21"/>
              </w:rPr>
              <w:t>Protect economics</w:t>
            </w:r>
          </w:p>
        </w:tc>
        <w:tc>
          <w:tcPr>
            <w:tcW w:type="dxa" w:w="3264"/>
            <w:tcMar>
              <w:top w:w="80" w:type="dxa"/>
              <w:start w:w="100" w:type="dxa"/>
              <w:bottom w:w="80" w:type="dxa"/>
              <w:end w:w="100" w:type="dxa"/>
            </w:tcMar>
            <w:vAlign w:val="center"/>
          </w:tcPr>
          <w:p>
            <w:pPr>
              <w:spacing w:line="240" w:lineRule="auto" w:after="0"/>
              <w:ind w:firstLine="0"/>
            </w:pPr>
            <w:r>
              <w:rPr>
                <w:rFonts w:ascii="Times New Roman" w:hAnsi="Times New Roman"/>
                <w:sz w:val="21"/>
              </w:rPr>
              <w:t>Net customer acquisition cost</w:t>
            </w:r>
          </w:p>
        </w:tc>
        <w:tc>
          <w:tcPr>
            <w:tcW w:type="dxa" w:w="3264"/>
            <w:tcMar>
              <w:top w:w="80" w:type="dxa"/>
              <w:start w:w="100" w:type="dxa"/>
              <w:bottom w:w="80" w:type="dxa"/>
              <w:end w:w="100" w:type="dxa"/>
            </w:tcMar>
            <w:vAlign w:val="center"/>
          </w:tcPr>
          <w:p>
            <w:pPr>
              <w:spacing w:line="240" w:lineRule="auto" w:after="0"/>
              <w:ind w:firstLine="0"/>
            </w:pPr>
            <w:r>
              <w:rPr>
                <w:rFonts w:ascii="Times New Roman" w:hAnsi="Times New Roman"/>
                <w:sz w:val="21"/>
              </w:rPr>
              <w:t>Reduce by 10% in repeatable markets</w:t>
            </w:r>
          </w:p>
        </w:tc>
      </w:tr>
      <w:tr>
        <w:tc>
          <w:tcPr>
            <w:tcW w:type="dxa" w:w="3264"/>
            <w:tcMar>
              <w:top w:w="80" w:type="dxa"/>
              <w:start w:w="100" w:type="dxa"/>
              <w:bottom w:w="80" w:type="dxa"/>
              <w:end w:w="100" w:type="dxa"/>
            </w:tcMar>
            <w:vAlign w:val="center"/>
          </w:tcPr>
          <w:p>
            <w:pPr>
              <w:spacing w:line="240" w:lineRule="auto" w:after="0"/>
              <w:ind w:firstLine="0"/>
            </w:pPr>
            <w:r>
              <w:rPr>
                <w:rFonts w:ascii="Times New Roman" w:hAnsi="Times New Roman"/>
                <w:sz w:val="21"/>
              </w:rPr>
              <w:t>Deepen stay value</w:t>
            </w:r>
          </w:p>
        </w:tc>
        <w:tc>
          <w:tcPr>
            <w:tcW w:type="dxa" w:w="3264"/>
            <w:tcMar>
              <w:top w:w="80" w:type="dxa"/>
              <w:start w:w="100" w:type="dxa"/>
              <w:bottom w:w="80" w:type="dxa"/>
              <w:end w:w="100" w:type="dxa"/>
            </w:tcMar>
            <w:vAlign w:val="center"/>
          </w:tcPr>
          <w:p>
            <w:pPr>
              <w:spacing w:line="240" w:lineRule="auto" w:after="0"/>
              <w:ind w:firstLine="0"/>
            </w:pPr>
            <w:r>
              <w:rPr>
                <w:rFonts w:ascii="Times New Roman" w:hAnsi="Times New Roman"/>
                <w:sz w:val="21"/>
              </w:rPr>
              <w:t>Average length of stay</w:t>
            </w:r>
          </w:p>
        </w:tc>
        <w:tc>
          <w:tcPr>
            <w:tcW w:type="dxa" w:w="3264"/>
            <w:tcMar>
              <w:top w:w="80" w:type="dxa"/>
              <w:start w:w="100" w:type="dxa"/>
              <w:bottom w:w="80" w:type="dxa"/>
              <w:end w:w="100" w:type="dxa"/>
            </w:tcMar>
            <w:vAlign w:val="center"/>
          </w:tcPr>
          <w:p>
            <w:pPr>
              <w:spacing w:line="240" w:lineRule="auto" w:after="0"/>
              <w:ind w:firstLine="0"/>
            </w:pPr>
            <w:r>
              <w:rPr>
                <w:rFonts w:ascii="Times New Roman" w:hAnsi="Times New Roman"/>
                <w:sz w:val="21"/>
              </w:rPr>
              <w:t>Increase by 0.4 nights</w:t>
            </w:r>
          </w:p>
        </w:tc>
      </w:tr>
      <w:tr>
        <w:tc>
          <w:tcPr>
            <w:tcW w:type="dxa" w:w="3264"/>
            <w:tcMar>
              <w:top w:w="80" w:type="dxa"/>
              <w:start w:w="100" w:type="dxa"/>
              <w:bottom w:w="80" w:type="dxa"/>
              <w:end w:w="100" w:type="dxa"/>
            </w:tcMar>
            <w:vAlign w:val="center"/>
          </w:tcPr>
          <w:p>
            <w:pPr>
              <w:spacing w:line="240" w:lineRule="auto" w:after="0"/>
              <w:ind w:firstLine="0"/>
            </w:pPr>
            <w:r>
              <w:rPr>
                <w:rFonts w:ascii="Times New Roman" w:hAnsi="Times New Roman"/>
                <w:sz w:val="21"/>
              </w:rPr>
              <w:t>Build loyalty</w:t>
            </w:r>
          </w:p>
        </w:tc>
        <w:tc>
          <w:tcPr>
            <w:tcW w:type="dxa" w:w="3264"/>
            <w:tcMar>
              <w:top w:w="80" w:type="dxa"/>
              <w:start w:w="100" w:type="dxa"/>
              <w:bottom w:w="80" w:type="dxa"/>
              <w:end w:w="100" w:type="dxa"/>
            </w:tcMar>
            <w:vAlign w:val="center"/>
          </w:tcPr>
          <w:p>
            <w:pPr>
              <w:spacing w:line="240" w:lineRule="auto" w:after="0"/>
              <w:ind w:firstLine="0"/>
            </w:pPr>
            <w:r>
              <w:rPr>
                <w:rFonts w:ascii="Times New Roman" w:hAnsi="Times New Roman"/>
                <w:sz w:val="21"/>
              </w:rPr>
              <w:t>Repeat-guest revenue share</w:t>
            </w:r>
          </w:p>
        </w:tc>
        <w:tc>
          <w:tcPr>
            <w:tcW w:type="dxa" w:w="3264"/>
            <w:tcMar>
              <w:top w:w="80" w:type="dxa"/>
              <w:start w:w="100" w:type="dxa"/>
              <w:bottom w:w="80" w:type="dxa"/>
              <w:end w:w="100" w:type="dxa"/>
            </w:tcMar>
            <w:vAlign w:val="center"/>
          </w:tcPr>
          <w:p>
            <w:pPr>
              <w:spacing w:line="240" w:lineRule="auto" w:after="0"/>
              <w:ind w:firstLine="0"/>
            </w:pPr>
            <w:r>
              <w:rPr>
                <w:rFonts w:ascii="Times New Roman" w:hAnsi="Times New Roman"/>
                <w:sz w:val="21"/>
              </w:rPr>
              <w:t>Increase by 6 percentage points</w:t>
            </w:r>
          </w:p>
        </w:tc>
      </w:tr>
      <w:tr>
        <w:tc>
          <w:tcPr>
            <w:tcW w:type="dxa" w:w="3264"/>
            <w:tcMar>
              <w:top w:w="80" w:type="dxa"/>
              <w:start w:w="100" w:type="dxa"/>
              <w:bottom w:w="80" w:type="dxa"/>
              <w:end w:w="100" w:type="dxa"/>
            </w:tcMar>
            <w:vAlign w:val="center"/>
          </w:tcPr>
          <w:p>
            <w:pPr>
              <w:spacing w:line="240" w:lineRule="auto" w:after="0"/>
              <w:ind w:firstLine="0"/>
            </w:pPr>
            <w:r>
              <w:rPr>
                <w:rFonts w:ascii="Times New Roman" w:hAnsi="Times New Roman"/>
                <w:sz w:val="21"/>
              </w:rPr>
              <w:t>Create memorable engagement</w:t>
            </w:r>
          </w:p>
        </w:tc>
        <w:tc>
          <w:tcPr>
            <w:tcW w:type="dxa" w:w="3264"/>
            <w:tcMar>
              <w:top w:w="80" w:type="dxa"/>
              <w:start w:w="100" w:type="dxa"/>
              <w:bottom w:w="80" w:type="dxa"/>
              <w:end w:w="100" w:type="dxa"/>
            </w:tcMar>
            <w:vAlign w:val="center"/>
          </w:tcPr>
          <w:p>
            <w:pPr>
              <w:spacing w:line="240" w:lineRule="auto" w:after="0"/>
              <w:ind w:firstLine="0"/>
            </w:pPr>
            <w:r>
              <w:rPr>
                <w:rFonts w:ascii="Times New Roman" w:hAnsi="Times New Roman"/>
                <w:sz w:val="21"/>
              </w:rPr>
              <w:t>Participation in stewardship experiences</w:t>
            </w:r>
          </w:p>
        </w:tc>
        <w:tc>
          <w:tcPr>
            <w:tcW w:type="dxa" w:w="3264"/>
            <w:tcMar>
              <w:top w:w="80" w:type="dxa"/>
              <w:start w:w="100" w:type="dxa"/>
              <w:bottom w:w="80" w:type="dxa"/>
              <w:end w:w="100" w:type="dxa"/>
            </w:tcMar>
            <w:vAlign w:val="center"/>
          </w:tcPr>
          <w:p>
            <w:pPr>
              <w:spacing w:line="240" w:lineRule="auto" w:after="0"/>
              <w:ind w:firstLine="0"/>
            </w:pPr>
            <w:r>
              <w:rPr>
                <w:rFonts w:ascii="Times New Roman" w:hAnsi="Times New Roman"/>
                <w:sz w:val="21"/>
              </w:rPr>
              <w:t>At least 35% of occupied villas</w:t>
            </w:r>
          </w:p>
        </w:tc>
      </w:tr>
      <w:tr>
        <w:tc>
          <w:tcPr>
            <w:tcW w:type="dxa" w:w="3264"/>
            <w:tcMar>
              <w:top w:w="80" w:type="dxa"/>
              <w:start w:w="100" w:type="dxa"/>
              <w:bottom w:w="80" w:type="dxa"/>
              <w:end w:w="100" w:type="dxa"/>
            </w:tcMar>
            <w:vAlign w:val="center"/>
          </w:tcPr>
          <w:p>
            <w:pPr>
              <w:spacing w:line="240" w:lineRule="auto" w:after="0"/>
              <w:ind w:firstLine="0"/>
            </w:pPr>
            <w:r>
              <w:rPr>
                <w:rFonts w:ascii="Times New Roman" w:hAnsi="Times New Roman"/>
                <w:sz w:val="21"/>
              </w:rPr>
              <w:t>Build advocacy</w:t>
            </w:r>
          </w:p>
        </w:tc>
        <w:tc>
          <w:tcPr>
            <w:tcW w:type="dxa" w:w="3264"/>
            <w:tcMar>
              <w:top w:w="80" w:type="dxa"/>
              <w:start w:w="100" w:type="dxa"/>
              <w:bottom w:w="80" w:type="dxa"/>
              <w:end w:w="100" w:type="dxa"/>
            </w:tcMar>
            <w:vAlign w:val="center"/>
          </w:tcPr>
          <w:p>
            <w:pPr>
              <w:spacing w:line="240" w:lineRule="auto" w:after="0"/>
              <w:ind w:firstLine="0"/>
            </w:pPr>
            <w:r>
              <w:rPr>
                <w:rFonts w:ascii="Times New Roman" w:hAnsi="Times New Roman"/>
                <w:sz w:val="21"/>
              </w:rPr>
              <w:t>Post-stay recommendation/advocacy rate</w:t>
            </w:r>
          </w:p>
        </w:tc>
        <w:tc>
          <w:tcPr>
            <w:tcW w:type="dxa" w:w="3264"/>
            <w:tcMar>
              <w:top w:w="80" w:type="dxa"/>
              <w:start w:w="100" w:type="dxa"/>
              <w:bottom w:w="80" w:type="dxa"/>
              <w:end w:w="100" w:type="dxa"/>
            </w:tcMar>
            <w:vAlign w:val="center"/>
          </w:tcPr>
          <w:p>
            <w:pPr>
              <w:spacing w:line="240" w:lineRule="auto" w:after="0"/>
              <w:ind w:firstLine="0"/>
            </w:pPr>
            <w:r>
              <w:rPr>
                <w:rFonts w:ascii="Times New Roman" w:hAnsi="Times New Roman"/>
                <w:sz w:val="21"/>
              </w:rPr>
              <w:t>Increase by 10%</w:t>
            </w:r>
          </w:p>
        </w:tc>
      </w:tr>
      <w:tr>
        <w:tc>
          <w:tcPr>
            <w:tcW w:type="dxa" w:w="3264"/>
            <w:tcMar>
              <w:top w:w="80" w:type="dxa"/>
              <w:start w:w="100" w:type="dxa"/>
              <w:bottom w:w="80" w:type="dxa"/>
              <w:end w:w="100" w:type="dxa"/>
            </w:tcMar>
            <w:vAlign w:val="center"/>
          </w:tcPr>
          <w:p>
            <w:pPr>
              <w:spacing w:line="240" w:lineRule="auto" w:after="0"/>
              <w:ind w:firstLine="0"/>
            </w:pPr>
            <w:r>
              <w:rPr>
                <w:rFonts w:ascii="Times New Roman" w:hAnsi="Times New Roman"/>
                <w:sz w:val="21"/>
              </w:rPr>
              <w:t>Support circularity</w:t>
            </w:r>
          </w:p>
        </w:tc>
        <w:tc>
          <w:tcPr>
            <w:tcW w:type="dxa" w:w="3264"/>
            <w:tcMar>
              <w:top w:w="80" w:type="dxa"/>
              <w:start w:w="100" w:type="dxa"/>
              <w:bottom w:w="80" w:type="dxa"/>
              <w:end w:w="100" w:type="dxa"/>
            </w:tcMar>
            <w:vAlign w:val="center"/>
          </w:tcPr>
          <w:p>
            <w:pPr>
              <w:spacing w:line="240" w:lineRule="auto" w:after="0"/>
              <w:ind w:firstLine="0"/>
            </w:pPr>
            <w:r>
              <w:rPr>
                <w:rFonts w:ascii="Times New Roman" w:hAnsi="Times New Roman"/>
                <w:sz w:val="21"/>
              </w:rPr>
              <w:t>Residual waste per guest-night</w:t>
            </w:r>
          </w:p>
        </w:tc>
        <w:tc>
          <w:tcPr>
            <w:tcW w:type="dxa" w:w="3264"/>
            <w:tcMar>
              <w:top w:w="80" w:type="dxa"/>
              <w:start w:w="100" w:type="dxa"/>
              <w:bottom w:w="80" w:type="dxa"/>
              <w:end w:w="100" w:type="dxa"/>
            </w:tcMar>
            <w:vAlign w:val="center"/>
          </w:tcPr>
          <w:p>
            <w:pPr>
              <w:spacing w:line="240" w:lineRule="auto" w:after="0"/>
              <w:ind w:firstLine="0"/>
            </w:pPr>
            <w:r>
              <w:rPr>
                <w:rFonts w:ascii="Times New Roman" w:hAnsi="Times New Roman"/>
                <w:sz w:val="21"/>
              </w:rPr>
              <w:t>Year-on-year reduction with audited baseline</w:t>
            </w:r>
          </w:p>
        </w:tc>
      </w:tr>
      <w:tr>
        <w:tc>
          <w:tcPr>
            <w:tcW w:type="dxa" w:w="3264"/>
            <w:tcMar>
              <w:top w:w="80" w:type="dxa"/>
              <w:start w:w="100" w:type="dxa"/>
              <w:bottom w:w="80" w:type="dxa"/>
              <w:end w:w="100" w:type="dxa"/>
            </w:tcMar>
            <w:vAlign w:val="center"/>
          </w:tcPr>
          <w:p>
            <w:pPr>
              <w:spacing w:line="240" w:lineRule="auto" w:after="0"/>
              <w:ind w:firstLine="0"/>
            </w:pPr>
            <w:r>
              <w:rPr>
                <w:rFonts w:ascii="Times New Roman" w:hAnsi="Times New Roman"/>
                <w:sz w:val="21"/>
              </w:rPr>
              <w:t>Prove communication value</w:t>
            </w:r>
          </w:p>
        </w:tc>
        <w:tc>
          <w:tcPr>
            <w:tcW w:type="dxa" w:w="3264"/>
            <w:tcMar>
              <w:top w:w="80" w:type="dxa"/>
              <w:start w:w="100" w:type="dxa"/>
              <w:bottom w:w="80" w:type="dxa"/>
              <w:end w:w="100" w:type="dxa"/>
            </w:tcMar>
            <w:vAlign w:val="center"/>
          </w:tcPr>
          <w:p>
            <w:pPr>
              <w:spacing w:line="240" w:lineRule="auto" w:after="0"/>
              <w:ind w:firstLine="0"/>
            </w:pPr>
            <w:r>
              <w:rPr>
                <w:rFonts w:ascii="Times New Roman" w:hAnsi="Times New Roman"/>
                <w:sz w:val="21"/>
              </w:rPr>
              <w:t>High-intent sustainability content completion</w:t>
            </w:r>
          </w:p>
        </w:tc>
        <w:tc>
          <w:tcPr>
            <w:tcW w:type="dxa" w:w="3264"/>
            <w:tcMar>
              <w:top w:w="80" w:type="dxa"/>
              <w:start w:w="100" w:type="dxa"/>
              <w:bottom w:w="80" w:type="dxa"/>
              <w:end w:w="100" w:type="dxa"/>
            </w:tcMar>
            <w:vAlign w:val="center"/>
          </w:tcPr>
          <w:p>
            <w:pPr>
              <w:spacing w:line="240" w:lineRule="auto" w:after="0"/>
              <w:ind w:firstLine="0"/>
            </w:pPr>
            <w:r>
              <w:rPr>
                <w:rFonts w:ascii="Times New Roman" w:hAnsi="Times New Roman"/>
                <w:sz w:val="21"/>
              </w:rPr>
              <w:t>Increase by 20%</w:t>
            </w:r>
          </w:p>
        </w:tc>
      </w:tr>
    </w:tbl>
    <w:p>
      <w:pPr>
        <w:spacing w:after="0"/>
      </w:pPr>
    </w:p>
    <w:p>
      <w:pPr/>
      <w:r>
        <w:rPr>
          <w:rFonts w:ascii="Times New Roman" w:hAnsi="Times New Roman"/>
          <w:sz w:val="24"/>
        </w:rPr>
        <w:t>Attribution should not rely on last-click conversion. High-value travel has a long consideration cycle and multiple human touchpoints. The resort should combine platform data, CRM source codes, adviser data, assisted-conversion analysis and post-booking research. This makes the budget more defensible and reduces overinvestment in channels that claim credit merely because they appear late in the journey.</w:t>
      </w:r>
    </w:p>
    <w:p>
      <w:pPr>
        <w:pStyle w:val="Heading1"/>
        <w:ind w:firstLine="0"/>
      </w:pPr>
      <w:r>
        <w:t>8. Strategic Risks and Controls</w:t>
      </w:r>
    </w:p>
    <w:p>
      <w:pPr/>
      <w:r>
        <w:rPr>
          <w:rFonts w:ascii="Times New Roman" w:hAnsi="Times New Roman"/>
          <w:sz w:val="24"/>
        </w:rPr>
        <w:t>The first risk is greenwashing. The control is a claims protocol requiring a source, owner, date and review cycle for every major sustainability statement. Future targets should be clearly labelled as targets. The second risk is experience inconsistency: a beautiful campaign creates disappointment if operational details feel wasteful or staff knowledge is weak. Quarterly service audits and staff refreshers should connect marketing promises with reality.</w:t>
      </w:r>
    </w:p>
    <w:p>
      <w:pPr/>
      <w:r>
        <w:rPr>
          <w:rFonts w:ascii="Times New Roman" w:hAnsi="Times New Roman"/>
          <w:sz w:val="24"/>
        </w:rPr>
        <w:t>The third risk is over-reliance on paid digital acquisition. Luxury travel decisions often involve advisers, editorial influence and peer recommendation. Budget allocation should therefore preserve relationship channels and brand-building content. The fourth risk is climate and ecosystem exposure. Coral stress, severe weather or transport disruption can affect the product itself. Communications should be factual and sensitive, while experience design should include alternatives that do not intensify pressure on fragile ecosystems.</w:t>
      </w:r>
    </w:p>
    <w:p>
      <w:pPr/>
      <w:r>
        <w:rPr>
          <w:rFonts w:ascii="Times New Roman" w:hAnsi="Times New Roman"/>
          <w:sz w:val="24"/>
        </w:rPr>
        <w:t>Finally, the resort must protect guest privacy when using preference and CRM data. Personalisation should be permission-based, proportionate and clearly valuable to the guest. A premium brand can lose trust quickly if convenience becomes surveillance.</w:t>
      </w:r>
    </w:p>
    <w:p>
      <w:pPr>
        <w:pStyle w:val="Heading1"/>
        <w:ind w:firstLine="0"/>
      </w:pPr>
      <w:r>
        <w:t>9. Conclusion &amp; Recommendations</w:t>
      </w:r>
    </w:p>
    <w:p>
      <w:pPr/>
      <w:r>
        <w:rPr>
          <w:rFonts w:ascii="Times New Roman" w:hAnsi="Times New Roman"/>
          <w:sz w:val="24"/>
        </w:rPr>
        <w:t>Soneva Fushi has the ingredients for a differentiated sustainable-luxury proposition, but competitive advantage depends on integration. A stewardship initiative hidden in an annual report creates less value than the same initiative translated into product design, staff capability, physical evidence and relevant storytelling. The proposed "Bare Luxury, Measurable Stewardship" strategy makes the seven Ps mutually reinforcing.</w:t>
      </w:r>
    </w:p>
    <w:p>
      <w:pPr/>
      <w:r>
        <w:rPr>
          <w:rFonts w:ascii="Times New Roman" w:hAnsi="Times New Roman"/>
          <w:sz w:val="24"/>
        </w:rPr>
        <w:t>The report recommends five priorities. First, create a tiered Island Stewardship Trail that turns environmental practices into optional, memorable experiences. Second, maintain premium value-based pricing and reward loyalty through access and personalisation rather than broad discounting. Third, make the direct channel the richest relationship channel while using advisers and OTAs selectively for discovery. Fourth, adopt a proof rule for sustainability communications so every major claim is observable, sourced or measured. Fifth, manage the brand through a balanced dashboard that combines direct-booking economics, guest advocacy, experience participation and environmental indicators.</w:t>
      </w:r>
    </w:p>
    <w:p>
      <w:pPr/>
      <w:r>
        <w:rPr>
          <w:rFonts w:ascii="Times New Roman" w:hAnsi="Times New Roman"/>
          <w:sz w:val="24"/>
        </w:rPr>
        <w:t>The larger strategic point is that sustainable hospitality is not a promotional category. It is a service system. Soneva Fushi is most defensible when a guest can see the same idea in the villa materials, staff behaviour, marine programme, waste process, digital content, pricing logic and post-stay communication. When the seven Ps communicate one coherent story, sustainability becomes part of perceived luxury rather than an obligation added to it.</w:t>
      </w:r>
    </w:p>
    <w:p>
      <w:pPr>
        <w:pStyle w:val="Heading1"/>
        <w:ind w:firstLine="0"/>
      </w:pPr>
      <w:r>
        <w:t>References</w:t>
      </w:r>
    </w:p>
    <w:p>
      <w:pPr>
        <w:pStyle w:val="Reference"/>
        <w:ind w:hanging="720"/>
      </w:pPr>
      <w:r>
        <w:rPr>
          <w:rFonts w:ascii="Times New Roman" w:hAnsi="Times New Roman"/>
          <w:sz w:val="24"/>
        </w:rPr>
        <w:t>Bitner, M. J. (1992). Servicescapes: The impact of physical surroundings on customers and employees. Journal of Marketing, 56(2), 57–71. https://doi.org/10.1177/002224299205600205</w:t>
      </w:r>
    </w:p>
    <w:p>
      <w:pPr>
        <w:pStyle w:val="Reference"/>
        <w:ind w:hanging="720"/>
      </w:pPr>
      <w:r>
        <w:rPr>
          <w:rFonts w:ascii="Times New Roman" w:hAnsi="Times New Roman"/>
          <w:sz w:val="24"/>
        </w:rPr>
        <w:t>Chang, Y.-W., Hsu, P.-Y., &amp; Lan, Y.-C. (2019). Cooperation and competition between online travel agencies and hotels. Tourism Management, 71, 187–196. https://doi.org/10.1016/j.tourman.2018.08.026</w:t>
      </w:r>
    </w:p>
    <w:p>
      <w:pPr>
        <w:pStyle w:val="Reference"/>
        <w:ind w:hanging="720"/>
      </w:pPr>
      <w:r>
        <w:rPr>
          <w:rFonts w:ascii="Times New Roman" w:hAnsi="Times New Roman"/>
          <w:sz w:val="24"/>
        </w:rPr>
        <w:t>Masiero, L., &amp; Law, R. (2016). Comparing reservation channels for hotel rooms: A behavioral perspective. Journal of Travel &amp; Tourism Marketing, 33(1), 1–13. https://doi.org/10.1080/10548408.2014.997960</w:t>
      </w:r>
    </w:p>
    <w:p>
      <w:pPr>
        <w:pStyle w:val="Reference"/>
        <w:ind w:hanging="720"/>
      </w:pPr>
      <w:r>
        <w:rPr>
          <w:rFonts w:ascii="Times New Roman" w:hAnsi="Times New Roman"/>
          <w:sz w:val="24"/>
        </w:rPr>
        <w:t>Parasuraman, A., Zeithaml, V. A., &amp; Berry, L. L. (1988). SERVQUAL: A multiple-item scale for measuring consumer perceptions of service quality. Journal of Retailing, 64(1), 12–40.</w:t>
      </w:r>
    </w:p>
    <w:p>
      <w:pPr>
        <w:pStyle w:val="Reference"/>
        <w:ind w:hanging="720"/>
      </w:pPr>
      <w:r>
        <w:rPr>
          <w:rFonts w:ascii="Times New Roman" w:hAnsi="Times New Roman"/>
          <w:sz w:val="24"/>
        </w:rPr>
        <w:t>Pine, B. J., II, &amp; Gilmore, J. H. (1998). Welcome to the experience economy. Harvard Business Review, 76(4), 97–105.</w:t>
      </w:r>
    </w:p>
    <w:p>
      <w:pPr>
        <w:pStyle w:val="Reference"/>
        <w:ind w:hanging="720"/>
      </w:pPr>
      <w:r>
        <w:rPr>
          <w:rFonts w:ascii="Times New Roman" w:hAnsi="Times New Roman"/>
          <w:sz w:val="24"/>
        </w:rPr>
        <w:t>Soneva. (2023, April 12). Soneva launches AquaTerra centre at Soneva Fushi. https://soneva.com/press-releases/soneva-launches-aquaterra-centre-at-soneva-fushi/</w:t>
      </w:r>
    </w:p>
    <w:p>
      <w:pPr>
        <w:pStyle w:val="Reference"/>
        <w:ind w:hanging="720"/>
      </w:pPr>
      <w:r>
        <w:rPr>
          <w:rFonts w:ascii="Times New Roman" w:hAnsi="Times New Roman"/>
          <w:sz w:val="24"/>
        </w:rPr>
        <w:t>Soneva. (2024, June 3). Soneva makes strides with solar energy. https://soneva.com/soneva-makes-strides-with-solar-energy/</w:t>
      </w:r>
    </w:p>
    <w:p>
      <w:pPr>
        <w:pStyle w:val="Reference"/>
        <w:ind w:hanging="720"/>
      </w:pPr>
      <w:r>
        <w:rPr>
          <w:rFonts w:ascii="Times New Roman" w:hAnsi="Times New Roman"/>
          <w:sz w:val="24"/>
        </w:rPr>
        <w:t>Soneva. (2026a). Stewardship. https://soneva.com/stewardship/</w:t>
      </w:r>
    </w:p>
    <w:p>
      <w:pPr>
        <w:pStyle w:val="Reference"/>
        <w:ind w:hanging="720"/>
      </w:pPr>
      <w:r>
        <w:rPr>
          <w:rFonts w:ascii="Times New Roman" w:hAnsi="Times New Roman"/>
          <w:sz w:val="24"/>
        </w:rPr>
        <w:t>Soneva. (2026b). Soneva Fushi. https://soneva.com/resorts/soneva-fushi/</w:t>
      </w:r>
    </w:p>
    <w:p>
      <w:pPr>
        <w:pStyle w:val="Reference"/>
        <w:ind w:hanging="720"/>
      </w:pPr>
      <w:r>
        <w:rPr>
          <w:rFonts w:ascii="Times New Roman" w:hAnsi="Times New Roman"/>
          <w:sz w:val="24"/>
        </w:rPr>
        <w:t>Soneva. (2026c). Coral reef regeneration. https://soneva.com/stewardship/coral-reef-regeneration/</w:t>
      </w:r>
    </w:p>
    <w:p>
      <w:pPr>
        <w:pStyle w:val="Reference"/>
        <w:ind w:hanging="720"/>
      </w:pPr>
      <w:r>
        <w:rPr>
          <w:rFonts w:ascii="Times New Roman" w:hAnsi="Times New Roman"/>
          <w:sz w:val="24"/>
        </w:rPr>
        <w:t>Väisänen, H.-M., Uusitalo, O., &amp; Ryynänen, T. (2023). Towards sustainable servicescape – tourists’ perspectives of accommodation service attributes. International Journal of Hospitality Management, 110, 103449. https://doi.org/10.1016/j.ijhm.2023.103449</w:t>
      </w:r>
    </w:p>
    <w:p>
      <w:pPr>
        <w:pStyle w:val="Reference"/>
        <w:ind w:hanging="720"/>
      </w:pPr>
      <w:r>
        <w:rPr>
          <w:rFonts w:ascii="Times New Roman" w:hAnsi="Times New Roman"/>
          <w:sz w:val="24"/>
        </w:rPr>
        <w:t>Zeithaml, V. A., Berry, L. L., &amp; Parasuraman, A. (1996). The behavioral consequences of service quality. Journal of Marketing, 60(2), 31–46. https://doi.org/10.1177/002224299606000203</w:t>
      </w:r>
    </w:p>
    <w:p>
      <w:pPr>
        <w:pStyle w:val="Heading1"/>
        <w:ind w:firstLine="0"/>
      </w:pPr>
      <w:r>
        <w:t>Appendices</w:t>
      </w:r>
    </w:p>
    <w:p>
      <w:pPr>
        <w:pStyle w:val="Heading2"/>
        <w:ind w:firstLine="0"/>
      </w:pPr>
      <w:r>
        <w:t>Appendix A. Target Audience Persona</w:t>
      </w:r>
    </w:p>
    <w:p>
      <w:pPr/>
      <w:r>
        <w:rPr>
          <w:rFonts w:ascii="Times New Roman" w:hAnsi="Times New Roman"/>
          <w:sz w:val="24"/>
        </w:rPr>
        <w:t>"Elena and Marcus" are an illustrative affluent professional couple in their forties travelling from a major European city. They take two long-haul leisure trips each year and prefer properties with privacy, strong design, excellent food and credible environmental practices. They research on Instagram and search engines but validate important decisions through a luxury travel adviser and independent reviews. They dislike generic eco-messaging, crowded activities and complex transfers. Their ideal Soneva Fushi journey includes a private villa, wellness, chef-led dining, one marine-science experience and enough unstructured time to feel genuinely disconnected.</w:t>
      </w:r>
    </w:p>
    <w:p>
      <w:pPr>
        <w:pStyle w:val="Heading2"/>
        <w:ind w:firstLine="0"/>
      </w:pPr>
      <w:r>
        <w:t>Appendix B. Channel Decision Rules</w:t>
      </w:r>
    </w:p>
    <w:p>
      <w:pPr/>
      <w:r>
        <w:rPr>
          <w:rFonts w:ascii="Times New Roman" w:hAnsi="Times New Roman"/>
          <w:sz w:val="24"/>
        </w:rPr>
        <w:t>Direct website investment should receive priority where intent is high and the brand can explain value clearly. Luxury advisers should be prioritised for complex family journeys and high-value repeat relationships. OTAs should be used when incremental reach is demonstrable and net contribution remains attractive after commission. Any channel that produces high cancellation, low ancillary spend or weak repeat conversion should be reviewed using contribution margin rather than topline revenue.</w:t>
      </w:r>
    </w:p>
    <w:p>
      <w:pPr>
        <w:pStyle w:val="Heading2"/>
        <w:ind w:firstLine="0"/>
      </w:pPr>
      <w:r>
        <w:t>Appendix C. Sustainability Claims Checklist</w:t>
      </w:r>
    </w:p>
    <w:p>
      <w:pPr/>
      <w:r>
        <w:rPr>
          <w:rFonts w:ascii="Times New Roman" w:hAnsi="Times New Roman"/>
          <w:sz w:val="24"/>
        </w:rPr>
        <w:t>Before publication, each claim should identify the claim, supporting evidence, update date, accountable owner and any material limitation. This checklist separates achieved results from future ambitions.</w:t>
      </w:r>
    </w:p>
    <w:sectPr w:rsidR="00FC693F" w:rsidRPr="0006063C" w:rsidSect="00034616">
      <w:footerReference w:type="default" r:id="rId9"/>
      <w:pgSz w:w="12240" w:h="15840"/>
      <w:pgMar w:top="1152" w:right="1224" w:bottom="1152" w:left="122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center"/>
    </w:pPr>
    <w:r>
      <w:fldChar w:fldCharType="begin"/>
      <w:instrText xml:space="preserve"> PAGE </w:instrText>
      <w:fldChar w:fldCharType="end"/>
    </w:r>
  </w:p>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480" w:lineRule="auto" w:after="0"/>
      <w:ind w:firstLine="432"/>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240" w:after="120"/>
      <w:outlineLvl w:val="0"/>
    </w:pPr>
    <w:rPr>
      <w:rFonts w:asciiTheme="majorHAnsi" w:eastAsiaTheme="majorEastAsia" w:hAnsiTheme="majorHAnsi" w:cstheme="majorBidi" w:ascii="Times New Roman" w:hAnsi="Times New Roman"/>
      <w:b/>
      <w:bCs/>
      <w:color w:val="1F4E79"/>
      <w:sz w:val="30"/>
      <w:szCs w:val="28"/>
    </w:rPr>
  </w:style>
  <w:style w:type="paragraph" w:styleId="Heading2">
    <w:name w:val="heading 2"/>
    <w:basedOn w:val="Normal"/>
    <w:next w:val="Normal"/>
    <w:link w:val="Heading2Char"/>
    <w:uiPriority w:val="9"/>
    <w:unhideWhenUsed/>
    <w:qFormat/>
    <w:rsid w:val="00FC693F"/>
    <w:pPr>
      <w:keepNext/>
      <w:keepLines/>
      <w:spacing w:before="240" w:after="120"/>
      <w:outlineLvl w:val="1"/>
    </w:pPr>
    <w:rPr>
      <w:rFonts w:asciiTheme="majorHAnsi" w:eastAsiaTheme="majorEastAsia" w:hAnsiTheme="majorHAnsi" w:cstheme="majorBidi" w:ascii="Times New Roman" w:hAnsi="Times New Roman"/>
      <w:b/>
      <w:bCs/>
      <w:color w:val="444444"/>
      <w:sz w:val="26"/>
      <w:szCs w:val="26"/>
    </w:rPr>
  </w:style>
  <w:style w:type="paragraph" w:styleId="Heading3">
    <w:name w:val="heading 3"/>
    <w:basedOn w:val="Normal"/>
    <w:next w:val="Normal"/>
    <w:link w:val="Heading3Char"/>
    <w:uiPriority w:val="9"/>
    <w:unhideWhenUsed/>
    <w:qFormat/>
    <w:rsid w:val="00FC693F"/>
    <w:pPr>
      <w:keepNext/>
      <w:keepLines/>
      <w:spacing w:before="240" w:after="120"/>
      <w:outlineLvl w:val="2"/>
    </w:pPr>
    <w:rPr>
      <w:rFonts w:asciiTheme="majorHAnsi" w:eastAsiaTheme="majorEastAsia" w:hAnsiTheme="majorHAnsi" w:cstheme="majorBidi" w:ascii="Times New Roman" w:hAnsi="Times New Roman"/>
      <w:b/>
      <w:bCs/>
      <w:color w:val="444444"/>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keepNext/>
      <w:pBdr>
        <w:bottom w:val="single" w:sz="8" w:space="4" w:color="4F81BD" w:themeColor="accent1"/>
      </w:pBdr>
      <w:spacing w:after="120" w:line="240" w:lineRule="auto" w:before="240"/>
      <w:contextualSpacing/>
    </w:pPr>
    <w:rPr>
      <w:rFonts w:asciiTheme="majorHAnsi" w:eastAsiaTheme="majorEastAsia" w:hAnsiTheme="majorHAnsi" w:cstheme="majorBidi" w:ascii="Times New Roman" w:hAnsi="Times New Roman"/>
      <w:b/>
      <w:color w:val="1F4E79"/>
      <w:spacing w:val="5"/>
      <w:kern w:val="28"/>
      <w:sz w:val="40"/>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Reference">
    <w:name w:val="Reference"/>
    <w:pPr>
      <w:spacing w:line="480" w:lineRule="auto" w:after="0"/>
      <w:ind w:left="720" w:hanging="720"/>
    </w:pPr>
    <w:rPr>
      <w:rFonts w:ascii="Times New Roman" w:hAnsi="Times New Roman"/>
      <w:sz w:val="24"/>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Circular Luxury by Design: An Integrated 7Ps Strategy for Soneva Fushi</dc:title>
  <dc:subject>Marketing Fundamentals detailed project report</dc:subject>
  <dc:creator>Student</dc:creator>
  <cp:keywords/>
  <dc:description>generated by python-docx</dc:description>
  <cp:lastModifiedBy/>
  <cp:revision>1</cp:revision>
  <dcterms:created xsi:type="dcterms:W3CDTF">2013-12-23T23:15:00Z</dcterms:created>
  <dcterms:modified xsi:type="dcterms:W3CDTF">2013-12-23T23:15:00Z</dcterms:modified>
  <cp:category/>
</cp:coreProperties>
</file>