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30016" w14:textId="77777777" w:rsidR="00426865" w:rsidRPr="002D528D" w:rsidRDefault="00672345">
      <w:r w:rsidRPr="002D528D">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A570012" w14:textId="77777777" w:rsidR="00672345" w:rsidRPr="002D528D" w:rsidRDefault="00672345" w:rsidP="00672345">
      <w:pPr>
        <w:rPr>
          <w:lang w:val="en-US"/>
        </w:rPr>
      </w:pPr>
      <w:r w:rsidRPr="002D528D">
        <w:rPr>
          <w:lang w:val="en-US"/>
        </w:rPr>
        <w:t xml:space="preserve">Cultural Heritage Management </w:t>
      </w:r>
    </w:p>
    <w:p w14:paraId="16AA6F3C" w14:textId="77777777" w:rsidR="00672345" w:rsidRPr="002D528D" w:rsidRDefault="00672345" w:rsidP="00672345">
      <w:pPr>
        <w:rPr>
          <w:lang w:val="en-US"/>
        </w:rPr>
      </w:pPr>
      <w:r w:rsidRPr="002D528D">
        <w:rPr>
          <w:lang w:val="en-US"/>
        </w:rPr>
        <w:t>Assignment 1</w:t>
      </w:r>
    </w:p>
    <w:p w14:paraId="237A0938" w14:textId="77777777" w:rsidR="00672345" w:rsidRPr="002D528D" w:rsidRDefault="00672345" w:rsidP="00672345">
      <w:pPr>
        <w:rPr>
          <w:lang w:val="en-US"/>
        </w:rPr>
      </w:pPr>
      <w:r w:rsidRPr="002D528D">
        <w:rPr>
          <w:lang w:val="en-US"/>
        </w:rPr>
        <w:t>08.04.2026</w:t>
      </w:r>
    </w:p>
    <w:p w14:paraId="1BC07A92" w14:textId="77777777" w:rsidR="00672345" w:rsidRPr="002D528D" w:rsidRDefault="00672345"/>
    <w:p w14:paraId="422AE29E" w14:textId="77777777" w:rsidR="00672345" w:rsidRPr="002D528D" w:rsidRDefault="00672345"/>
    <w:p w14:paraId="0244AE5B" w14:textId="77777777" w:rsidR="00672345" w:rsidRPr="002D528D" w:rsidRDefault="00672345"/>
    <w:p w14:paraId="1FE17C34" w14:textId="77777777" w:rsidR="00672345" w:rsidRPr="002D528D" w:rsidRDefault="00672345"/>
    <w:p w14:paraId="286691A3" w14:textId="77777777" w:rsidR="00672345" w:rsidRPr="002D528D" w:rsidRDefault="00672345"/>
    <w:p w14:paraId="01EDF448" w14:textId="77777777" w:rsidR="00672345" w:rsidRPr="002D528D" w:rsidRDefault="00672345"/>
    <w:p w14:paraId="20C12E5F" w14:textId="77777777" w:rsidR="00672345" w:rsidRPr="002D528D" w:rsidRDefault="00672345"/>
    <w:p w14:paraId="2E1CBF8B" w14:textId="77777777" w:rsidR="00672345" w:rsidRPr="002D528D" w:rsidRDefault="00672345"/>
    <w:p w14:paraId="1FECF77D" w14:textId="77777777" w:rsidR="00672345" w:rsidRPr="002D528D" w:rsidRDefault="00672345"/>
    <w:p w14:paraId="60DF2E88" w14:textId="77777777" w:rsidR="00672345" w:rsidRPr="002D528D" w:rsidRDefault="00672345"/>
    <w:p w14:paraId="6D08F31E" w14:textId="77777777" w:rsidR="00672345" w:rsidRPr="002D528D" w:rsidRDefault="00672345"/>
    <w:p w14:paraId="0B63AC54" w14:textId="77777777" w:rsidR="00672345" w:rsidRPr="002D528D" w:rsidRDefault="00672345"/>
    <w:p w14:paraId="09D6D1AF" w14:textId="77777777" w:rsidR="00672345" w:rsidRPr="002D528D" w:rsidRDefault="00672345"/>
    <w:p w14:paraId="1136DEC6" w14:textId="77777777" w:rsidR="00672345" w:rsidRPr="002D528D" w:rsidRDefault="00672345" w:rsidP="00672345">
      <w:pPr>
        <w:spacing w:line="276" w:lineRule="auto"/>
        <w:rPr>
          <w:lang w:val="en-US"/>
        </w:rPr>
      </w:pPr>
      <w:r w:rsidRPr="002D528D">
        <w:rPr>
          <w:lang w:val="en-US"/>
        </w:rPr>
        <w:t>In no more than 500 words, each explain and 2-4 references:</w:t>
      </w:r>
    </w:p>
    <w:p w14:paraId="010D0E40" w14:textId="77777777" w:rsidR="00672345" w:rsidRPr="002D528D" w:rsidRDefault="00672345" w:rsidP="00672345">
      <w:pPr>
        <w:spacing w:line="276" w:lineRule="auto"/>
        <w:rPr>
          <w:lang w:val="en-US"/>
        </w:rPr>
      </w:pPr>
    </w:p>
    <w:p w14:paraId="6CE86931" w14:textId="77777777" w:rsidR="00672345" w:rsidRPr="002D528D" w:rsidRDefault="00672345" w:rsidP="00672345">
      <w:pPr>
        <w:spacing w:line="276" w:lineRule="auto"/>
        <w:rPr>
          <w:lang w:val="en-US"/>
        </w:rPr>
      </w:pPr>
    </w:p>
    <w:p w14:paraId="2B1862A2" w14:textId="77777777" w:rsidR="00672345" w:rsidRPr="002D528D" w:rsidRDefault="00672345" w:rsidP="00672345">
      <w:pPr>
        <w:spacing w:line="276" w:lineRule="auto"/>
        <w:rPr>
          <w:lang w:val="en-US"/>
        </w:rPr>
      </w:pPr>
    </w:p>
    <w:p w14:paraId="618C9A2C" w14:textId="77777777" w:rsidR="00672345" w:rsidRPr="002D528D" w:rsidRDefault="00672345" w:rsidP="00672345">
      <w:pPr>
        <w:spacing w:line="276" w:lineRule="auto"/>
        <w:rPr>
          <w:lang w:val="en-US"/>
        </w:rPr>
      </w:pPr>
      <w:r w:rsidRPr="002D528D">
        <w:rPr>
          <w:lang w:val="en-US"/>
        </w:rPr>
        <w:t>1- Define cultural heritage. How do international organizations such as UNESCO conceptualize heritage?</w:t>
      </w:r>
    </w:p>
    <w:p w14:paraId="6A036219" w14:textId="77777777" w:rsidR="00672345" w:rsidRPr="002D528D" w:rsidRDefault="00672345" w:rsidP="00672345">
      <w:pPr>
        <w:spacing w:line="276" w:lineRule="auto"/>
        <w:rPr>
          <w:lang w:val="en-US"/>
        </w:rPr>
      </w:pPr>
    </w:p>
    <w:p w14:paraId="1ED74A4D" w14:textId="77777777" w:rsidR="00672345" w:rsidRPr="002D528D" w:rsidRDefault="00672345" w:rsidP="00672345">
      <w:pPr>
        <w:spacing w:line="276" w:lineRule="auto"/>
        <w:rPr>
          <w:lang w:val="en-US"/>
        </w:rPr>
      </w:pPr>
      <w:r w:rsidRPr="002D528D">
        <w:rPr>
          <w:lang w:val="en-US"/>
        </w:rPr>
        <w:t>2- Differentiate between:</w:t>
      </w:r>
    </w:p>
    <w:p w14:paraId="444A310E" w14:textId="77777777" w:rsidR="00672345" w:rsidRPr="002D528D" w:rsidRDefault="00672345" w:rsidP="00672345">
      <w:pPr>
        <w:spacing w:line="276" w:lineRule="auto"/>
        <w:rPr>
          <w:lang w:val="en-US"/>
        </w:rPr>
      </w:pPr>
      <w:r w:rsidRPr="002D528D">
        <w:rPr>
          <w:lang w:val="en-US"/>
        </w:rPr>
        <w:t>Tangible heritage</w:t>
      </w:r>
    </w:p>
    <w:p w14:paraId="6D48D20E" w14:textId="77777777" w:rsidR="00672345" w:rsidRPr="002D528D" w:rsidRDefault="00672345" w:rsidP="00672345">
      <w:pPr>
        <w:spacing w:line="276" w:lineRule="auto"/>
      </w:pPr>
      <w:r w:rsidRPr="002D528D">
        <w:rPr>
          <w:lang w:val="en-US"/>
        </w:rPr>
        <w:t>Intangible heritage</w:t>
      </w:r>
    </w:p>
    <w:p w14:paraId="1DAF597A" w14:textId="77777777" w:rsidR="00672345" w:rsidRPr="002D528D" w:rsidRDefault="00672345">
      <w:pPr>
        <w:rPr>
          <w:lang w:val="en-US"/>
        </w:rPr>
      </w:pPr>
    </w:p>
    <w:p w14:paraId="5BD65637" w14:textId="77777777" w:rsidR="00706C01" w:rsidRPr="002D528D" w:rsidRDefault="00706C01">
      <w:pPr>
        <w:rPr>
          <w:lang w:val="en-US"/>
        </w:rPr>
      </w:pPr>
    </w:p>
    <w:p w14:paraId="17D8D603" w14:textId="77777777" w:rsidR="00706C01" w:rsidRPr="002D528D" w:rsidRDefault="00706C01">
      <w:pPr>
        <w:rPr>
          <w:lang w:val="en-US"/>
        </w:rPr>
      </w:pPr>
    </w:p>
    <w:p w14:paraId="5F29B98C" w14:textId="77777777" w:rsidR="00706C01" w:rsidRPr="002D528D" w:rsidRDefault="00706C01">
      <w:pPr>
        <w:rPr>
          <w:lang w:val="en-US"/>
        </w:rPr>
      </w:pPr>
    </w:p>
    <w:p w14:paraId="0CA7B702" w14:textId="77777777" w:rsidR="00706C01" w:rsidRPr="002D528D" w:rsidRDefault="00706C01">
      <w:pPr>
        <w:rPr>
          <w:lang w:val="en-US"/>
        </w:rPr>
      </w:pPr>
    </w:p>
    <w:p w14:paraId="26E51395" w14:textId="77777777" w:rsidR="00706C01" w:rsidRPr="002D528D" w:rsidRDefault="00706C01">
      <w:pPr>
        <w:rPr>
          <w:lang w:val="en-US"/>
        </w:rPr>
      </w:pPr>
    </w:p>
    <w:p w14:paraId="0384D70C" w14:textId="77777777" w:rsidR="00706C01" w:rsidRPr="002D528D" w:rsidRDefault="00706C01">
      <w:pPr>
        <w:rPr>
          <w:lang w:val="en-US"/>
        </w:rPr>
      </w:pPr>
    </w:p>
    <w:p w14:paraId="572FFFF2" w14:textId="77777777" w:rsidR="00706C01" w:rsidRPr="002D528D" w:rsidRDefault="00706C01">
      <w:pPr>
        <w:rPr>
          <w:lang w:val="en-US"/>
        </w:rPr>
      </w:pPr>
    </w:p>
    <w:p w14:paraId="6C277370" w14:textId="77777777" w:rsidR="00706C01" w:rsidRPr="002D528D" w:rsidRDefault="00706C01">
      <w:pPr>
        <w:rPr>
          <w:lang w:val="en-US"/>
        </w:rPr>
      </w:pPr>
    </w:p>
    <w:p w14:paraId="3515D7AB" w14:textId="77777777" w:rsidR="00706C01" w:rsidRPr="002D528D" w:rsidRDefault="00706C01">
      <w:pPr>
        <w:rPr>
          <w:lang w:val="en-US"/>
        </w:rPr>
      </w:pPr>
    </w:p>
    <w:p w14:paraId="61F77616" w14:textId="77777777" w:rsidR="00706C01" w:rsidRPr="002D528D" w:rsidRDefault="00706C01">
      <w:pPr>
        <w:rPr>
          <w:lang w:val="en-US"/>
        </w:rPr>
      </w:pPr>
    </w:p>
    <w:p w14:paraId="7D846D74" w14:textId="77777777" w:rsidR="00706C01" w:rsidRPr="002D528D" w:rsidRDefault="00706C01">
      <w:pPr>
        <w:rPr>
          <w:lang w:val="en-US"/>
        </w:rPr>
      </w:pPr>
    </w:p>
    <w:p w14:paraId="1953910D" w14:textId="77777777" w:rsidR="00706C01" w:rsidRPr="002D528D" w:rsidRDefault="00706C01">
      <w:pPr>
        <w:rPr>
          <w:lang w:val="en-US"/>
        </w:rPr>
      </w:pPr>
    </w:p>
    <w:p w14:paraId="5FD9FB84" w14:textId="77777777" w:rsidR="00706C01" w:rsidRPr="002D528D" w:rsidRDefault="00706C01">
      <w:pPr>
        <w:rPr>
          <w:lang w:val="en-US"/>
        </w:rPr>
      </w:pPr>
    </w:p>
    <w:p w14:paraId="46C7C63B" w14:textId="77777777" w:rsidR="00706C01" w:rsidRPr="002D528D" w:rsidRDefault="00706C01">
      <w:pPr>
        <w:rPr>
          <w:lang w:val="en-US"/>
        </w:rPr>
      </w:pPr>
    </w:p>
    <w:p w14:paraId="76CDD500" w14:textId="77777777" w:rsidR="00706C01" w:rsidRPr="002D528D" w:rsidRDefault="00706C01">
      <w:pPr>
        <w:rPr>
          <w:lang w:val="en-US"/>
        </w:rPr>
      </w:pPr>
    </w:p>
    <w:p w14:paraId="04A2658A" w14:textId="77777777" w:rsidR="00706C01" w:rsidRPr="002D528D" w:rsidRDefault="00706C01">
      <w:pPr>
        <w:rPr>
          <w:lang w:val="en-US"/>
        </w:rPr>
      </w:pPr>
    </w:p>
    <w:p w14:paraId="4E0A58DA" w14:textId="77777777" w:rsidR="00706C01" w:rsidRPr="002D528D" w:rsidRDefault="00706C01">
      <w:pPr>
        <w:rPr>
          <w:lang w:val="en-US"/>
        </w:rPr>
      </w:pPr>
    </w:p>
    <w:p w14:paraId="4DEDEE1F" w14:textId="77777777" w:rsidR="00706C01" w:rsidRPr="002D528D" w:rsidRDefault="00706C01">
      <w:pPr>
        <w:rPr>
          <w:lang w:val="en-US"/>
        </w:rPr>
      </w:pPr>
    </w:p>
    <w:p w14:paraId="4C201428" w14:textId="77777777" w:rsidR="002D528D" w:rsidRPr="002D528D" w:rsidRDefault="002D528D" w:rsidP="002D528D">
      <w:pPr>
        <w:rPr>
          <w:lang w:val="en-GB"/>
        </w:rPr>
      </w:pPr>
      <w:r w:rsidRPr="002D528D">
        <w:rPr>
          <w:lang w:val="en-GB"/>
        </w:rPr>
        <w:lastRenderedPageBreak/>
        <w:t>1. Definition of Cultural Heritage and UNESCO Conceptualization</w:t>
      </w:r>
    </w:p>
    <w:p w14:paraId="7A0EA50C" w14:textId="77777777" w:rsidR="002D528D" w:rsidRPr="002D528D" w:rsidRDefault="002D528D" w:rsidP="002D528D">
      <w:pPr>
        <w:rPr>
          <w:lang w:val="en-GB"/>
        </w:rPr>
      </w:pPr>
    </w:p>
    <w:p w14:paraId="05B216E8" w14:textId="77777777" w:rsidR="002D528D" w:rsidRPr="002D528D" w:rsidRDefault="002D528D" w:rsidP="002D528D">
      <w:pPr>
        <w:rPr>
          <w:lang w:val="en-GB"/>
        </w:rPr>
      </w:pPr>
      <w:r w:rsidRPr="002D528D">
        <w:rPr>
          <w:lang w:val="en-GB"/>
        </w:rPr>
        <w:t>Cultural heritage refers to the legacy of physical artifacts and intangible attributes inherited from past generations, maintained in the present, and passed on to future generations. It encompasses monuments, buildings, landscapes, traditions, languages, rituals, and knowledge systems that hold cultural significance for a community (Smith, 2006).</w:t>
      </w:r>
    </w:p>
    <w:p w14:paraId="1C2563A0" w14:textId="77777777" w:rsidR="002D528D" w:rsidRPr="002D528D" w:rsidRDefault="002D528D" w:rsidP="002D528D">
      <w:pPr>
        <w:rPr>
          <w:lang w:val="en-GB"/>
        </w:rPr>
      </w:pPr>
      <w:r w:rsidRPr="002D528D">
        <w:rPr>
          <w:lang w:val="en-GB"/>
        </w:rPr>
        <w:t>International organizations such as UNESCO conceptualize cultural heritage in a broad and inclusive manner. According to UNESCO (1972), cultural heritage includes tangible assets such as monuments, groups of buildings, and sites that have historical, aesthetic, archaeological, scientific, ethnological, or anthropological value. Later, UNESCO expanded this concept to include intangible cultural heritage, defined as practices, representations, expressions, knowledge, and skills that communities recognize as part of their cultural identity (UNESCO, 2003).</w:t>
      </w:r>
    </w:p>
    <w:p w14:paraId="616BC472" w14:textId="77777777" w:rsidR="002D528D" w:rsidRPr="002D528D" w:rsidRDefault="002D528D" w:rsidP="002D528D">
      <w:pPr>
        <w:rPr>
          <w:lang w:val="en-GB"/>
        </w:rPr>
      </w:pPr>
      <w:r w:rsidRPr="002D528D">
        <w:rPr>
          <w:lang w:val="en-GB"/>
        </w:rPr>
        <w:t>UNESCO’s framework emphasizes the idea that heritage is not only about preservation of the past but also about living traditions and cultural diversity. It highlights community participation, safeguarding measures, and intergenerational transmission. Heritage is therefore dynamic rather than static, constantly recreated by communities in response to their environment and history (</w:t>
      </w:r>
      <w:proofErr w:type="spellStart"/>
      <w:r w:rsidRPr="002D528D">
        <w:rPr>
          <w:lang w:val="en-GB"/>
        </w:rPr>
        <w:t>Vecco</w:t>
      </w:r>
      <w:proofErr w:type="spellEnd"/>
      <w:r w:rsidRPr="002D528D">
        <w:rPr>
          <w:lang w:val="en-GB"/>
        </w:rPr>
        <w:t>, 2010).</w:t>
      </w:r>
    </w:p>
    <w:p w14:paraId="7E5C22A6" w14:textId="77777777" w:rsidR="002D528D" w:rsidRPr="002D528D" w:rsidRDefault="002D528D" w:rsidP="002D528D">
      <w:pPr>
        <w:rPr>
          <w:lang w:val="en-GB"/>
        </w:rPr>
      </w:pPr>
      <w:r w:rsidRPr="002D528D">
        <w:rPr>
          <w:lang w:val="en-GB"/>
        </w:rPr>
        <w:t>Moreover, UNESCO links heritage to sustainable development, recognizing its role in fostering social cohesion, identity, and economic growth through tourism and cultural industries. This holistic approach ensures that both material and non-material aspects of culture are valued equally in global heritage discourse.</w:t>
      </w:r>
    </w:p>
    <w:p w14:paraId="30D7F719" w14:textId="10EC9DB7" w:rsidR="002D528D" w:rsidRPr="002D528D" w:rsidRDefault="002D528D" w:rsidP="002D528D">
      <w:pPr>
        <w:rPr>
          <w:lang w:val="en-GB"/>
        </w:rPr>
      </w:pPr>
    </w:p>
    <w:p w14:paraId="682F3F2A" w14:textId="77777777" w:rsidR="002D528D" w:rsidRPr="002D528D" w:rsidRDefault="002D528D" w:rsidP="002D528D">
      <w:pPr>
        <w:rPr>
          <w:lang w:val="en-GB"/>
        </w:rPr>
      </w:pPr>
      <w:r w:rsidRPr="002D528D">
        <w:rPr>
          <w:lang w:val="en-GB"/>
        </w:rPr>
        <w:t>2. Difference Between Tangible and Intangible Heritage</w:t>
      </w:r>
    </w:p>
    <w:p w14:paraId="0A512DB4" w14:textId="77777777" w:rsidR="002D528D" w:rsidRPr="002D528D" w:rsidRDefault="002D528D" w:rsidP="002D528D">
      <w:pPr>
        <w:rPr>
          <w:lang w:val="en-GB"/>
        </w:rPr>
      </w:pPr>
    </w:p>
    <w:p w14:paraId="77971A3A" w14:textId="77777777" w:rsidR="002D528D" w:rsidRPr="002D528D" w:rsidRDefault="002D528D" w:rsidP="002D528D">
      <w:pPr>
        <w:rPr>
          <w:lang w:val="en-GB"/>
        </w:rPr>
      </w:pPr>
      <w:r w:rsidRPr="002D528D">
        <w:rPr>
          <w:lang w:val="en-GB"/>
        </w:rPr>
        <w:t>Cultural heritage is broadly categorized into tangible and intangible forms, each representing different aspects of human culture.</w:t>
      </w:r>
    </w:p>
    <w:p w14:paraId="7AD61974" w14:textId="77777777" w:rsidR="002D528D" w:rsidRPr="002D528D" w:rsidRDefault="002D528D" w:rsidP="002D528D">
      <w:pPr>
        <w:rPr>
          <w:lang w:val="en-GB"/>
        </w:rPr>
      </w:pPr>
      <w:r w:rsidRPr="002D528D">
        <w:rPr>
          <w:lang w:val="en-GB"/>
        </w:rPr>
        <w:t>Tangible heritage refers to physical, material objects that can be seen and touched. These include monuments, buildings, archaeological sites, artworks, artifacts, and cultural landscapes. Tangible heritage is often preserved through conservation techniques and legal protection frameworks. For example, historical temples, museums, and ancient ruins fall under this category (Ahmad, 2006).</w:t>
      </w:r>
    </w:p>
    <w:p w14:paraId="029B770C" w14:textId="77777777" w:rsidR="002D528D" w:rsidRPr="002D528D" w:rsidRDefault="002D528D" w:rsidP="002D528D">
      <w:pPr>
        <w:rPr>
          <w:lang w:val="en-GB"/>
        </w:rPr>
      </w:pPr>
      <w:r w:rsidRPr="002D528D">
        <w:rPr>
          <w:lang w:val="en-GB"/>
        </w:rPr>
        <w:t>In contrast, intangible heritage refers to non-physical aspects of culture, such as traditions, oral expressions, performing arts, social practices, rituals, festivals, and traditional knowledge. Unlike tangible heritage, it is not static and depends on active transmission within communities. It is often more vulnerable because it relies on human memory and practice rather than physical preservation (</w:t>
      </w:r>
      <w:proofErr w:type="spellStart"/>
      <w:r w:rsidRPr="002D528D">
        <w:rPr>
          <w:lang w:val="en-GB"/>
        </w:rPr>
        <w:t>Lenzerini</w:t>
      </w:r>
      <w:proofErr w:type="spellEnd"/>
      <w:r w:rsidRPr="002D528D">
        <w:rPr>
          <w:lang w:val="en-GB"/>
        </w:rPr>
        <w:t>, 2011).</w:t>
      </w:r>
    </w:p>
    <w:p w14:paraId="2132BD3C" w14:textId="77777777" w:rsidR="002D528D" w:rsidRPr="002D528D" w:rsidRDefault="002D528D" w:rsidP="002D528D">
      <w:pPr>
        <w:rPr>
          <w:lang w:val="en-GB"/>
        </w:rPr>
      </w:pPr>
      <w:r w:rsidRPr="002D528D">
        <w:rPr>
          <w:lang w:val="en-GB"/>
        </w:rPr>
        <w:t>The key difference lies in their nature: tangible heritage is material and fixed, while intangible heritage is living and dynamic. Tangible heritage can exist independently of people, but intangible heritage requires continuous practice and community involvement for its survival. For instance, a historic building (tangible) may remain intact, but the cultural practices associated with it (intangible) may disappear if not actively maintained.</w:t>
      </w:r>
    </w:p>
    <w:p w14:paraId="32927147" w14:textId="77777777" w:rsidR="002D528D" w:rsidRPr="002D528D" w:rsidRDefault="002D528D" w:rsidP="002D528D">
      <w:pPr>
        <w:rPr>
          <w:lang w:val="en-GB"/>
        </w:rPr>
      </w:pPr>
      <w:r w:rsidRPr="002D528D">
        <w:rPr>
          <w:lang w:val="en-GB"/>
        </w:rPr>
        <w:t>Another difference is in preservation methods. Tangible heritage is conserved through restoration and protection laws, whereas intangible heritage is safeguarded through documentation, education, and cultural transmission. UNESCO recognizes the interdependence of both forms, as intangible meanings often give value to tangible objects (UNESCO, 2003).</w:t>
      </w:r>
    </w:p>
    <w:p w14:paraId="37109067" w14:textId="77777777" w:rsidR="002D528D" w:rsidRDefault="002D528D" w:rsidP="002D528D">
      <w:pPr>
        <w:rPr>
          <w:lang w:val="en-GB"/>
        </w:rPr>
      </w:pPr>
      <w:r w:rsidRPr="002D528D">
        <w:rPr>
          <w:lang w:val="en-GB"/>
        </w:rPr>
        <w:lastRenderedPageBreak/>
        <w:t>In summary, while tangible heritage provides physical evidence of history, intangible heritage reflects the living cultural expressions and identity of communities.</w:t>
      </w:r>
    </w:p>
    <w:p w14:paraId="3651CD3D" w14:textId="77777777" w:rsidR="002D528D" w:rsidRPr="002D528D" w:rsidRDefault="002D528D" w:rsidP="002D528D">
      <w:pPr>
        <w:rPr>
          <w:lang w:val="en-GB"/>
        </w:rPr>
      </w:pPr>
    </w:p>
    <w:p w14:paraId="11809092" w14:textId="77777777" w:rsidR="002D528D" w:rsidRPr="002D528D" w:rsidRDefault="002D528D" w:rsidP="002D528D">
      <w:pPr>
        <w:rPr>
          <w:lang w:val="en-GB"/>
        </w:rPr>
      </w:pPr>
      <w:r w:rsidRPr="002D528D">
        <w:rPr>
          <w:lang w:val="en-GB"/>
        </w:rPr>
        <w:t>References (Q2):</w:t>
      </w:r>
    </w:p>
    <w:p w14:paraId="0C36D9A7" w14:textId="77777777" w:rsidR="002D528D" w:rsidRPr="002D528D" w:rsidRDefault="002D528D" w:rsidP="002D528D">
      <w:pPr>
        <w:numPr>
          <w:ilvl w:val="0"/>
          <w:numId w:val="7"/>
        </w:numPr>
        <w:rPr>
          <w:lang w:val="en-GB"/>
        </w:rPr>
      </w:pPr>
      <w:r w:rsidRPr="002D528D">
        <w:rPr>
          <w:lang w:val="en-GB"/>
        </w:rPr>
        <w:t xml:space="preserve">Ahmad, Y. (2006). The scope and definitions of heritage: From tangible to intangible. </w:t>
      </w:r>
      <w:r w:rsidRPr="002D528D">
        <w:rPr>
          <w:i/>
          <w:iCs/>
          <w:lang w:val="en-GB"/>
        </w:rPr>
        <w:t>International Journal of Heritage Studies</w:t>
      </w:r>
      <w:r w:rsidRPr="002D528D">
        <w:rPr>
          <w:lang w:val="en-GB"/>
        </w:rPr>
        <w:t xml:space="preserve">, 12(3), 292–300. https://doi.org/10.1080/13527250600604639 </w:t>
      </w:r>
    </w:p>
    <w:p w14:paraId="2F48A061" w14:textId="77777777" w:rsidR="002D528D" w:rsidRPr="002D528D" w:rsidRDefault="002D528D" w:rsidP="002D528D">
      <w:pPr>
        <w:numPr>
          <w:ilvl w:val="0"/>
          <w:numId w:val="7"/>
        </w:numPr>
        <w:rPr>
          <w:lang w:val="en-GB"/>
        </w:rPr>
      </w:pPr>
      <w:proofErr w:type="spellStart"/>
      <w:r w:rsidRPr="002D528D">
        <w:rPr>
          <w:lang w:val="en-GB"/>
        </w:rPr>
        <w:t>Lenzerini</w:t>
      </w:r>
      <w:proofErr w:type="spellEnd"/>
      <w:r w:rsidRPr="002D528D">
        <w:rPr>
          <w:lang w:val="en-GB"/>
        </w:rPr>
        <w:t xml:space="preserve">, F. (2011). Intangible cultural heritage: The living culture of peoples. </w:t>
      </w:r>
      <w:r w:rsidRPr="002D528D">
        <w:rPr>
          <w:i/>
          <w:iCs/>
          <w:lang w:val="en-GB"/>
        </w:rPr>
        <w:t>European Journal of International Law</w:t>
      </w:r>
      <w:r w:rsidRPr="002D528D">
        <w:rPr>
          <w:lang w:val="en-GB"/>
        </w:rPr>
        <w:t xml:space="preserve">, 22(1), 101–120. </w:t>
      </w:r>
      <w:hyperlink r:id="rId6" w:tgtFrame="_new" w:history="1">
        <w:r w:rsidRPr="002D528D">
          <w:rPr>
            <w:rStyle w:val="Hyperlink"/>
            <w:lang w:val="en-GB"/>
          </w:rPr>
          <w:t>https://doi.org/10.1093/ejil/chr006</w:t>
        </w:r>
      </w:hyperlink>
      <w:r w:rsidRPr="002D528D">
        <w:rPr>
          <w:lang w:val="en-GB"/>
        </w:rPr>
        <w:t xml:space="preserve"> </w:t>
      </w:r>
    </w:p>
    <w:p w14:paraId="103D725F" w14:textId="77777777" w:rsidR="002D528D" w:rsidRPr="002D528D" w:rsidRDefault="002D528D" w:rsidP="002D528D">
      <w:pPr>
        <w:numPr>
          <w:ilvl w:val="0"/>
          <w:numId w:val="7"/>
        </w:numPr>
        <w:rPr>
          <w:lang w:val="en-GB"/>
        </w:rPr>
      </w:pPr>
      <w:r w:rsidRPr="002D528D">
        <w:rPr>
          <w:lang w:val="en-GB"/>
        </w:rPr>
        <w:t xml:space="preserve">UNESCO. (2003). </w:t>
      </w:r>
      <w:r w:rsidRPr="002D528D">
        <w:rPr>
          <w:i/>
          <w:iCs/>
          <w:lang w:val="en-GB"/>
        </w:rPr>
        <w:t>Convention for the Safeguarding of Intangible Cultural Heritage</w:t>
      </w:r>
      <w:r w:rsidRPr="002D528D">
        <w:rPr>
          <w:lang w:val="en-GB"/>
        </w:rPr>
        <w:t xml:space="preserve">. </w:t>
      </w:r>
    </w:p>
    <w:p w14:paraId="205964C8" w14:textId="77777777" w:rsidR="002D528D" w:rsidRPr="002D528D" w:rsidRDefault="002D528D" w:rsidP="002D528D">
      <w:pPr>
        <w:numPr>
          <w:ilvl w:val="0"/>
          <w:numId w:val="7"/>
        </w:numPr>
        <w:rPr>
          <w:lang w:val="en-GB"/>
        </w:rPr>
      </w:pPr>
      <w:proofErr w:type="spellStart"/>
      <w:r w:rsidRPr="002D528D">
        <w:rPr>
          <w:lang w:val="en-GB"/>
        </w:rPr>
        <w:t>Vecco</w:t>
      </w:r>
      <w:proofErr w:type="spellEnd"/>
      <w:r w:rsidRPr="002D528D">
        <w:rPr>
          <w:lang w:val="en-GB"/>
        </w:rPr>
        <w:t xml:space="preserve">, M. (2010). A definition of cultural heritage. </w:t>
      </w:r>
      <w:r w:rsidRPr="002D528D">
        <w:rPr>
          <w:i/>
          <w:iCs/>
          <w:lang w:val="en-GB"/>
        </w:rPr>
        <w:t>Journal of Cultural Heritage</w:t>
      </w:r>
      <w:r w:rsidRPr="002D528D">
        <w:rPr>
          <w:lang w:val="en-GB"/>
        </w:rPr>
        <w:t xml:space="preserve">, 11(3), 321–324. </w:t>
      </w:r>
      <w:hyperlink r:id="rId7" w:tgtFrame="_new" w:history="1">
        <w:r w:rsidRPr="002D528D">
          <w:rPr>
            <w:rStyle w:val="Hyperlink"/>
            <w:lang w:val="en-GB"/>
          </w:rPr>
          <w:t>https://doi.org/10.1016/j.culher.2010.01.006</w:t>
        </w:r>
      </w:hyperlink>
      <w:r w:rsidRPr="002D528D">
        <w:rPr>
          <w:lang w:val="en-GB"/>
        </w:rPr>
        <w:t xml:space="preserve"> </w:t>
      </w:r>
    </w:p>
    <w:p w14:paraId="25196568" w14:textId="77777777" w:rsidR="00706C01" w:rsidRPr="002D528D" w:rsidRDefault="00706C01" w:rsidP="002D528D">
      <w:pPr>
        <w:rPr>
          <w:lang w:val="en-US"/>
        </w:rPr>
      </w:pPr>
    </w:p>
    <w:sectPr w:rsidR="00706C01" w:rsidRPr="002D52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BB0F2685-E250-4DCE-B254-C45015ACE2A9}"/>
    <w:embedItalic r:id="rId2" w:fontKey="{4C39D700-F017-4896-99B7-DE664587D81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B7EEDAA4-7DE8-475B-853B-FA6FF8B3F734}"/>
  </w:font>
  <w:font w:name="Calibri Light">
    <w:panose1 w:val="020F0302020204030204"/>
    <w:charset w:val="00"/>
    <w:family w:val="swiss"/>
    <w:pitch w:val="variable"/>
    <w:sig w:usb0="E4002EFF" w:usb1="C000247B" w:usb2="00000009" w:usb3="00000000" w:csb0="000001FF" w:csb1="00000000"/>
    <w:embedRegular r:id="rId4" w:fontKey="{1094D2E8-1231-458C-949A-0273259DF0F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2676E"/>
    <w:multiLevelType w:val="multilevel"/>
    <w:tmpl w:val="64F6C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6652BA"/>
    <w:multiLevelType w:val="multilevel"/>
    <w:tmpl w:val="E3002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CD552F"/>
    <w:multiLevelType w:val="multilevel"/>
    <w:tmpl w:val="8A80D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C62FF1"/>
    <w:multiLevelType w:val="multilevel"/>
    <w:tmpl w:val="E7F2F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EF79BE"/>
    <w:multiLevelType w:val="multilevel"/>
    <w:tmpl w:val="97588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8076B43"/>
    <w:multiLevelType w:val="multilevel"/>
    <w:tmpl w:val="584E1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9753A4"/>
    <w:multiLevelType w:val="multilevel"/>
    <w:tmpl w:val="1980A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7645453">
    <w:abstractNumId w:val="3"/>
  </w:num>
  <w:num w:numId="2" w16cid:durableId="403377365">
    <w:abstractNumId w:val="5"/>
  </w:num>
  <w:num w:numId="3" w16cid:durableId="1948080051">
    <w:abstractNumId w:val="6"/>
  </w:num>
  <w:num w:numId="4" w16cid:durableId="497385274">
    <w:abstractNumId w:val="2"/>
  </w:num>
  <w:num w:numId="5" w16cid:durableId="368846214">
    <w:abstractNumId w:val="1"/>
  </w:num>
  <w:num w:numId="6" w16cid:durableId="307705172">
    <w:abstractNumId w:val="4"/>
  </w:num>
  <w:num w:numId="7" w16cid:durableId="1343582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26BE1"/>
    <w:rsid w:val="0003533E"/>
    <w:rsid w:val="000524D7"/>
    <w:rsid w:val="001700EC"/>
    <w:rsid w:val="00174BB1"/>
    <w:rsid w:val="00224FD9"/>
    <w:rsid w:val="002D528D"/>
    <w:rsid w:val="002F4AE0"/>
    <w:rsid w:val="00384E8A"/>
    <w:rsid w:val="003D1074"/>
    <w:rsid w:val="00426865"/>
    <w:rsid w:val="00477CAA"/>
    <w:rsid w:val="00502E29"/>
    <w:rsid w:val="005E458B"/>
    <w:rsid w:val="00672345"/>
    <w:rsid w:val="00706C01"/>
    <w:rsid w:val="00844EC2"/>
    <w:rsid w:val="008516FE"/>
    <w:rsid w:val="009C1D0A"/>
    <w:rsid w:val="00A044F7"/>
    <w:rsid w:val="00A8150E"/>
    <w:rsid w:val="00B20343"/>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EAE85"/>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706C01"/>
    <w:rPr>
      <w:color w:val="0563C1" w:themeColor="hyperlink"/>
      <w:u w:val="single"/>
    </w:rPr>
  </w:style>
  <w:style w:type="character" w:styleId="UnresolvedMention">
    <w:name w:val="Unresolved Mention"/>
    <w:basedOn w:val="DefaultParagraphFont"/>
    <w:uiPriority w:val="99"/>
    <w:semiHidden/>
    <w:unhideWhenUsed/>
    <w:rsid w:val="00706C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culher.2010.01.00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93/ejil/chr006"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703</Words>
  <Characters>4008</Characters>
  <Application>Microsoft Office Word</Application>
  <DocSecurity>0</DocSecurity>
  <Lines>33</Lines>
  <Paragraphs>9</Paragraphs>
  <ScaleCrop>false</ScaleCrop>
  <Company/>
  <LinksUpToDate>false</LinksUpToDate>
  <CharactersWithSpaces>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2026-04-10T01:45:00Z</dcterms:created>
  <dcterms:modified xsi:type="dcterms:W3CDTF">2026-04-10T01:45:00Z</dcterms:modified>
</cp:coreProperties>
</file>