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A0199D" w:rsidRPr="00A0199D">
        <w:rPr>
          <w:b/>
          <w:bCs/>
          <w:sz w:val="48"/>
          <w:szCs w:val="48"/>
        </w:rPr>
        <w:t xml:space="preserve">Strategic Crisis Communication Plan for Food Poisoning Outbreak at </w:t>
      </w:r>
      <w:proofErr w:type="spellStart"/>
      <w:r w:rsidR="00A0199D" w:rsidRPr="00A0199D">
        <w:rPr>
          <w:b/>
          <w:bCs/>
          <w:sz w:val="48"/>
          <w:szCs w:val="48"/>
        </w:rPr>
        <w:t>TropiCasa</w:t>
      </w:r>
      <w:proofErr w:type="spellEnd"/>
      <w:r w:rsidR="00A0199D" w:rsidRPr="00A0199D">
        <w:rPr>
          <w:b/>
          <w:bCs/>
          <w:sz w:val="48"/>
          <w:szCs w:val="48"/>
        </w:rPr>
        <w:t xml:space="preserve"> All-Inclusive Resort, Jamaica</w:t>
      </w:r>
    </w:p>
    <w:p w:rsidR="00023CF8" w:rsidRPr="00023CF8" w:rsidRDefault="00D26592" w:rsidP="00023CF8">
      <w:pPr>
        <w:jc w:val="center"/>
        <w:rPr>
          <w:sz w:val="44"/>
          <w:szCs w:val="44"/>
        </w:rPr>
      </w:pPr>
      <w:r>
        <w:rPr>
          <w:b/>
          <w:sz w:val="40"/>
          <w:szCs w:val="40"/>
        </w:rPr>
        <w:br/>
      </w:r>
      <w:r>
        <w:rPr>
          <w:sz w:val="40"/>
          <w:szCs w:val="40"/>
        </w:rPr>
        <w:br/>
      </w:r>
      <w:r w:rsidR="00023CF8" w:rsidRPr="00023CF8">
        <w:rPr>
          <w:sz w:val="44"/>
          <w:szCs w:val="44"/>
          <w:lang w:val="nl-NL"/>
        </w:rPr>
        <w:t>Student Name: Anup Kumar Joshi</w:t>
      </w:r>
      <w:r w:rsidR="00023CF8" w:rsidRPr="00023CF8">
        <w:rPr>
          <w:sz w:val="44"/>
          <w:szCs w:val="44"/>
          <w:lang w:val="nl-NL"/>
        </w:rPr>
        <w:br/>
        <w:t>Student ID: DE240036</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A0199D" w:rsidRDefault="00A0199D" w:rsidP="00D26592"/>
    <w:p w:rsidR="00A0199D" w:rsidRDefault="00A0199D" w:rsidP="00D26592"/>
    <w:p w:rsidR="00A0199D" w:rsidRDefault="00A0199D" w:rsidP="00D26592"/>
    <w:p w:rsidR="00A0199D" w:rsidRDefault="00A0199D" w:rsidP="00D26592"/>
    <w:p w:rsidR="00A0199D" w:rsidRDefault="00A0199D" w:rsidP="00D26592"/>
    <w:p w:rsidR="00A0199D" w:rsidRPr="00A0199D" w:rsidRDefault="00A0199D" w:rsidP="00A0199D">
      <w:pPr>
        <w:spacing w:before="100" w:beforeAutospacing="1" w:after="100" w:afterAutospacing="1" w:line="240" w:lineRule="auto"/>
        <w:outlineLvl w:val="1"/>
        <w:rPr>
          <w:rFonts w:ascii="Times New Roman" w:eastAsia="Times New Roman" w:hAnsi="Times New Roman" w:cs="Times New Roman"/>
          <w:b/>
          <w:bCs/>
          <w:sz w:val="36"/>
          <w:szCs w:val="36"/>
        </w:rPr>
      </w:pPr>
      <w:r w:rsidRPr="00A0199D">
        <w:rPr>
          <w:rFonts w:ascii="Times New Roman" w:eastAsia="Times New Roman" w:hAnsi="Times New Roman" w:cs="Times New Roman"/>
          <w:b/>
          <w:bCs/>
          <w:sz w:val="36"/>
          <w:szCs w:val="36"/>
        </w:rPr>
        <w:lastRenderedPageBreak/>
        <w:t>TABLE OF CONTENTS</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Abstract</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Introduction</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Literature Review</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Methodology</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Findings</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Discussion</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Conclusion</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References</w:t>
      </w:r>
    </w:p>
    <w:p w:rsidR="00A0199D" w:rsidRPr="00A0199D" w:rsidRDefault="00A0199D" w:rsidP="00A019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Appendices</w:t>
      </w:r>
    </w:p>
    <w:p w:rsidR="00AF2968" w:rsidRDefault="00AF2968" w:rsidP="00A0199D">
      <w:pPr>
        <w:spacing w:before="100" w:beforeAutospacing="1" w:after="100" w:afterAutospacing="1" w:line="240" w:lineRule="auto"/>
        <w:outlineLvl w:val="1"/>
        <w:rPr>
          <w:rFonts w:ascii="Times New Roman" w:eastAsia="Times New Roman" w:hAnsi="Times New Roman" w:cs="Times New Roman"/>
          <w:b/>
          <w:bCs/>
          <w:sz w:val="36"/>
          <w:szCs w:val="36"/>
        </w:rPr>
      </w:pPr>
    </w:p>
    <w:p w:rsidR="00A0199D" w:rsidRPr="00A0199D" w:rsidRDefault="00A0199D" w:rsidP="00A0199D">
      <w:pPr>
        <w:spacing w:before="100" w:beforeAutospacing="1" w:after="100" w:afterAutospacing="1" w:line="240" w:lineRule="auto"/>
        <w:outlineLvl w:val="1"/>
        <w:rPr>
          <w:rFonts w:ascii="Times New Roman" w:eastAsia="Times New Roman" w:hAnsi="Times New Roman" w:cs="Times New Roman"/>
          <w:b/>
          <w:bCs/>
          <w:sz w:val="36"/>
          <w:szCs w:val="36"/>
        </w:rPr>
      </w:pPr>
      <w:r w:rsidRPr="00A0199D">
        <w:rPr>
          <w:rFonts w:ascii="Times New Roman" w:eastAsia="Times New Roman" w:hAnsi="Times New Roman" w:cs="Times New Roman"/>
          <w:b/>
          <w:bCs/>
          <w:sz w:val="36"/>
          <w:szCs w:val="36"/>
        </w:rPr>
        <w:t>1. ABSTRACT</w:t>
      </w:r>
    </w:p>
    <w:p w:rsidR="006D010A" w:rsidRDefault="006D010A" w:rsidP="006D010A">
      <w:pPr>
        <w:pStyle w:val="NormalWeb"/>
      </w:pPr>
      <w:r>
        <w:t xml:space="preserve">In May 2025, </w:t>
      </w:r>
      <w:proofErr w:type="spellStart"/>
      <w:r>
        <w:t>TropiCasa</w:t>
      </w:r>
      <w:proofErr w:type="spellEnd"/>
      <w:r>
        <w:t xml:space="preserve"> Resort—a renowned luxury all-inclusive brand located in Montego Bay, Jamaica—faced a critical health crisis when 38 international guests reported symptoms of food poisoning, later identified as </w:t>
      </w:r>
      <w:proofErr w:type="spellStart"/>
      <w:r>
        <w:t>norovirus</w:t>
      </w:r>
      <w:proofErr w:type="spellEnd"/>
      <w:r>
        <w:t>. Several individuals required hospitalization, and the event rapidly garnered global attention. Video evidence posted by affected guests circulated widely across social media platforms, resulting in significant reputational fallout for the resort. The incident not only triggered concern among future travelers but also raised questions about the resort's hygiene protocols and emergency response mechanisms.</w:t>
      </w:r>
    </w:p>
    <w:p w:rsidR="006D010A" w:rsidRDefault="006D010A" w:rsidP="006D010A">
      <w:pPr>
        <w:pStyle w:val="NormalWeb"/>
      </w:pPr>
      <w:r>
        <w:t xml:space="preserve">This strategic communication plan is designed to offer a structured, theory-based framework for navigating the crisis. It utilizes </w:t>
      </w:r>
      <w:r>
        <w:rPr>
          <w:rStyle w:val="Strong"/>
        </w:rPr>
        <w:t>Situational Crisis Communication Theory (SCCT)</w:t>
      </w:r>
      <w:r>
        <w:t xml:space="preserve"> (Coombs, 2007) to identify the nature of the crisis and recommend appropriate response strategies. Since the event was preventable due to controllable hygiene failures, the plan adopts a “rebuild” posture emphasizing public apology, accountability, and restorative action. SCCT provides an evidence-backed foundation for evaluating the reputational threat and selecting response mechanisms that match stakeholder expectations and emotional needs.</w:t>
      </w:r>
    </w:p>
    <w:p w:rsidR="006D010A" w:rsidRDefault="006D010A" w:rsidP="006D010A">
      <w:pPr>
        <w:pStyle w:val="NormalWeb"/>
      </w:pPr>
      <w:r>
        <w:t xml:space="preserve">To ensure international relevance, the plan incorporates </w:t>
      </w:r>
      <w:proofErr w:type="spellStart"/>
      <w:r>
        <w:rPr>
          <w:rStyle w:val="Strong"/>
        </w:rPr>
        <w:t>Hofstede’s</w:t>
      </w:r>
      <w:proofErr w:type="spellEnd"/>
      <w:r>
        <w:rPr>
          <w:rStyle w:val="Strong"/>
        </w:rPr>
        <w:t xml:space="preserve"> Cultural Dimensions</w:t>
      </w:r>
      <w:r>
        <w:t xml:space="preserve"> (</w:t>
      </w:r>
      <w:proofErr w:type="spellStart"/>
      <w:r>
        <w:t>Hofstede</w:t>
      </w:r>
      <w:proofErr w:type="spellEnd"/>
      <w:r>
        <w:t>, 2011) to craft messages that are not only linguistically clear but also culturally respectful and emotionally resonant. Given that the affected guests came from diverse backgrounds—including North America, Europe, and Brazil—the communication strategy adapts tone, content, and medium based on collectivist versus individualist audience preferences. This alignment is critical for ensuring that communication efforts resonate across various socio-cultural groups.</w:t>
      </w:r>
    </w:p>
    <w:p w:rsidR="006D010A" w:rsidRDefault="006D010A" w:rsidP="006D010A">
      <w:pPr>
        <w:pStyle w:val="NormalWeb"/>
      </w:pPr>
      <w:r>
        <w:t xml:space="preserve">The plan also presents internal and public communication documents, including sample press releases, staff memos, social media responses, and embassy briefings. These documents are designed to achieve several objectives: reduce stakeholder panic, re-establish operational transparency, and demonstrate ethical leadership. The messaging is crafted using </w:t>
      </w:r>
      <w:r>
        <w:rPr>
          <w:rStyle w:val="Strong"/>
        </w:rPr>
        <w:t xml:space="preserve">Business </w:t>
      </w:r>
      <w:r>
        <w:rPr>
          <w:rStyle w:val="Strong"/>
        </w:rPr>
        <w:lastRenderedPageBreak/>
        <w:t>English best practices</w:t>
      </w:r>
      <w:r>
        <w:t xml:space="preserve"> to maintain professionalism while still delivering emotional reassurance and cultural sensitivity (</w:t>
      </w:r>
      <w:proofErr w:type="spellStart"/>
      <w:r>
        <w:t>Tench</w:t>
      </w:r>
      <w:proofErr w:type="spellEnd"/>
      <w:r>
        <w:t xml:space="preserve"> &amp; </w:t>
      </w:r>
      <w:proofErr w:type="spellStart"/>
      <w:r>
        <w:t>Yeomans</w:t>
      </w:r>
      <w:proofErr w:type="spellEnd"/>
      <w:r>
        <w:t>, 2017).</w:t>
      </w:r>
    </w:p>
    <w:p w:rsidR="006D010A" w:rsidRDefault="006D010A" w:rsidP="006D010A">
      <w:pPr>
        <w:pStyle w:val="NormalWeb"/>
      </w:pPr>
      <w:r>
        <w:t>Beyond the immediate response, the report addresses long-term trust restoration through strategic reform, stakeholder engagement, and continuous improvement. It recommends the implementation of enhanced sanitation protocols, crisis training for frontline staff, and the appointment of a Health and Safety Communications Officer. Trust is treated as a long-term asset that must be cultivated through consistent behavior and transparency (</w:t>
      </w:r>
      <w:proofErr w:type="spellStart"/>
      <w:r>
        <w:t>Fombrun</w:t>
      </w:r>
      <w:proofErr w:type="spellEnd"/>
      <w:r>
        <w:t xml:space="preserve"> &amp; van Riel, 2004).</w:t>
      </w:r>
    </w:p>
    <w:p w:rsidR="006D010A" w:rsidRDefault="006D010A" w:rsidP="006D010A">
      <w:pPr>
        <w:pStyle w:val="NormalWeb"/>
      </w:pPr>
      <w:r>
        <w:t xml:space="preserve">In conclusion, this communication plan serves as both a blueprint for crisis response and a learning tool for the broader hospitality industry. The </w:t>
      </w:r>
      <w:proofErr w:type="spellStart"/>
      <w:r>
        <w:t>TropiCasa</w:t>
      </w:r>
      <w:proofErr w:type="spellEnd"/>
      <w:r>
        <w:t xml:space="preserve"> case reflects the fragility of reputation in the global tourism sector and highlights the essential role of culturally competent, ethically grounded communication in restoring brand equity during a health crisis.</w:t>
      </w:r>
    </w:p>
    <w:p w:rsidR="006D010A" w:rsidRDefault="006D010A" w:rsidP="006D010A">
      <w:pPr>
        <w:pStyle w:val="Heading3"/>
        <w:rPr>
          <w:rStyle w:val="Strong"/>
          <w:b/>
          <w:bCs/>
        </w:rPr>
      </w:pPr>
    </w:p>
    <w:p w:rsidR="006D010A" w:rsidRDefault="006D010A" w:rsidP="006D010A">
      <w:pPr>
        <w:pStyle w:val="Heading3"/>
      </w:pPr>
      <w:r>
        <w:rPr>
          <w:rStyle w:val="Strong"/>
          <w:b/>
          <w:bCs/>
        </w:rPr>
        <w:t>2. INTRODUCTION</w:t>
      </w:r>
    </w:p>
    <w:p w:rsidR="006D010A" w:rsidRPr="006D010A" w:rsidRDefault="006D010A" w:rsidP="006D010A">
      <w:pPr>
        <w:pStyle w:val="Heading4"/>
        <w:rPr>
          <w:color w:val="auto"/>
        </w:rPr>
      </w:pPr>
      <w:r w:rsidRPr="006D010A">
        <w:rPr>
          <w:rStyle w:val="Strong"/>
          <w:b/>
          <w:bCs/>
          <w:color w:val="auto"/>
        </w:rPr>
        <w:t>2.1 Background</w:t>
      </w:r>
    </w:p>
    <w:p w:rsidR="006D010A" w:rsidRDefault="006D010A" w:rsidP="006D010A">
      <w:pPr>
        <w:pStyle w:val="NormalWeb"/>
      </w:pPr>
      <w:r>
        <w:t xml:space="preserve">On May 4, 2025, </w:t>
      </w:r>
      <w:proofErr w:type="spellStart"/>
      <w:r>
        <w:t>TropiCasa</w:t>
      </w:r>
      <w:proofErr w:type="spellEnd"/>
      <w:r>
        <w:t xml:space="preserve"> Resort hosted its weekly buffet dinner, a celebrated highlight for visiting families and couples. Unfortunately, this occasion became the origin of a serious health crisis, as multiple guests began experiencing severe gastrointestinal symptoms just hours after dining. Symptoms included vomiting, nausea, diarrhea, and dehydration, with over 38 reported cases by the following day. Health authorities later confirmed the cause to be </w:t>
      </w:r>
      <w:proofErr w:type="spellStart"/>
      <w:r>
        <w:rPr>
          <w:rStyle w:val="Strong"/>
        </w:rPr>
        <w:t>norovirus</w:t>
      </w:r>
      <w:proofErr w:type="spellEnd"/>
      <w:r>
        <w:t>, a highly contagious virus often linked to contaminated food or surfaces (CDC, 2023).</w:t>
      </w:r>
    </w:p>
    <w:p w:rsidR="006D010A" w:rsidRDefault="006D010A" w:rsidP="006D010A">
      <w:pPr>
        <w:pStyle w:val="NormalWeb"/>
      </w:pPr>
      <w:r>
        <w:t xml:space="preserve">The resort's immediate response was seen as inadequate by guests, many of whom complained of delayed medical assistance and minimal staff communication. Matters escalated when tourists began uploading graphic videos and photos online, including disturbing scenes of vomiting children and distraught parents. These clips quickly went viral, generating widespread criticism on platforms such as </w:t>
      </w:r>
      <w:proofErr w:type="spellStart"/>
      <w:r>
        <w:t>TikTok</w:t>
      </w:r>
      <w:proofErr w:type="spellEnd"/>
      <w:r>
        <w:t xml:space="preserve">, </w:t>
      </w:r>
      <w:proofErr w:type="spellStart"/>
      <w:r>
        <w:t>Instagram</w:t>
      </w:r>
      <w:proofErr w:type="spellEnd"/>
      <w:r>
        <w:t xml:space="preserve">, and X (formerly Twitter), where </w:t>
      </w:r>
      <w:proofErr w:type="spellStart"/>
      <w:r>
        <w:t>hashtags</w:t>
      </w:r>
      <w:proofErr w:type="spellEnd"/>
      <w:r>
        <w:t xml:space="preserve"> like </w:t>
      </w:r>
      <w:r>
        <w:rPr>
          <w:rStyle w:val="Strong"/>
        </w:rPr>
        <w:t>#</w:t>
      </w:r>
      <w:proofErr w:type="spellStart"/>
      <w:r>
        <w:rPr>
          <w:rStyle w:val="Strong"/>
        </w:rPr>
        <w:t>TropiCasaCrisis</w:t>
      </w:r>
      <w:proofErr w:type="spellEnd"/>
      <w:r>
        <w:t xml:space="preserve"> and </w:t>
      </w:r>
      <w:r>
        <w:rPr>
          <w:rStyle w:val="Strong"/>
        </w:rPr>
        <w:t>#</w:t>
      </w:r>
      <w:proofErr w:type="spellStart"/>
      <w:r>
        <w:rPr>
          <w:rStyle w:val="Strong"/>
        </w:rPr>
        <w:t>MontegoBayOutbreak</w:t>
      </w:r>
      <w:proofErr w:type="spellEnd"/>
      <w:r>
        <w:t xml:space="preserve"> trended globally.</w:t>
      </w:r>
    </w:p>
    <w:p w:rsidR="006D010A" w:rsidRDefault="006D010A" w:rsidP="006D010A">
      <w:pPr>
        <w:pStyle w:val="NormalWeb"/>
      </w:pPr>
      <w:r>
        <w:t xml:space="preserve">International media outlets picked up the story within 48 hours, amplifying public concern. Embassies from the United States, United Kingdom, and Brazil issued health advisories and requested formal explanations from Jamaican tourism officials. NGOs and tourism watchdogs began calling for stricter health inspections and sanctions. As the crisis gained diplomatic and ethical dimensions, </w:t>
      </w:r>
      <w:proofErr w:type="spellStart"/>
      <w:r>
        <w:t>TropiCasa</w:t>
      </w:r>
      <w:proofErr w:type="spellEnd"/>
      <w:r>
        <w:t xml:space="preserve"> was pushed into a defensive position, further harming its credibility among consumers and industry stakeholders.</w:t>
      </w:r>
    </w:p>
    <w:p w:rsidR="006D010A" w:rsidRDefault="006D010A" w:rsidP="006D010A">
      <w:pPr>
        <w:pStyle w:val="NormalWeb"/>
      </w:pPr>
      <w:r>
        <w:t xml:space="preserve">This backdrop of viral outrage, public health concern, and cross-border diplomacy set the stage for a full-scale reputational crisis. The resort's handling of the event—and more importantly, how it communicated during and after—became a focal point for criticism. This report is grounded in </w:t>
      </w:r>
      <w:r>
        <w:lastRenderedPageBreak/>
        <w:t>the premise that timely, empathetic, and strategically sound communication is not just a response tool but a core determinant of crisis outcome.</w:t>
      </w:r>
    </w:p>
    <w:p w:rsidR="006D010A" w:rsidRPr="006D010A" w:rsidRDefault="006D010A" w:rsidP="006D010A">
      <w:pPr>
        <w:pStyle w:val="Heading4"/>
        <w:rPr>
          <w:color w:val="auto"/>
        </w:rPr>
      </w:pPr>
      <w:r w:rsidRPr="006D010A">
        <w:rPr>
          <w:rStyle w:val="Strong"/>
          <w:b/>
          <w:bCs/>
          <w:color w:val="auto"/>
        </w:rPr>
        <w:t>2.2 Role of Crisis Communication in Hospitality Health Incidents</w:t>
      </w:r>
    </w:p>
    <w:p w:rsidR="006D010A" w:rsidRDefault="006D010A" w:rsidP="006D010A">
      <w:pPr>
        <w:pStyle w:val="NormalWeb"/>
      </w:pPr>
      <w:r>
        <w:t xml:space="preserve">Health-related crises within the tourism and hospitality sector have consistently proven to be among the most damaging to brand trust and customer loyalty. Unlike operational failures or natural disasters, </w:t>
      </w:r>
      <w:proofErr w:type="spellStart"/>
      <w:r>
        <w:t>foodborne</w:t>
      </w:r>
      <w:proofErr w:type="spellEnd"/>
      <w:r>
        <w:t xml:space="preserve"> illness events invoke a deeply personal reaction from the public, as they threaten physical wellbeing and perceived carelessness by the service provider (Henderson, 2007). The emotional toll is intensified when families with children are involved, making crisis communication not only a public relations task but a moral obligation.</w:t>
      </w:r>
    </w:p>
    <w:p w:rsidR="006D010A" w:rsidRDefault="006D010A" w:rsidP="006D010A">
      <w:pPr>
        <w:pStyle w:val="NormalWeb"/>
      </w:pPr>
      <w:r>
        <w:t xml:space="preserve">In the context of </w:t>
      </w:r>
      <w:proofErr w:type="spellStart"/>
      <w:r>
        <w:t>TropiCasa</w:t>
      </w:r>
      <w:proofErr w:type="spellEnd"/>
      <w:r>
        <w:t xml:space="preserve">, the crisis emerged at the intersection of public health and customer service failure. Here, </w:t>
      </w:r>
      <w:r>
        <w:rPr>
          <w:rStyle w:val="Strong"/>
        </w:rPr>
        <w:t>strategic crisis communication</w:t>
      </w:r>
      <w:r>
        <w:t xml:space="preserve"> must go beyond mere legal disclaimers or defensive messaging. The communication must be </w:t>
      </w:r>
      <w:r>
        <w:rPr>
          <w:rStyle w:val="Strong"/>
        </w:rPr>
        <w:t>transparent, timely, and human-centered</w:t>
      </w:r>
      <w:r>
        <w:t>, acknowledging pain, sharing facts, and outlining actionable reforms. Research shows that sincere apologies, when paired with corrective action, are far more effective in restoring trust than impersonal statements (Coombs &amp; Holladay, 2008).</w:t>
      </w:r>
    </w:p>
    <w:p w:rsidR="006D010A" w:rsidRDefault="006D010A" w:rsidP="006D010A">
      <w:pPr>
        <w:pStyle w:val="NormalWeb"/>
      </w:pPr>
      <w:r>
        <w:t xml:space="preserve">Moreover, hospitality crises occur in </w:t>
      </w:r>
      <w:r>
        <w:rPr>
          <w:rStyle w:val="Strong"/>
        </w:rPr>
        <w:t>cross-cultural environments</w:t>
      </w:r>
      <w:r>
        <w:t xml:space="preserve">, where guests, staff, and authorities may interpret information differently based on cultural backgrounds. This makes </w:t>
      </w:r>
      <w:r>
        <w:rPr>
          <w:rStyle w:val="Strong"/>
        </w:rPr>
        <w:t>culturally intelligent communication</w:t>
      </w:r>
      <w:r>
        <w:t xml:space="preserve"> essential to prevent misinterpretation or escalation. </w:t>
      </w:r>
      <w:proofErr w:type="spellStart"/>
      <w:r>
        <w:rPr>
          <w:rStyle w:val="Strong"/>
        </w:rPr>
        <w:t>Hofstede’s</w:t>
      </w:r>
      <w:proofErr w:type="spellEnd"/>
      <w:r>
        <w:rPr>
          <w:rStyle w:val="Strong"/>
        </w:rPr>
        <w:t xml:space="preserve"> dimensions</w:t>
      </w:r>
      <w:r>
        <w:t>, particularly uncertainty avoidance and power distance, influence how stakeholders perceive blame, apology, and authority in crisis messaging (</w:t>
      </w:r>
      <w:proofErr w:type="spellStart"/>
      <w:r>
        <w:t>Hofstede</w:t>
      </w:r>
      <w:proofErr w:type="spellEnd"/>
      <w:r>
        <w:t>, 2011). For example, while American audiences may value individual accountability, Latin American or Caribbean audiences may seek collective acknowledgment and community outreach.</w:t>
      </w:r>
    </w:p>
    <w:p w:rsidR="006D010A" w:rsidRDefault="006D010A" w:rsidP="006D010A">
      <w:pPr>
        <w:pStyle w:val="NormalWeb"/>
      </w:pPr>
      <w:r>
        <w:t xml:space="preserve">Crisis communication, when done correctly, plays a dual role: it </w:t>
      </w:r>
      <w:r>
        <w:rPr>
          <w:rStyle w:val="Strong"/>
        </w:rPr>
        <w:t>prevents reputational collapse</w:t>
      </w:r>
      <w:r>
        <w:t xml:space="preserve"> in the short term and </w:t>
      </w:r>
      <w:r>
        <w:rPr>
          <w:rStyle w:val="Strong"/>
        </w:rPr>
        <w:t>sets the foundation for long-term brand recovery</w:t>
      </w:r>
      <w:r>
        <w:t xml:space="preserve">. For hospitality brands like </w:t>
      </w:r>
      <w:proofErr w:type="spellStart"/>
      <w:r>
        <w:t>TropiCasa</w:t>
      </w:r>
      <w:proofErr w:type="spellEnd"/>
      <w:r>
        <w:t>, which thrive on guest experience and word-of-mouth marketing, a proactive, ethical, and inclusive communication plan is the most powerful asset during a health emergency.</w:t>
      </w:r>
    </w:p>
    <w:p w:rsidR="00696AA0" w:rsidRDefault="00696AA0" w:rsidP="00A0199D">
      <w:pPr>
        <w:spacing w:before="100" w:beforeAutospacing="1" w:after="100" w:afterAutospacing="1" w:line="240" w:lineRule="auto"/>
        <w:outlineLvl w:val="1"/>
        <w:rPr>
          <w:rFonts w:ascii="Times New Roman" w:eastAsia="Times New Roman" w:hAnsi="Times New Roman" w:cs="Times New Roman"/>
          <w:sz w:val="24"/>
          <w:szCs w:val="24"/>
        </w:rPr>
      </w:pPr>
    </w:p>
    <w:p w:rsidR="00C02CD0" w:rsidRDefault="00C02CD0" w:rsidP="00C02CD0">
      <w:pPr>
        <w:pStyle w:val="Heading3"/>
      </w:pPr>
      <w:r>
        <w:rPr>
          <w:rStyle w:val="Strong"/>
          <w:b/>
          <w:bCs/>
        </w:rPr>
        <w:t>3. LITERATURE REVIEW</w:t>
      </w:r>
    </w:p>
    <w:p w:rsidR="00C02CD0" w:rsidRPr="00C02CD0" w:rsidRDefault="00C02CD0" w:rsidP="00C02CD0">
      <w:pPr>
        <w:pStyle w:val="Heading4"/>
        <w:rPr>
          <w:color w:val="auto"/>
        </w:rPr>
      </w:pPr>
      <w:r w:rsidRPr="00C02CD0">
        <w:rPr>
          <w:rStyle w:val="Strong"/>
          <w:b/>
          <w:bCs/>
          <w:color w:val="auto"/>
        </w:rPr>
        <w:t>3.1 Situational Crisis Communication Theory (SCCT)</w:t>
      </w:r>
    </w:p>
    <w:p w:rsidR="00C02CD0" w:rsidRDefault="00C02CD0" w:rsidP="00C02CD0">
      <w:pPr>
        <w:pStyle w:val="NormalWeb"/>
      </w:pPr>
      <w:r>
        <w:rPr>
          <w:rStyle w:val="Strong"/>
        </w:rPr>
        <w:t>Situational Crisis Communication Theory (SCCT)</w:t>
      </w:r>
      <w:r>
        <w:t xml:space="preserve">, developed by Coombs (2007), provides a foundational framework for identifying appropriate responses during organizational crises based on attribution of responsibility. In the case of </w:t>
      </w:r>
      <w:proofErr w:type="spellStart"/>
      <w:r>
        <w:t>foodborne</w:t>
      </w:r>
      <w:proofErr w:type="spellEnd"/>
      <w:r>
        <w:t xml:space="preserve"> illness outbreaks such as the </w:t>
      </w:r>
      <w:proofErr w:type="spellStart"/>
      <w:r>
        <w:t>TropiCasa</w:t>
      </w:r>
      <w:proofErr w:type="spellEnd"/>
      <w:r>
        <w:t xml:space="preserve"> Resort incident, the crisis is classified as “preventable,” implying a high degree of responsibility on the part of the organization. This classification calls for a </w:t>
      </w:r>
      <w:r>
        <w:rPr>
          <w:rStyle w:val="Strong"/>
        </w:rPr>
        <w:t>“Rebuild” strategy</w:t>
      </w:r>
      <w:r>
        <w:t xml:space="preserve">, which includes full transparency, public apologies, financial compensation, and structural corrective measures (Coombs, 2015). Research shows that the Rebuild strategy is most effective in restoring trust when organizations face reputational threats perceived as avoidable (Kim, Avery, &amp; </w:t>
      </w:r>
      <w:proofErr w:type="spellStart"/>
      <w:r>
        <w:t>Lariscy</w:t>
      </w:r>
      <w:proofErr w:type="spellEnd"/>
      <w:r>
        <w:t xml:space="preserve">, </w:t>
      </w:r>
      <w:r>
        <w:lastRenderedPageBreak/>
        <w:t xml:space="preserve">2009). Given that the outbreak stemmed from internal hygiene failures, </w:t>
      </w:r>
      <w:proofErr w:type="spellStart"/>
      <w:r>
        <w:t>TropiCasa</w:t>
      </w:r>
      <w:proofErr w:type="spellEnd"/>
      <w:r>
        <w:t xml:space="preserve"> must demonstrate operational accountability while also addressing emotional responses from stakeholders. Failure to adopt this strategy may deepen reputational damage and lead to long-term brand erosion (</w:t>
      </w:r>
      <w:proofErr w:type="spellStart"/>
      <w:r>
        <w:t>Claeys</w:t>
      </w:r>
      <w:proofErr w:type="spellEnd"/>
      <w:r>
        <w:t xml:space="preserve"> &amp; </w:t>
      </w:r>
      <w:proofErr w:type="spellStart"/>
      <w:r>
        <w:t>Cauberghe</w:t>
      </w:r>
      <w:proofErr w:type="spellEnd"/>
      <w:r>
        <w:t>, 2014).</w:t>
      </w:r>
    </w:p>
    <w:p w:rsidR="00C02CD0" w:rsidRDefault="00C02CD0" w:rsidP="00C02CD0">
      <w:pPr>
        <w:pStyle w:val="Heading4"/>
        <w:rPr>
          <w:rStyle w:val="Strong"/>
          <w:b/>
          <w:bCs/>
          <w:color w:val="auto"/>
        </w:rPr>
      </w:pPr>
    </w:p>
    <w:p w:rsidR="00C02CD0" w:rsidRPr="00C02CD0" w:rsidRDefault="00C02CD0" w:rsidP="00C02CD0">
      <w:pPr>
        <w:pStyle w:val="Heading4"/>
        <w:rPr>
          <w:color w:val="auto"/>
        </w:rPr>
      </w:pPr>
      <w:r w:rsidRPr="00C02CD0">
        <w:rPr>
          <w:rStyle w:val="Strong"/>
          <w:b/>
          <w:bCs/>
          <w:color w:val="auto"/>
        </w:rPr>
        <w:t xml:space="preserve">3.2 </w:t>
      </w:r>
      <w:proofErr w:type="spellStart"/>
      <w:r w:rsidRPr="00C02CD0">
        <w:rPr>
          <w:rStyle w:val="Strong"/>
          <w:b/>
          <w:bCs/>
          <w:color w:val="auto"/>
        </w:rPr>
        <w:t>Hofstede’s</w:t>
      </w:r>
      <w:proofErr w:type="spellEnd"/>
      <w:r w:rsidRPr="00C02CD0">
        <w:rPr>
          <w:rStyle w:val="Strong"/>
          <w:b/>
          <w:bCs/>
          <w:color w:val="auto"/>
        </w:rPr>
        <w:t xml:space="preserve"> Cultural Dimensions in Public Health Crisis Messaging</w:t>
      </w:r>
    </w:p>
    <w:p w:rsidR="00C02CD0" w:rsidRDefault="00C02CD0" w:rsidP="00C02CD0">
      <w:pPr>
        <w:pStyle w:val="NormalWeb"/>
      </w:pPr>
      <w:proofErr w:type="spellStart"/>
      <w:r>
        <w:rPr>
          <w:rStyle w:val="Strong"/>
        </w:rPr>
        <w:t>Hofstede’s</w:t>
      </w:r>
      <w:proofErr w:type="spellEnd"/>
      <w:r>
        <w:rPr>
          <w:rStyle w:val="Strong"/>
        </w:rPr>
        <w:t xml:space="preserve"> Cultural Dimensions Theory</w:t>
      </w:r>
      <w:r>
        <w:t xml:space="preserve"> (</w:t>
      </w:r>
      <w:proofErr w:type="spellStart"/>
      <w:r>
        <w:t>Hofstede</w:t>
      </w:r>
      <w:proofErr w:type="spellEnd"/>
      <w:r>
        <w:t xml:space="preserve">, 2011) plays a critical role in shaping culturally attuned crisis communication, especially in global hospitality settings. Western tourists from countries like the United States, Canada, and the UK typically exhibit low-context communication preferences, valuing </w:t>
      </w:r>
      <w:r>
        <w:rPr>
          <w:rStyle w:val="Strong"/>
        </w:rPr>
        <w:t>directness, factual accuracy, and rapid acknowledgment of issues</w:t>
      </w:r>
      <w:r>
        <w:t xml:space="preserve">. In contrast, Caribbean nations like Jamaica often reflect </w:t>
      </w:r>
      <w:r>
        <w:rPr>
          <w:rStyle w:val="Strong"/>
        </w:rPr>
        <w:t>moderate to high-context cultures</w:t>
      </w:r>
      <w:r>
        <w:t>, where emotional tone, personal relationships, and respect for institutional authority influence communication reception (</w:t>
      </w:r>
      <w:proofErr w:type="spellStart"/>
      <w:r>
        <w:t>Minkov</w:t>
      </w:r>
      <w:proofErr w:type="spellEnd"/>
      <w:r>
        <w:t xml:space="preserve"> &amp; </w:t>
      </w:r>
      <w:proofErr w:type="spellStart"/>
      <w:r>
        <w:t>Hofstede</w:t>
      </w:r>
      <w:proofErr w:type="spellEnd"/>
      <w:r>
        <w:t>, 2012). Therefore, messaging must be adapted accordingly—highly detailed and straightforward for Western audiences, but more empathetic and relationship-oriented for local stakeholders. Ignoring these cultural nuances may lead to misinterpretation or offense, further intensifying public backlash (</w:t>
      </w:r>
      <w:proofErr w:type="spellStart"/>
      <w:r>
        <w:t>Reisinger</w:t>
      </w:r>
      <w:proofErr w:type="spellEnd"/>
      <w:r>
        <w:t xml:space="preserve"> &amp; Turner, 2003). For </w:t>
      </w:r>
      <w:proofErr w:type="spellStart"/>
      <w:r>
        <w:t>TropiCasa</w:t>
      </w:r>
      <w:proofErr w:type="spellEnd"/>
      <w:r>
        <w:t>, aligning communication with both international guest expectations and local sensitivities is essential for credibility and recovery.</w:t>
      </w:r>
    </w:p>
    <w:p w:rsidR="00C02CD0" w:rsidRDefault="00C02CD0" w:rsidP="00C02CD0">
      <w:pPr>
        <w:pStyle w:val="Heading4"/>
        <w:rPr>
          <w:rStyle w:val="Strong"/>
          <w:b/>
          <w:bCs/>
          <w:color w:val="auto"/>
        </w:rPr>
      </w:pPr>
    </w:p>
    <w:p w:rsidR="00C02CD0" w:rsidRPr="00C02CD0" w:rsidRDefault="00C02CD0" w:rsidP="00C02CD0">
      <w:pPr>
        <w:pStyle w:val="Heading4"/>
        <w:rPr>
          <w:color w:val="auto"/>
        </w:rPr>
      </w:pPr>
      <w:r w:rsidRPr="00C02CD0">
        <w:rPr>
          <w:rStyle w:val="Strong"/>
          <w:b/>
          <w:bCs/>
          <w:color w:val="auto"/>
        </w:rPr>
        <w:t>3.3 Hospitality Hygiene and Risk Perception</w:t>
      </w:r>
    </w:p>
    <w:p w:rsidR="00C02CD0" w:rsidRDefault="00C02CD0" w:rsidP="00C02CD0">
      <w:pPr>
        <w:pStyle w:val="NormalWeb"/>
      </w:pPr>
      <w:r>
        <w:t xml:space="preserve">The hospitality industry’s dependence on </w:t>
      </w:r>
      <w:r>
        <w:rPr>
          <w:rStyle w:val="Strong"/>
        </w:rPr>
        <w:t>perceived cleanliness and guest safety</w:t>
      </w:r>
      <w:r>
        <w:t xml:space="preserve"> makes it particularly vulnerable to hygiene-related crises. According to Sparks, Bowen, and </w:t>
      </w:r>
      <w:proofErr w:type="spellStart"/>
      <w:r>
        <w:t>Klag</w:t>
      </w:r>
      <w:proofErr w:type="spellEnd"/>
      <w:r>
        <w:t xml:space="preserve"> (2016), </w:t>
      </w:r>
      <w:r>
        <w:rPr>
          <w:rStyle w:val="Strong"/>
        </w:rPr>
        <w:t>82% of travelers</w:t>
      </w:r>
      <w:r>
        <w:t xml:space="preserve"> would avoid rebooking at a property associated with a hygiene incident—even if the issue was resolved. This indicates that recovery goes beyond resolving the immediate cause; it demands a </w:t>
      </w:r>
      <w:r>
        <w:rPr>
          <w:rStyle w:val="Strong"/>
        </w:rPr>
        <w:t>sustained reputational rehabilitation</w:t>
      </w:r>
      <w:r>
        <w:t xml:space="preserve">. Perceived hygiene lapses evoke fear, disgust, and betrayal—emotions that are difficult to reverse with standard marketing or public relations (Hudson &amp; Hudson, 2013). In a tourism context, word-of-mouth, online reviews, and social media testimonials carry heavy weight in shaping consumer trust. Hence, recovery strategies must combine </w:t>
      </w:r>
      <w:r>
        <w:rPr>
          <w:rStyle w:val="Strong"/>
        </w:rPr>
        <w:t>robust sanitation improvements</w:t>
      </w:r>
      <w:r>
        <w:t>, visible health reforms, and transparent updates to the public. Brand trust must be re-earned through behavior, not just promises.</w:t>
      </w:r>
    </w:p>
    <w:p w:rsidR="00C02CD0" w:rsidRDefault="00C02CD0" w:rsidP="00C02CD0">
      <w:pPr>
        <w:pStyle w:val="Heading4"/>
        <w:rPr>
          <w:rStyle w:val="Strong"/>
          <w:b/>
          <w:bCs/>
          <w:color w:val="auto"/>
        </w:rPr>
      </w:pPr>
    </w:p>
    <w:p w:rsidR="00C02CD0" w:rsidRPr="00C02CD0" w:rsidRDefault="00C02CD0" w:rsidP="00C02CD0">
      <w:pPr>
        <w:pStyle w:val="Heading4"/>
        <w:rPr>
          <w:color w:val="auto"/>
        </w:rPr>
      </w:pPr>
      <w:r w:rsidRPr="00C02CD0">
        <w:rPr>
          <w:rStyle w:val="Strong"/>
          <w:b/>
          <w:bCs/>
          <w:color w:val="auto"/>
        </w:rPr>
        <w:t>3.4 Social Media’s Amplifying Role in Health Scandals</w:t>
      </w:r>
    </w:p>
    <w:p w:rsidR="00C02CD0" w:rsidRDefault="00C02CD0" w:rsidP="00C02CD0">
      <w:pPr>
        <w:pStyle w:val="NormalWeb"/>
      </w:pPr>
      <w:r>
        <w:t xml:space="preserve">In today’s digital landscape, </w:t>
      </w:r>
      <w:r>
        <w:rPr>
          <w:rStyle w:val="Strong"/>
        </w:rPr>
        <w:t>social media serves as both a magnifier and multiplier of crisis narratives</w:t>
      </w:r>
      <w:r>
        <w:t xml:space="preserve">, especially when emotionally charged content is involved. Coombs and Holladay (2012) argue that </w:t>
      </w:r>
      <w:r>
        <w:rPr>
          <w:rStyle w:val="Strong"/>
        </w:rPr>
        <w:t>visual and emotionally provocative content—especially involving children or elderly individuals—triggers faster and stronger public backlash</w:t>
      </w:r>
      <w:r>
        <w:t xml:space="preserve">. Platforms such as </w:t>
      </w:r>
      <w:proofErr w:type="spellStart"/>
      <w:r>
        <w:t>TikTok</w:t>
      </w:r>
      <w:proofErr w:type="spellEnd"/>
      <w:r>
        <w:t xml:space="preserve">, </w:t>
      </w:r>
      <w:proofErr w:type="spellStart"/>
      <w:r>
        <w:t>Instagram</w:t>
      </w:r>
      <w:proofErr w:type="spellEnd"/>
      <w:r>
        <w:t xml:space="preserve">, and </w:t>
      </w:r>
      <w:proofErr w:type="spellStart"/>
      <w:r>
        <w:t>Facebook</w:t>
      </w:r>
      <w:proofErr w:type="spellEnd"/>
      <w:r>
        <w:t xml:space="preserve"> can turn isolated incidents into international scandals within </w:t>
      </w:r>
      <w:r>
        <w:lastRenderedPageBreak/>
        <w:t xml:space="preserve">hours. In the </w:t>
      </w:r>
      <w:proofErr w:type="spellStart"/>
      <w:r>
        <w:t>TropiCasa</w:t>
      </w:r>
      <w:proofErr w:type="spellEnd"/>
      <w:r>
        <w:t xml:space="preserve"> case, viral videos of vomiting children and distressed families created an emotional surge that outpaced the resort's response, amplifying outrage and accelerating cancellations. Research from Jin, Liu, and Austin (2014) confirms that user-generated crisis content receives more trust and engagement than official statements during emergencies. This dynamic underscores the urgent need for hospitality organizations to engage in </w:t>
      </w:r>
      <w:r>
        <w:rPr>
          <w:rStyle w:val="Strong"/>
        </w:rPr>
        <w:t>real-time, human-centered, and platform-specific communication</w:t>
      </w:r>
      <w:r>
        <w:t xml:space="preserve"> that can neutralize misinformation and convey empathy effectively.</w:t>
      </w:r>
    </w:p>
    <w:p w:rsidR="000E23E6" w:rsidRPr="000E23E6" w:rsidRDefault="000E23E6" w:rsidP="00C02CD0">
      <w:pPr>
        <w:pStyle w:val="NormalWeb"/>
      </w:pPr>
    </w:p>
    <w:p w:rsidR="000E23E6" w:rsidRPr="000E23E6" w:rsidRDefault="000E23E6" w:rsidP="000E23E6">
      <w:pPr>
        <w:pStyle w:val="Heading4"/>
        <w:rPr>
          <w:color w:val="auto"/>
        </w:rPr>
      </w:pPr>
      <w:r w:rsidRPr="000E23E6">
        <w:rPr>
          <w:rStyle w:val="Strong"/>
          <w:b/>
          <w:bCs/>
          <w:color w:val="auto"/>
        </w:rPr>
        <w:t>3.5 Integrated Crisis Response Models in Hospitality</w:t>
      </w:r>
    </w:p>
    <w:p w:rsidR="000E23E6" w:rsidRDefault="000E23E6" w:rsidP="000E23E6">
      <w:pPr>
        <w:pStyle w:val="NormalWeb"/>
      </w:pPr>
      <w:r>
        <w:t xml:space="preserve">While SCCT and </w:t>
      </w:r>
      <w:proofErr w:type="spellStart"/>
      <w:r>
        <w:t>Hofstede’s</w:t>
      </w:r>
      <w:proofErr w:type="spellEnd"/>
      <w:r>
        <w:t xml:space="preserve"> frameworks provide essential theoretical guidance, scholars increasingly emphasize the need for </w:t>
      </w:r>
      <w:r>
        <w:rPr>
          <w:rStyle w:val="Strong"/>
        </w:rPr>
        <w:t>integrated crisis response models</w:t>
      </w:r>
      <w:r>
        <w:t xml:space="preserve"> tailored to the hospitality sector. According to Ritchie (2004), an effective tourism crisis response must synthesize public health protocols, operational recovery plans, stakeholder communication, and long-term brand rehabilitation. Fink’s (1986) four-stage model—</w:t>
      </w:r>
      <w:proofErr w:type="spellStart"/>
      <w:r>
        <w:t>prodromal</w:t>
      </w:r>
      <w:proofErr w:type="spellEnd"/>
      <w:r>
        <w:t xml:space="preserve">, acute, chronic, and resolution—also offers a time-sensitive framework that can guide the resort’s actions from early warning signs to post-crisis analysis. Combining these models allows hospitality brands like </w:t>
      </w:r>
      <w:proofErr w:type="spellStart"/>
      <w:r>
        <w:t>TropiCasa</w:t>
      </w:r>
      <w:proofErr w:type="spellEnd"/>
      <w:r>
        <w:t xml:space="preserve"> to not only </w:t>
      </w:r>
      <w:r>
        <w:rPr>
          <w:rStyle w:val="Strong"/>
        </w:rPr>
        <w:t>react appropriately across phases</w:t>
      </w:r>
      <w:r>
        <w:t xml:space="preserve"> of the crisis but also to proactively design infrastructure that minimizes future risk exposure (Faulkner, 2001). When aligned with cultural sensitivity and legal compliance, integrated strategies increase the likelihood of restoring customer confidence, regulatory trust, and internal morale.</w:t>
      </w:r>
    </w:p>
    <w:p w:rsidR="000E23E6" w:rsidRDefault="000E23E6" w:rsidP="00C02CD0">
      <w:pPr>
        <w:pStyle w:val="NormalWeb"/>
      </w:pPr>
    </w:p>
    <w:p w:rsidR="00696AA0" w:rsidRDefault="00696AA0" w:rsidP="00A0199D">
      <w:pPr>
        <w:spacing w:before="100" w:beforeAutospacing="1" w:after="100" w:afterAutospacing="1" w:line="240" w:lineRule="auto"/>
        <w:outlineLvl w:val="1"/>
        <w:rPr>
          <w:rFonts w:ascii="Times New Roman" w:eastAsia="Times New Roman" w:hAnsi="Times New Roman" w:cs="Times New Roman"/>
          <w:sz w:val="24"/>
          <w:szCs w:val="24"/>
        </w:rPr>
      </w:pPr>
    </w:p>
    <w:p w:rsidR="006C20CC" w:rsidRPr="006C20CC" w:rsidRDefault="006C20CC" w:rsidP="006C20CC">
      <w:pPr>
        <w:spacing w:before="100" w:beforeAutospacing="1" w:after="100" w:afterAutospacing="1" w:line="240" w:lineRule="auto"/>
        <w:outlineLvl w:val="2"/>
        <w:rPr>
          <w:rFonts w:ascii="Times New Roman" w:eastAsia="Times New Roman" w:hAnsi="Times New Roman" w:cs="Times New Roman"/>
          <w:b/>
          <w:bCs/>
          <w:sz w:val="27"/>
          <w:szCs w:val="27"/>
        </w:rPr>
      </w:pPr>
      <w:r w:rsidRPr="006C20CC">
        <w:rPr>
          <w:rFonts w:ascii="Times New Roman" w:eastAsia="Times New Roman" w:hAnsi="Times New Roman" w:cs="Times New Roman"/>
          <w:b/>
          <w:bCs/>
          <w:sz w:val="27"/>
          <w:szCs w:val="27"/>
        </w:rPr>
        <w:t>4. METHODOLOGY</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sz w:val="24"/>
          <w:szCs w:val="24"/>
        </w:rPr>
        <w:t xml:space="preserve">This communication strategy adopts a </w:t>
      </w:r>
      <w:r w:rsidRPr="006C20CC">
        <w:rPr>
          <w:rFonts w:ascii="Times New Roman" w:eastAsia="Times New Roman" w:hAnsi="Times New Roman" w:cs="Times New Roman"/>
          <w:b/>
          <w:bCs/>
          <w:sz w:val="24"/>
          <w:szCs w:val="24"/>
        </w:rPr>
        <w:t>qualitative case study approach</w:t>
      </w:r>
      <w:r w:rsidRPr="006C20CC">
        <w:rPr>
          <w:rFonts w:ascii="Times New Roman" w:eastAsia="Times New Roman" w:hAnsi="Times New Roman" w:cs="Times New Roman"/>
          <w:sz w:val="24"/>
          <w:szCs w:val="24"/>
        </w:rPr>
        <w:t xml:space="preserve"> to understand the nature and impact of food-related crises in tourism settings. Qualitative methods are especially effective in uncovering stakeholder perceptions, ethical gaps, and narrative framing in high-emotion contexts such as public health failures (Yin, 2014). Specifically, this study draws from well-documented tourism crises such as the </w:t>
      </w:r>
      <w:r w:rsidRPr="006C20CC">
        <w:rPr>
          <w:rFonts w:ascii="Times New Roman" w:eastAsia="Times New Roman" w:hAnsi="Times New Roman" w:cs="Times New Roman"/>
          <w:b/>
          <w:bCs/>
          <w:sz w:val="24"/>
          <w:szCs w:val="24"/>
        </w:rPr>
        <w:t>2019 Hard Rock Hotel outbreak in the Dominican Republic</w:t>
      </w:r>
      <w:r w:rsidRPr="006C20CC">
        <w:rPr>
          <w:rFonts w:ascii="Times New Roman" w:eastAsia="Times New Roman" w:hAnsi="Times New Roman" w:cs="Times New Roman"/>
          <w:sz w:val="24"/>
          <w:szCs w:val="24"/>
        </w:rPr>
        <w:t xml:space="preserve">, where mysterious tourist deaths sparked global panic, and the </w:t>
      </w:r>
      <w:r w:rsidRPr="006C20CC">
        <w:rPr>
          <w:rFonts w:ascii="Times New Roman" w:eastAsia="Times New Roman" w:hAnsi="Times New Roman" w:cs="Times New Roman"/>
          <w:b/>
          <w:bCs/>
          <w:sz w:val="24"/>
          <w:szCs w:val="24"/>
        </w:rPr>
        <w:t>2018 Riviera Maya incident in Mexico</w:t>
      </w:r>
      <w:r w:rsidRPr="006C20CC">
        <w:rPr>
          <w:rFonts w:ascii="Times New Roman" w:eastAsia="Times New Roman" w:hAnsi="Times New Roman" w:cs="Times New Roman"/>
          <w:sz w:val="24"/>
          <w:szCs w:val="24"/>
        </w:rPr>
        <w:t xml:space="preserve">, where tainted alcohol led to hospitalization of guests and widespread cancellations (CNN, 2019; WHO, 2020). By comparing such historical examples to the </w:t>
      </w:r>
      <w:proofErr w:type="spellStart"/>
      <w:r w:rsidRPr="006C20CC">
        <w:rPr>
          <w:rFonts w:ascii="Times New Roman" w:eastAsia="Times New Roman" w:hAnsi="Times New Roman" w:cs="Times New Roman"/>
          <w:sz w:val="24"/>
          <w:szCs w:val="24"/>
        </w:rPr>
        <w:t>TropiCasa</w:t>
      </w:r>
      <w:proofErr w:type="spellEnd"/>
      <w:r w:rsidRPr="006C20CC">
        <w:rPr>
          <w:rFonts w:ascii="Times New Roman" w:eastAsia="Times New Roman" w:hAnsi="Times New Roman" w:cs="Times New Roman"/>
          <w:sz w:val="24"/>
          <w:szCs w:val="24"/>
        </w:rPr>
        <w:t xml:space="preserve"> case, this strategy contextualizes crisis behaviors and response patterns that resonate with global tourists and media ecosystems.</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sz w:val="24"/>
          <w:szCs w:val="24"/>
        </w:rPr>
        <w:t xml:space="preserve">Data for this analysis is compiled from a </w:t>
      </w:r>
      <w:r w:rsidRPr="006C20CC">
        <w:rPr>
          <w:rFonts w:ascii="Times New Roman" w:eastAsia="Times New Roman" w:hAnsi="Times New Roman" w:cs="Times New Roman"/>
          <w:b/>
          <w:bCs/>
          <w:sz w:val="24"/>
          <w:szCs w:val="24"/>
        </w:rPr>
        <w:t>multi-source framework</w:t>
      </w:r>
      <w:r w:rsidRPr="006C20CC">
        <w:rPr>
          <w:rFonts w:ascii="Times New Roman" w:eastAsia="Times New Roman" w:hAnsi="Times New Roman" w:cs="Times New Roman"/>
          <w:sz w:val="24"/>
          <w:szCs w:val="24"/>
        </w:rPr>
        <w:t xml:space="preserve">, combining </w:t>
      </w:r>
      <w:r w:rsidRPr="006C20CC">
        <w:rPr>
          <w:rFonts w:ascii="Times New Roman" w:eastAsia="Times New Roman" w:hAnsi="Times New Roman" w:cs="Times New Roman"/>
          <w:b/>
          <w:bCs/>
          <w:sz w:val="24"/>
          <w:szCs w:val="24"/>
        </w:rPr>
        <w:t>media reports, academic journals, crisis communication models, and health authority protocols</w:t>
      </w:r>
      <w:r w:rsidRPr="006C20CC">
        <w:rPr>
          <w:rFonts w:ascii="Times New Roman" w:eastAsia="Times New Roman" w:hAnsi="Times New Roman" w:cs="Times New Roman"/>
          <w:sz w:val="24"/>
          <w:szCs w:val="24"/>
        </w:rPr>
        <w:t xml:space="preserve">. Trusted sources such as </w:t>
      </w:r>
      <w:r w:rsidRPr="006C20CC">
        <w:rPr>
          <w:rFonts w:ascii="Times New Roman" w:eastAsia="Times New Roman" w:hAnsi="Times New Roman" w:cs="Times New Roman"/>
          <w:b/>
          <w:bCs/>
          <w:sz w:val="24"/>
          <w:szCs w:val="24"/>
        </w:rPr>
        <w:t>World Health Organization (WHO)</w:t>
      </w:r>
      <w:r w:rsidRPr="006C20CC">
        <w:rPr>
          <w:rFonts w:ascii="Times New Roman" w:eastAsia="Times New Roman" w:hAnsi="Times New Roman" w:cs="Times New Roman"/>
          <w:sz w:val="24"/>
          <w:szCs w:val="24"/>
        </w:rPr>
        <w:t xml:space="preserve"> guidelines on hotel sanitation, </w:t>
      </w:r>
      <w:r w:rsidRPr="006C20CC">
        <w:rPr>
          <w:rFonts w:ascii="Times New Roman" w:eastAsia="Times New Roman" w:hAnsi="Times New Roman" w:cs="Times New Roman"/>
          <w:b/>
          <w:bCs/>
          <w:sz w:val="24"/>
          <w:szCs w:val="24"/>
        </w:rPr>
        <w:t>Centers for Disease Control and Prevention (CDC)</w:t>
      </w:r>
      <w:r w:rsidRPr="006C20CC">
        <w:rPr>
          <w:rFonts w:ascii="Times New Roman" w:eastAsia="Times New Roman" w:hAnsi="Times New Roman" w:cs="Times New Roman"/>
          <w:sz w:val="24"/>
          <w:szCs w:val="24"/>
        </w:rPr>
        <w:t xml:space="preserve"> travel advisories, and </w:t>
      </w:r>
      <w:r w:rsidRPr="006C20CC">
        <w:rPr>
          <w:rFonts w:ascii="Times New Roman" w:eastAsia="Times New Roman" w:hAnsi="Times New Roman" w:cs="Times New Roman"/>
          <w:b/>
          <w:bCs/>
          <w:sz w:val="24"/>
          <w:szCs w:val="24"/>
        </w:rPr>
        <w:t>United Nations World Tourism Organization (UNWTO)</w:t>
      </w:r>
      <w:r w:rsidRPr="006C20CC">
        <w:rPr>
          <w:rFonts w:ascii="Times New Roman" w:eastAsia="Times New Roman" w:hAnsi="Times New Roman" w:cs="Times New Roman"/>
          <w:sz w:val="24"/>
          <w:szCs w:val="24"/>
        </w:rPr>
        <w:t xml:space="preserve"> reports on tourism resilience provide factual and ethical </w:t>
      </w:r>
      <w:r w:rsidRPr="006C20CC">
        <w:rPr>
          <w:rFonts w:ascii="Times New Roman" w:eastAsia="Times New Roman" w:hAnsi="Times New Roman" w:cs="Times New Roman"/>
          <w:sz w:val="24"/>
          <w:szCs w:val="24"/>
        </w:rPr>
        <w:lastRenderedPageBreak/>
        <w:t>baselines (WHO, 2021; UNWTO, 2023). These are supplemented with academic research from hospitality and crisis communication literature, including works by Coombs (2007) on Situational Crisis Communication Theory (SCCT) and Heath &amp; O’Hair (2010) on risk and crisis communication. Additionally, consumer behavior insights are drawn from tourism marketing studies that explore trust, health anxiety, and reputation recovery post-crisis (</w:t>
      </w:r>
      <w:proofErr w:type="spellStart"/>
      <w:r w:rsidRPr="006C20CC">
        <w:rPr>
          <w:rFonts w:ascii="Times New Roman" w:eastAsia="Times New Roman" w:hAnsi="Times New Roman" w:cs="Times New Roman"/>
          <w:sz w:val="24"/>
          <w:szCs w:val="24"/>
        </w:rPr>
        <w:t>Gursoy</w:t>
      </w:r>
      <w:proofErr w:type="spellEnd"/>
      <w:r w:rsidRPr="006C20CC">
        <w:rPr>
          <w:rFonts w:ascii="Times New Roman" w:eastAsia="Times New Roman" w:hAnsi="Times New Roman" w:cs="Times New Roman"/>
          <w:sz w:val="24"/>
          <w:szCs w:val="24"/>
        </w:rPr>
        <w:t xml:space="preserve"> &amp; </w:t>
      </w:r>
      <w:proofErr w:type="spellStart"/>
      <w:r w:rsidRPr="006C20CC">
        <w:rPr>
          <w:rFonts w:ascii="Times New Roman" w:eastAsia="Times New Roman" w:hAnsi="Times New Roman" w:cs="Times New Roman"/>
          <w:sz w:val="24"/>
          <w:szCs w:val="24"/>
        </w:rPr>
        <w:t>Gavcar</w:t>
      </w:r>
      <w:proofErr w:type="spellEnd"/>
      <w:r w:rsidRPr="006C20CC">
        <w:rPr>
          <w:rFonts w:ascii="Times New Roman" w:eastAsia="Times New Roman" w:hAnsi="Times New Roman" w:cs="Times New Roman"/>
          <w:sz w:val="24"/>
          <w:szCs w:val="24"/>
        </w:rPr>
        <w:t>, 2003).</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sz w:val="24"/>
          <w:szCs w:val="24"/>
        </w:rPr>
        <w:t xml:space="preserve">For internal and external communication design, the strategy leverages </w:t>
      </w:r>
      <w:r w:rsidRPr="006C20CC">
        <w:rPr>
          <w:rFonts w:ascii="Times New Roman" w:eastAsia="Times New Roman" w:hAnsi="Times New Roman" w:cs="Times New Roman"/>
          <w:b/>
          <w:bCs/>
          <w:sz w:val="24"/>
          <w:szCs w:val="24"/>
        </w:rPr>
        <w:t>Business English best practices</w:t>
      </w:r>
      <w:r w:rsidRPr="006C20CC">
        <w:rPr>
          <w:rFonts w:ascii="Times New Roman" w:eastAsia="Times New Roman" w:hAnsi="Times New Roman" w:cs="Times New Roman"/>
          <w:sz w:val="24"/>
          <w:szCs w:val="24"/>
        </w:rPr>
        <w:t xml:space="preserve">, focusing on clarity, empathy, and professionalism in tone. Messaging frameworks are aligned with </w:t>
      </w:r>
      <w:r w:rsidRPr="006C20CC">
        <w:rPr>
          <w:rFonts w:ascii="Times New Roman" w:eastAsia="Times New Roman" w:hAnsi="Times New Roman" w:cs="Times New Roman"/>
          <w:b/>
          <w:bCs/>
          <w:sz w:val="24"/>
          <w:szCs w:val="24"/>
        </w:rPr>
        <w:t>international PR ethics codes</w:t>
      </w:r>
      <w:r w:rsidRPr="006C20CC">
        <w:rPr>
          <w:rFonts w:ascii="Times New Roman" w:eastAsia="Times New Roman" w:hAnsi="Times New Roman" w:cs="Times New Roman"/>
          <w:sz w:val="24"/>
          <w:szCs w:val="24"/>
        </w:rPr>
        <w:t xml:space="preserve"> (e.g., IPRA Code of Conduct) and </w:t>
      </w:r>
      <w:r w:rsidRPr="006C20CC">
        <w:rPr>
          <w:rFonts w:ascii="Times New Roman" w:eastAsia="Times New Roman" w:hAnsi="Times New Roman" w:cs="Times New Roman"/>
          <w:b/>
          <w:bCs/>
          <w:sz w:val="24"/>
          <w:szCs w:val="24"/>
        </w:rPr>
        <w:t>cross-cultural sensitivity guidelines</w:t>
      </w:r>
      <w:r w:rsidRPr="006C20CC">
        <w:rPr>
          <w:rFonts w:ascii="Times New Roman" w:eastAsia="Times New Roman" w:hAnsi="Times New Roman" w:cs="Times New Roman"/>
          <w:sz w:val="24"/>
          <w:szCs w:val="24"/>
        </w:rPr>
        <w:t>, especially important in tourism contexts involving multilingual, multicultural guests (</w:t>
      </w:r>
      <w:proofErr w:type="spellStart"/>
      <w:r w:rsidRPr="006C20CC">
        <w:rPr>
          <w:rFonts w:ascii="Times New Roman" w:eastAsia="Times New Roman" w:hAnsi="Times New Roman" w:cs="Times New Roman"/>
          <w:sz w:val="24"/>
          <w:szCs w:val="24"/>
        </w:rPr>
        <w:t>Tench</w:t>
      </w:r>
      <w:proofErr w:type="spellEnd"/>
      <w:r w:rsidRPr="006C20CC">
        <w:rPr>
          <w:rFonts w:ascii="Times New Roman" w:eastAsia="Times New Roman" w:hAnsi="Times New Roman" w:cs="Times New Roman"/>
          <w:sz w:val="24"/>
          <w:szCs w:val="24"/>
        </w:rPr>
        <w:t xml:space="preserve"> &amp; </w:t>
      </w:r>
      <w:proofErr w:type="spellStart"/>
      <w:r w:rsidRPr="006C20CC">
        <w:rPr>
          <w:rFonts w:ascii="Times New Roman" w:eastAsia="Times New Roman" w:hAnsi="Times New Roman" w:cs="Times New Roman"/>
          <w:sz w:val="24"/>
          <w:szCs w:val="24"/>
        </w:rPr>
        <w:t>Yeomans</w:t>
      </w:r>
      <w:proofErr w:type="spellEnd"/>
      <w:r w:rsidRPr="006C20CC">
        <w:rPr>
          <w:rFonts w:ascii="Times New Roman" w:eastAsia="Times New Roman" w:hAnsi="Times New Roman" w:cs="Times New Roman"/>
          <w:sz w:val="24"/>
          <w:szCs w:val="24"/>
        </w:rPr>
        <w:t xml:space="preserve">, 2017). Audience segmentation considers legal literacy, emotional sensitivity, and medical needs, with customized messages for tourists, families, local media, health authorities, and resort staff. </w:t>
      </w:r>
      <w:proofErr w:type="spellStart"/>
      <w:r w:rsidRPr="006C20CC">
        <w:rPr>
          <w:rFonts w:ascii="Times New Roman" w:eastAsia="Times New Roman" w:hAnsi="Times New Roman" w:cs="Times New Roman"/>
          <w:b/>
          <w:bCs/>
          <w:sz w:val="24"/>
          <w:szCs w:val="24"/>
        </w:rPr>
        <w:t>Hofstede’s</w:t>
      </w:r>
      <w:proofErr w:type="spellEnd"/>
      <w:r w:rsidRPr="006C20CC">
        <w:rPr>
          <w:rFonts w:ascii="Times New Roman" w:eastAsia="Times New Roman" w:hAnsi="Times New Roman" w:cs="Times New Roman"/>
          <w:b/>
          <w:bCs/>
          <w:sz w:val="24"/>
          <w:szCs w:val="24"/>
        </w:rPr>
        <w:t xml:space="preserve"> Cultural Dimensions</w:t>
      </w:r>
      <w:r w:rsidRPr="006C20CC">
        <w:rPr>
          <w:rFonts w:ascii="Times New Roman" w:eastAsia="Times New Roman" w:hAnsi="Times New Roman" w:cs="Times New Roman"/>
          <w:sz w:val="24"/>
          <w:szCs w:val="24"/>
        </w:rPr>
        <w:t xml:space="preserve"> guide the tone and structure of messages to ensure resonance with both individualist (e.g., U.S., U.K.) and collectivist (e.g., Latin American) audiences (</w:t>
      </w:r>
      <w:proofErr w:type="spellStart"/>
      <w:r w:rsidRPr="006C20CC">
        <w:rPr>
          <w:rFonts w:ascii="Times New Roman" w:eastAsia="Times New Roman" w:hAnsi="Times New Roman" w:cs="Times New Roman"/>
          <w:sz w:val="24"/>
          <w:szCs w:val="24"/>
        </w:rPr>
        <w:t>Hofstede</w:t>
      </w:r>
      <w:proofErr w:type="spellEnd"/>
      <w:r w:rsidRPr="006C20CC">
        <w:rPr>
          <w:rFonts w:ascii="Times New Roman" w:eastAsia="Times New Roman" w:hAnsi="Times New Roman" w:cs="Times New Roman"/>
          <w:sz w:val="24"/>
          <w:szCs w:val="24"/>
        </w:rPr>
        <w:t>, 2011).</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sz w:val="24"/>
          <w:szCs w:val="24"/>
        </w:rPr>
        <w:t xml:space="preserve">Stakeholder alignment was an essential part of the methodology. The strategy incorporates </w:t>
      </w:r>
      <w:r w:rsidRPr="006C20CC">
        <w:rPr>
          <w:rFonts w:ascii="Times New Roman" w:eastAsia="Times New Roman" w:hAnsi="Times New Roman" w:cs="Times New Roman"/>
          <w:b/>
          <w:bCs/>
          <w:sz w:val="24"/>
          <w:szCs w:val="24"/>
        </w:rPr>
        <w:t>stakeholder theory</w:t>
      </w:r>
      <w:r w:rsidRPr="006C20CC">
        <w:rPr>
          <w:rFonts w:ascii="Times New Roman" w:eastAsia="Times New Roman" w:hAnsi="Times New Roman" w:cs="Times New Roman"/>
          <w:sz w:val="24"/>
          <w:szCs w:val="24"/>
        </w:rPr>
        <w:t xml:space="preserve"> to identify and prioritize key actors: affected tourists, resort employees, local health officials, travel insurers, and government tourism boards (Mitchell et al., 1997). This was achieved through simulated stakeholder mapping and empathy analysis to anticipate concerns and communication needs of each group. Crisis strategies were tested through scenario planning and evaluated against </w:t>
      </w:r>
      <w:r w:rsidRPr="006C20CC">
        <w:rPr>
          <w:rFonts w:ascii="Times New Roman" w:eastAsia="Times New Roman" w:hAnsi="Times New Roman" w:cs="Times New Roman"/>
          <w:b/>
          <w:bCs/>
          <w:sz w:val="24"/>
          <w:szCs w:val="24"/>
        </w:rPr>
        <w:t>Coombs’ SCCT response matrix</w:t>
      </w:r>
      <w:r w:rsidRPr="006C20CC">
        <w:rPr>
          <w:rFonts w:ascii="Times New Roman" w:eastAsia="Times New Roman" w:hAnsi="Times New Roman" w:cs="Times New Roman"/>
          <w:sz w:val="24"/>
          <w:szCs w:val="24"/>
        </w:rPr>
        <w:t>, choosing a “rebuild” posture due to the resort’s clear responsibility in the health crisis (Coombs, 2007). The method emphasized transparent messaging, public apology, operational reform, and long-term reputation restoration.</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sz w:val="24"/>
          <w:szCs w:val="24"/>
        </w:rPr>
        <w:t xml:space="preserve">Lastly, </w:t>
      </w:r>
      <w:r w:rsidRPr="006C20CC">
        <w:rPr>
          <w:rFonts w:ascii="Times New Roman" w:eastAsia="Times New Roman" w:hAnsi="Times New Roman" w:cs="Times New Roman"/>
          <w:b/>
          <w:bCs/>
          <w:sz w:val="24"/>
          <w:szCs w:val="24"/>
        </w:rPr>
        <w:t>regional and socio-political sensitivity</w:t>
      </w:r>
      <w:r w:rsidRPr="006C20CC">
        <w:rPr>
          <w:rFonts w:ascii="Times New Roman" w:eastAsia="Times New Roman" w:hAnsi="Times New Roman" w:cs="Times New Roman"/>
          <w:sz w:val="24"/>
          <w:szCs w:val="24"/>
        </w:rPr>
        <w:t xml:space="preserve"> shaped every phase of this methodology. The crisis unfolded in a culturally rich and politically nuanced environment, requiring respect for </w:t>
      </w:r>
      <w:r w:rsidRPr="006C20CC">
        <w:rPr>
          <w:rFonts w:ascii="Times New Roman" w:eastAsia="Times New Roman" w:hAnsi="Times New Roman" w:cs="Times New Roman"/>
          <w:b/>
          <w:bCs/>
          <w:sz w:val="24"/>
          <w:szCs w:val="24"/>
        </w:rPr>
        <w:t>local norms, regulatory frameworks, and hospitality traditions</w:t>
      </w:r>
      <w:r w:rsidRPr="006C20CC">
        <w:rPr>
          <w:rFonts w:ascii="Times New Roman" w:eastAsia="Times New Roman" w:hAnsi="Times New Roman" w:cs="Times New Roman"/>
          <w:sz w:val="24"/>
          <w:szCs w:val="24"/>
        </w:rPr>
        <w:t xml:space="preserve">. Strategies were peer-reviewed using crisis simulations drawn from </w:t>
      </w:r>
      <w:r w:rsidRPr="006C20CC">
        <w:rPr>
          <w:rFonts w:ascii="Times New Roman" w:eastAsia="Times New Roman" w:hAnsi="Times New Roman" w:cs="Times New Roman"/>
          <w:b/>
          <w:bCs/>
          <w:sz w:val="24"/>
          <w:szCs w:val="24"/>
        </w:rPr>
        <w:t>Latin American tourism conflict studies</w:t>
      </w:r>
      <w:r w:rsidRPr="006C20CC">
        <w:rPr>
          <w:rFonts w:ascii="Times New Roman" w:eastAsia="Times New Roman" w:hAnsi="Times New Roman" w:cs="Times New Roman"/>
          <w:sz w:val="24"/>
          <w:szCs w:val="24"/>
        </w:rPr>
        <w:t xml:space="preserve"> and evaluated through ethical lenses recommended by </w:t>
      </w:r>
      <w:r w:rsidRPr="006C20CC">
        <w:rPr>
          <w:rFonts w:ascii="Times New Roman" w:eastAsia="Times New Roman" w:hAnsi="Times New Roman" w:cs="Times New Roman"/>
          <w:b/>
          <w:bCs/>
          <w:sz w:val="24"/>
          <w:szCs w:val="24"/>
        </w:rPr>
        <w:t>Brown (2008)</w:t>
      </w:r>
      <w:r w:rsidRPr="006C20CC">
        <w:rPr>
          <w:rFonts w:ascii="Times New Roman" w:eastAsia="Times New Roman" w:hAnsi="Times New Roman" w:cs="Times New Roman"/>
          <w:sz w:val="24"/>
          <w:szCs w:val="24"/>
        </w:rPr>
        <w:t xml:space="preserve"> and </w:t>
      </w:r>
      <w:proofErr w:type="spellStart"/>
      <w:r w:rsidRPr="006C20CC">
        <w:rPr>
          <w:rFonts w:ascii="Times New Roman" w:eastAsia="Times New Roman" w:hAnsi="Times New Roman" w:cs="Times New Roman"/>
          <w:b/>
          <w:bCs/>
          <w:sz w:val="24"/>
          <w:szCs w:val="24"/>
        </w:rPr>
        <w:t>Fearn</w:t>
      </w:r>
      <w:proofErr w:type="spellEnd"/>
      <w:r w:rsidRPr="006C20CC">
        <w:rPr>
          <w:rFonts w:ascii="Times New Roman" w:eastAsia="Times New Roman" w:hAnsi="Times New Roman" w:cs="Times New Roman"/>
          <w:b/>
          <w:bCs/>
          <w:sz w:val="24"/>
          <w:szCs w:val="24"/>
        </w:rPr>
        <w:t>-Banks (2016)</w:t>
      </w:r>
      <w:r w:rsidRPr="006C20CC">
        <w:rPr>
          <w:rFonts w:ascii="Times New Roman" w:eastAsia="Times New Roman" w:hAnsi="Times New Roman" w:cs="Times New Roman"/>
          <w:sz w:val="24"/>
          <w:szCs w:val="24"/>
        </w:rPr>
        <w:t xml:space="preserve">. This ensured that the final strategy not only addressed functional PR needs but also embedded </w:t>
      </w:r>
      <w:r w:rsidRPr="006C20CC">
        <w:rPr>
          <w:rFonts w:ascii="Times New Roman" w:eastAsia="Times New Roman" w:hAnsi="Times New Roman" w:cs="Times New Roman"/>
          <w:b/>
          <w:bCs/>
          <w:sz w:val="24"/>
          <w:szCs w:val="24"/>
        </w:rPr>
        <w:t>human rights, corporate ethics, and restorative justice principles</w:t>
      </w:r>
      <w:r w:rsidRPr="006C20CC">
        <w:rPr>
          <w:rFonts w:ascii="Times New Roman" w:eastAsia="Times New Roman" w:hAnsi="Times New Roman" w:cs="Times New Roman"/>
          <w:sz w:val="24"/>
          <w:szCs w:val="24"/>
        </w:rPr>
        <w:t xml:space="preserve"> in its foundation.</w:t>
      </w:r>
    </w:p>
    <w:p w:rsidR="006C20CC" w:rsidRDefault="006C20CC" w:rsidP="00A0199D">
      <w:pPr>
        <w:spacing w:before="100" w:beforeAutospacing="1" w:after="100" w:afterAutospacing="1" w:line="240" w:lineRule="auto"/>
        <w:outlineLvl w:val="1"/>
        <w:rPr>
          <w:rFonts w:ascii="Times New Roman" w:eastAsia="Times New Roman" w:hAnsi="Times New Roman" w:cs="Times New Roman"/>
          <w:sz w:val="24"/>
          <w:szCs w:val="24"/>
        </w:rPr>
      </w:pPr>
    </w:p>
    <w:p w:rsidR="00A0199D" w:rsidRPr="00A0199D" w:rsidRDefault="00A0199D" w:rsidP="00A0199D">
      <w:pPr>
        <w:spacing w:before="100" w:beforeAutospacing="1" w:after="100" w:afterAutospacing="1" w:line="240" w:lineRule="auto"/>
        <w:outlineLvl w:val="1"/>
        <w:rPr>
          <w:rFonts w:ascii="Times New Roman" w:eastAsia="Times New Roman" w:hAnsi="Times New Roman" w:cs="Times New Roman"/>
          <w:b/>
          <w:bCs/>
          <w:sz w:val="36"/>
          <w:szCs w:val="36"/>
        </w:rPr>
      </w:pPr>
      <w:r w:rsidRPr="00A0199D">
        <w:rPr>
          <w:rFonts w:ascii="Times New Roman" w:eastAsia="Times New Roman" w:hAnsi="Times New Roman" w:cs="Times New Roman"/>
          <w:b/>
          <w:bCs/>
          <w:sz w:val="36"/>
          <w:szCs w:val="36"/>
        </w:rPr>
        <w:t>5. FINDINGS</w:t>
      </w: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t>5.1 Crisis Snapshot</w:t>
      </w:r>
    </w:p>
    <w:p w:rsidR="00A0199D" w:rsidRPr="00A0199D" w:rsidRDefault="00A0199D" w:rsidP="00A0199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Incident Date</w:t>
      </w:r>
      <w:r w:rsidRPr="00A0199D">
        <w:rPr>
          <w:rFonts w:ascii="Times New Roman" w:eastAsia="Times New Roman" w:hAnsi="Times New Roman" w:cs="Times New Roman"/>
          <w:sz w:val="24"/>
          <w:szCs w:val="24"/>
        </w:rPr>
        <w:t>: May 4, 2025</w:t>
      </w:r>
    </w:p>
    <w:p w:rsidR="00A0199D" w:rsidRPr="00A0199D" w:rsidRDefault="00A0199D" w:rsidP="00A0199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Location</w:t>
      </w:r>
      <w:r w:rsidRPr="00A0199D">
        <w:rPr>
          <w:rFonts w:ascii="Times New Roman" w:eastAsia="Times New Roman" w:hAnsi="Times New Roman" w:cs="Times New Roman"/>
          <w:sz w:val="24"/>
          <w:szCs w:val="24"/>
        </w:rPr>
        <w:t xml:space="preserve">: </w:t>
      </w:r>
      <w:proofErr w:type="spellStart"/>
      <w:r w:rsidRPr="00A0199D">
        <w:rPr>
          <w:rFonts w:ascii="Times New Roman" w:eastAsia="Times New Roman" w:hAnsi="Times New Roman" w:cs="Times New Roman"/>
          <w:sz w:val="24"/>
          <w:szCs w:val="24"/>
        </w:rPr>
        <w:t>TropiCasa</w:t>
      </w:r>
      <w:proofErr w:type="spellEnd"/>
      <w:r w:rsidRPr="00A0199D">
        <w:rPr>
          <w:rFonts w:ascii="Times New Roman" w:eastAsia="Times New Roman" w:hAnsi="Times New Roman" w:cs="Times New Roman"/>
          <w:sz w:val="24"/>
          <w:szCs w:val="24"/>
        </w:rPr>
        <w:t xml:space="preserve"> Resort, Montego Bay, Jamaica</w:t>
      </w:r>
    </w:p>
    <w:p w:rsidR="00A0199D" w:rsidRPr="00A0199D" w:rsidRDefault="00A0199D" w:rsidP="00A0199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Crisis</w:t>
      </w:r>
      <w:r w:rsidRPr="00A0199D">
        <w:rPr>
          <w:rFonts w:ascii="Times New Roman" w:eastAsia="Times New Roman" w:hAnsi="Times New Roman" w:cs="Times New Roman"/>
          <w:sz w:val="24"/>
          <w:szCs w:val="24"/>
        </w:rPr>
        <w:t xml:space="preserve">: </w:t>
      </w:r>
      <w:proofErr w:type="spellStart"/>
      <w:r w:rsidRPr="00A0199D">
        <w:rPr>
          <w:rFonts w:ascii="Times New Roman" w:eastAsia="Times New Roman" w:hAnsi="Times New Roman" w:cs="Times New Roman"/>
          <w:sz w:val="24"/>
          <w:szCs w:val="24"/>
        </w:rPr>
        <w:t>Norovirus</w:t>
      </w:r>
      <w:proofErr w:type="spellEnd"/>
      <w:r w:rsidRPr="00A0199D">
        <w:rPr>
          <w:rFonts w:ascii="Times New Roman" w:eastAsia="Times New Roman" w:hAnsi="Times New Roman" w:cs="Times New Roman"/>
          <w:sz w:val="24"/>
          <w:szCs w:val="24"/>
        </w:rPr>
        <w:t xml:space="preserve"> outbreak from contaminated seafood buffet</w:t>
      </w:r>
    </w:p>
    <w:p w:rsidR="00A0199D" w:rsidRPr="00A0199D" w:rsidRDefault="00A0199D" w:rsidP="00A0199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Media Impact</w:t>
      </w:r>
      <w:r w:rsidRPr="00A0199D">
        <w:rPr>
          <w:rFonts w:ascii="Times New Roman" w:eastAsia="Times New Roman" w:hAnsi="Times New Roman" w:cs="Times New Roman"/>
          <w:sz w:val="24"/>
          <w:szCs w:val="24"/>
        </w:rPr>
        <w:t xml:space="preserve">: Videos posted on </w:t>
      </w:r>
      <w:proofErr w:type="spellStart"/>
      <w:r w:rsidRPr="00A0199D">
        <w:rPr>
          <w:rFonts w:ascii="Times New Roman" w:eastAsia="Times New Roman" w:hAnsi="Times New Roman" w:cs="Times New Roman"/>
          <w:sz w:val="24"/>
          <w:szCs w:val="24"/>
        </w:rPr>
        <w:t>Instagram</w:t>
      </w:r>
      <w:proofErr w:type="spellEnd"/>
      <w:r w:rsidRPr="00A0199D">
        <w:rPr>
          <w:rFonts w:ascii="Times New Roman" w:eastAsia="Times New Roman" w:hAnsi="Times New Roman" w:cs="Times New Roman"/>
          <w:sz w:val="24"/>
          <w:szCs w:val="24"/>
        </w:rPr>
        <w:t xml:space="preserve"> and Twitter reached over 4 million views</w:t>
      </w:r>
    </w:p>
    <w:p w:rsidR="00A0199D" w:rsidRPr="00A0199D" w:rsidRDefault="00A0199D" w:rsidP="00A0199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Affected Markets</w:t>
      </w:r>
      <w:r w:rsidRPr="00A0199D">
        <w:rPr>
          <w:rFonts w:ascii="Times New Roman" w:eastAsia="Times New Roman" w:hAnsi="Times New Roman" w:cs="Times New Roman"/>
          <w:sz w:val="24"/>
          <w:szCs w:val="24"/>
        </w:rPr>
        <w:t>: USA, UK, Brazil, Germany</w:t>
      </w: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lastRenderedPageBreak/>
        <w:t>5.2 Internal Vulnerabilities</w:t>
      </w:r>
    </w:p>
    <w:p w:rsidR="00A0199D" w:rsidRPr="00A0199D" w:rsidRDefault="00A0199D" w:rsidP="00A0199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Inadequate food handling protocols</w:t>
      </w:r>
    </w:p>
    <w:p w:rsidR="00A0199D" w:rsidRPr="00A0199D" w:rsidRDefault="00A0199D" w:rsidP="00A0199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No full-time public health officer</w:t>
      </w:r>
    </w:p>
    <w:p w:rsidR="00A0199D" w:rsidRPr="00A0199D" w:rsidRDefault="00A0199D" w:rsidP="00A0199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Poor on-site media management</w:t>
      </w:r>
    </w:p>
    <w:p w:rsidR="00A0199D" w:rsidRPr="00A0199D" w:rsidRDefault="00A0199D" w:rsidP="00A0199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Undertrained front-line staff in crisis etiquette</w:t>
      </w: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t>5.3 Stakeholder Pressures</w:t>
      </w:r>
    </w:p>
    <w:p w:rsidR="00A0199D" w:rsidRPr="00A0199D" w:rsidRDefault="00A0199D" w:rsidP="00A0199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Guests</w:t>
      </w:r>
      <w:r w:rsidRPr="00A0199D">
        <w:rPr>
          <w:rFonts w:ascii="Times New Roman" w:eastAsia="Times New Roman" w:hAnsi="Times New Roman" w:cs="Times New Roman"/>
          <w:sz w:val="24"/>
          <w:szCs w:val="24"/>
        </w:rPr>
        <w:t>: Demanding refunds, medical compensation</w:t>
      </w:r>
    </w:p>
    <w:p w:rsidR="00A0199D" w:rsidRPr="00A0199D" w:rsidRDefault="00A0199D" w:rsidP="00A0199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Travel Agencies</w:t>
      </w:r>
      <w:r w:rsidRPr="00A0199D">
        <w:rPr>
          <w:rFonts w:ascii="Times New Roman" w:eastAsia="Times New Roman" w:hAnsi="Times New Roman" w:cs="Times New Roman"/>
          <w:sz w:val="24"/>
          <w:szCs w:val="24"/>
        </w:rPr>
        <w:t>: Halting new bookings</w:t>
      </w:r>
    </w:p>
    <w:p w:rsidR="00A0199D" w:rsidRPr="00A0199D" w:rsidRDefault="00A0199D" w:rsidP="00A0199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Health Authorities</w:t>
      </w:r>
      <w:r w:rsidRPr="00A0199D">
        <w:rPr>
          <w:rFonts w:ascii="Times New Roman" w:eastAsia="Times New Roman" w:hAnsi="Times New Roman" w:cs="Times New Roman"/>
          <w:sz w:val="24"/>
          <w:szCs w:val="24"/>
        </w:rPr>
        <w:t>: Demanding inspection and penalties</w:t>
      </w:r>
    </w:p>
    <w:p w:rsidR="00A0199D" w:rsidRPr="00A0199D" w:rsidRDefault="00A0199D" w:rsidP="00A0199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Local Media</w:t>
      </w:r>
      <w:r w:rsidRPr="00A0199D">
        <w:rPr>
          <w:rFonts w:ascii="Times New Roman" w:eastAsia="Times New Roman" w:hAnsi="Times New Roman" w:cs="Times New Roman"/>
          <w:sz w:val="24"/>
          <w:szCs w:val="24"/>
        </w:rPr>
        <w:t>: Accusing resort of cover-up</w:t>
      </w:r>
    </w:p>
    <w:p w:rsidR="00696AA0" w:rsidRDefault="00696AA0" w:rsidP="00A0199D">
      <w:pPr>
        <w:spacing w:before="100" w:beforeAutospacing="1" w:after="100" w:afterAutospacing="1" w:line="240" w:lineRule="auto"/>
        <w:outlineLvl w:val="1"/>
        <w:rPr>
          <w:rFonts w:ascii="Times New Roman" w:eastAsia="Times New Roman" w:hAnsi="Times New Roman" w:cs="Times New Roman"/>
          <w:sz w:val="24"/>
          <w:szCs w:val="24"/>
        </w:rPr>
      </w:pPr>
    </w:p>
    <w:p w:rsidR="00A0199D" w:rsidRPr="00A0199D" w:rsidRDefault="00A0199D" w:rsidP="00A0199D">
      <w:pPr>
        <w:spacing w:before="100" w:beforeAutospacing="1" w:after="100" w:afterAutospacing="1" w:line="240" w:lineRule="auto"/>
        <w:outlineLvl w:val="1"/>
        <w:rPr>
          <w:rFonts w:ascii="Times New Roman" w:eastAsia="Times New Roman" w:hAnsi="Times New Roman" w:cs="Times New Roman"/>
          <w:b/>
          <w:bCs/>
          <w:sz w:val="36"/>
          <w:szCs w:val="36"/>
        </w:rPr>
      </w:pPr>
      <w:r w:rsidRPr="00A0199D">
        <w:rPr>
          <w:rFonts w:ascii="Times New Roman" w:eastAsia="Times New Roman" w:hAnsi="Times New Roman" w:cs="Times New Roman"/>
          <w:b/>
          <w:bCs/>
          <w:sz w:val="36"/>
          <w:szCs w:val="36"/>
        </w:rPr>
        <w:t>6. DISCUSSION</w:t>
      </w: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t>6.1 Internal Memo</w:t>
      </w:r>
    </w:p>
    <w:p w:rsidR="00A0199D" w:rsidRPr="00A0199D" w:rsidRDefault="00A0199D" w:rsidP="00A0199D">
      <w:pPr>
        <w:spacing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To</w:t>
      </w:r>
      <w:r w:rsidRPr="00A0199D">
        <w:rPr>
          <w:rFonts w:ascii="Times New Roman" w:eastAsia="Times New Roman" w:hAnsi="Times New Roman" w:cs="Times New Roman"/>
          <w:sz w:val="24"/>
          <w:szCs w:val="24"/>
        </w:rPr>
        <w:t xml:space="preserve">: All </w:t>
      </w:r>
      <w:proofErr w:type="spellStart"/>
      <w:r w:rsidRPr="00A0199D">
        <w:rPr>
          <w:rFonts w:ascii="Times New Roman" w:eastAsia="Times New Roman" w:hAnsi="Times New Roman" w:cs="Times New Roman"/>
          <w:sz w:val="24"/>
          <w:szCs w:val="24"/>
        </w:rPr>
        <w:t>TropiCasa</w:t>
      </w:r>
      <w:proofErr w:type="spellEnd"/>
      <w:r w:rsidRPr="00A0199D">
        <w:rPr>
          <w:rFonts w:ascii="Times New Roman" w:eastAsia="Times New Roman" w:hAnsi="Times New Roman" w:cs="Times New Roman"/>
          <w:sz w:val="24"/>
          <w:szCs w:val="24"/>
        </w:rPr>
        <w:t xml:space="preserve"> Montego Bay Staff</w:t>
      </w:r>
      <w:r w:rsidRPr="00A0199D">
        <w:rPr>
          <w:rFonts w:ascii="Times New Roman" w:eastAsia="Times New Roman" w:hAnsi="Times New Roman" w:cs="Times New Roman"/>
          <w:sz w:val="24"/>
          <w:szCs w:val="24"/>
        </w:rPr>
        <w:br/>
      </w:r>
      <w:r w:rsidRPr="00A0199D">
        <w:rPr>
          <w:rFonts w:ascii="Times New Roman" w:eastAsia="Times New Roman" w:hAnsi="Times New Roman" w:cs="Times New Roman"/>
          <w:b/>
          <w:bCs/>
          <w:sz w:val="24"/>
          <w:szCs w:val="24"/>
        </w:rPr>
        <w:t>From</w:t>
      </w:r>
      <w:r w:rsidRPr="00A0199D">
        <w:rPr>
          <w:rFonts w:ascii="Times New Roman" w:eastAsia="Times New Roman" w:hAnsi="Times New Roman" w:cs="Times New Roman"/>
          <w:sz w:val="24"/>
          <w:szCs w:val="24"/>
        </w:rPr>
        <w:t>: Dr. Simone Grafton, GM</w:t>
      </w:r>
      <w:r w:rsidRPr="00A0199D">
        <w:rPr>
          <w:rFonts w:ascii="Times New Roman" w:eastAsia="Times New Roman" w:hAnsi="Times New Roman" w:cs="Times New Roman"/>
          <w:sz w:val="24"/>
          <w:szCs w:val="24"/>
        </w:rPr>
        <w:br/>
      </w:r>
      <w:r w:rsidRPr="00A0199D">
        <w:rPr>
          <w:rFonts w:ascii="Times New Roman" w:eastAsia="Times New Roman" w:hAnsi="Times New Roman" w:cs="Times New Roman"/>
          <w:b/>
          <w:bCs/>
          <w:sz w:val="24"/>
          <w:szCs w:val="24"/>
        </w:rPr>
        <w:t>Subject</w:t>
      </w:r>
      <w:r w:rsidRPr="00A0199D">
        <w:rPr>
          <w:rFonts w:ascii="Times New Roman" w:eastAsia="Times New Roman" w:hAnsi="Times New Roman" w:cs="Times New Roman"/>
          <w:sz w:val="24"/>
          <w:szCs w:val="24"/>
        </w:rPr>
        <w:t>: Emergency Health Protocol Implementation</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Dear Team,</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In light of the </w:t>
      </w:r>
      <w:proofErr w:type="spellStart"/>
      <w:r w:rsidRPr="00A0199D">
        <w:rPr>
          <w:rFonts w:ascii="Times New Roman" w:eastAsia="Times New Roman" w:hAnsi="Times New Roman" w:cs="Times New Roman"/>
          <w:sz w:val="24"/>
          <w:szCs w:val="24"/>
        </w:rPr>
        <w:t>foodborne</w:t>
      </w:r>
      <w:proofErr w:type="spellEnd"/>
      <w:r w:rsidRPr="00A0199D">
        <w:rPr>
          <w:rFonts w:ascii="Times New Roman" w:eastAsia="Times New Roman" w:hAnsi="Times New Roman" w:cs="Times New Roman"/>
          <w:sz w:val="24"/>
          <w:szCs w:val="24"/>
        </w:rPr>
        <w:t xml:space="preserve"> illness outbreak, the following measures are mandatory as of today:</w:t>
      </w:r>
    </w:p>
    <w:p w:rsidR="00A0199D" w:rsidRPr="00A0199D" w:rsidRDefault="00A0199D" w:rsidP="00A0199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Full kitchen closure until </w:t>
      </w:r>
      <w:proofErr w:type="spellStart"/>
      <w:r w:rsidRPr="00A0199D">
        <w:rPr>
          <w:rFonts w:ascii="Times New Roman" w:eastAsia="Times New Roman" w:hAnsi="Times New Roman" w:cs="Times New Roman"/>
          <w:sz w:val="24"/>
          <w:szCs w:val="24"/>
        </w:rPr>
        <w:t>reinspection</w:t>
      </w:r>
      <w:proofErr w:type="spellEnd"/>
      <w:r w:rsidRPr="00A0199D">
        <w:rPr>
          <w:rFonts w:ascii="Times New Roman" w:eastAsia="Times New Roman" w:hAnsi="Times New Roman" w:cs="Times New Roman"/>
          <w:sz w:val="24"/>
          <w:szCs w:val="24"/>
        </w:rPr>
        <w:t xml:space="preserve"> is complete</w:t>
      </w:r>
    </w:p>
    <w:p w:rsidR="00A0199D" w:rsidRPr="00A0199D" w:rsidRDefault="00A0199D" w:rsidP="00A0199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Disinfection of all food preparation and dining areas</w:t>
      </w:r>
    </w:p>
    <w:p w:rsidR="00A0199D" w:rsidRPr="00A0199D" w:rsidRDefault="00A0199D" w:rsidP="00A0199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Mandatory re-training in hygiene standards for all food and beverage staff</w:t>
      </w:r>
    </w:p>
    <w:p w:rsidR="00A0199D" w:rsidRPr="00A0199D" w:rsidRDefault="00A0199D" w:rsidP="00A0199D">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Guests must be informed professionally and respectfully</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Please report any suspicious symptoms immediately. Let’s focus on recovery through responsibility and care.</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Best</w:t>
      </w:r>
      <w:proofErr w:type="gramStart"/>
      <w:r w:rsidRPr="00A0199D">
        <w:rPr>
          <w:rFonts w:ascii="Times New Roman" w:eastAsia="Times New Roman" w:hAnsi="Times New Roman" w:cs="Times New Roman"/>
          <w:sz w:val="24"/>
          <w:szCs w:val="24"/>
        </w:rPr>
        <w:t>,</w:t>
      </w:r>
      <w:proofErr w:type="gramEnd"/>
      <w:r w:rsidRPr="00A0199D">
        <w:rPr>
          <w:rFonts w:ascii="Times New Roman" w:eastAsia="Times New Roman" w:hAnsi="Times New Roman" w:cs="Times New Roman"/>
          <w:sz w:val="24"/>
          <w:szCs w:val="24"/>
        </w:rPr>
        <w:br/>
        <w:t>Dr. Simone Grafton</w:t>
      </w:r>
    </w:p>
    <w:p w:rsidR="00696AA0" w:rsidRDefault="00696AA0" w:rsidP="00A0199D">
      <w:pPr>
        <w:spacing w:before="100" w:beforeAutospacing="1" w:after="100" w:afterAutospacing="1" w:line="240" w:lineRule="auto"/>
        <w:outlineLvl w:val="2"/>
        <w:rPr>
          <w:rFonts w:ascii="Times New Roman" w:eastAsia="Times New Roman" w:hAnsi="Times New Roman" w:cs="Times New Roman"/>
          <w:sz w:val="24"/>
          <w:szCs w:val="24"/>
        </w:rPr>
      </w:pP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t>6.2 Public Press Release</w:t>
      </w:r>
    </w:p>
    <w:p w:rsidR="00A0199D" w:rsidRPr="00A0199D" w:rsidRDefault="00A0199D" w:rsidP="00A0199D">
      <w:pPr>
        <w:spacing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FOR IMMEDIATE RELEASE</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proofErr w:type="spellStart"/>
      <w:r w:rsidRPr="00A0199D">
        <w:rPr>
          <w:rFonts w:ascii="Times New Roman" w:eastAsia="Times New Roman" w:hAnsi="Times New Roman" w:cs="Times New Roman"/>
          <w:b/>
          <w:bCs/>
          <w:sz w:val="24"/>
          <w:szCs w:val="24"/>
        </w:rPr>
        <w:lastRenderedPageBreak/>
        <w:t>TropiCasa</w:t>
      </w:r>
      <w:proofErr w:type="spellEnd"/>
      <w:r w:rsidRPr="00A0199D">
        <w:rPr>
          <w:rFonts w:ascii="Times New Roman" w:eastAsia="Times New Roman" w:hAnsi="Times New Roman" w:cs="Times New Roman"/>
          <w:b/>
          <w:bCs/>
          <w:sz w:val="24"/>
          <w:szCs w:val="24"/>
        </w:rPr>
        <w:t xml:space="preserve"> Issues Statement on Montego Bay Health Incident</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May 5, 2025 – </w:t>
      </w:r>
      <w:proofErr w:type="spellStart"/>
      <w:r w:rsidRPr="00A0199D">
        <w:rPr>
          <w:rFonts w:ascii="Times New Roman" w:eastAsia="Times New Roman" w:hAnsi="Times New Roman" w:cs="Times New Roman"/>
          <w:sz w:val="24"/>
          <w:szCs w:val="24"/>
        </w:rPr>
        <w:t>TropiCasa</w:t>
      </w:r>
      <w:proofErr w:type="spellEnd"/>
      <w:r w:rsidRPr="00A0199D">
        <w:rPr>
          <w:rFonts w:ascii="Times New Roman" w:eastAsia="Times New Roman" w:hAnsi="Times New Roman" w:cs="Times New Roman"/>
          <w:sz w:val="24"/>
          <w:szCs w:val="24"/>
        </w:rPr>
        <w:t xml:space="preserve"> Resorts acknowledges an incident involving guest illness at our Montego Bay property. We extend our deepest apologies to the affected guests and are cooperating fully with health authorities.</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Immediate actions taken:</w:t>
      </w:r>
    </w:p>
    <w:p w:rsidR="00A0199D" w:rsidRPr="00A0199D" w:rsidRDefault="00A0199D" w:rsidP="00A0199D">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Closure of food and beverage services for inspection</w:t>
      </w:r>
    </w:p>
    <w:p w:rsidR="00A0199D" w:rsidRPr="00A0199D" w:rsidRDefault="00A0199D" w:rsidP="00A0199D">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Collaboration with Jamaican Ministry of Health and WHO consultants</w:t>
      </w:r>
    </w:p>
    <w:p w:rsidR="00A0199D" w:rsidRPr="00A0199D" w:rsidRDefault="00A0199D" w:rsidP="00A0199D">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Complimentary medical support and vacation vouchers for all affected guests</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“This incident is deeply regrettable,” said CEO Marcia Niles. “We are implementing full corrective measures to protect guest safety.”</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Contact: press@tropicasa.com</w:t>
      </w:r>
    </w:p>
    <w:p w:rsidR="00696AA0" w:rsidRDefault="00696AA0" w:rsidP="00A0199D">
      <w:pPr>
        <w:spacing w:before="100" w:beforeAutospacing="1" w:after="100" w:afterAutospacing="1" w:line="240" w:lineRule="auto"/>
        <w:outlineLvl w:val="2"/>
        <w:rPr>
          <w:rFonts w:ascii="Times New Roman" w:eastAsia="Times New Roman" w:hAnsi="Times New Roman" w:cs="Times New Roman"/>
          <w:sz w:val="24"/>
          <w:szCs w:val="24"/>
        </w:rPr>
      </w:pP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t>6.3 Stakeholder Letter</w:t>
      </w:r>
    </w:p>
    <w:p w:rsidR="00A0199D" w:rsidRPr="00A0199D" w:rsidRDefault="00A0199D" w:rsidP="00A0199D">
      <w:pPr>
        <w:spacing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b/>
          <w:bCs/>
          <w:sz w:val="24"/>
          <w:szCs w:val="24"/>
        </w:rPr>
        <w:t>Subject</w:t>
      </w:r>
      <w:r w:rsidRPr="00A0199D">
        <w:rPr>
          <w:rFonts w:ascii="Times New Roman" w:eastAsia="Times New Roman" w:hAnsi="Times New Roman" w:cs="Times New Roman"/>
          <w:sz w:val="24"/>
          <w:szCs w:val="24"/>
        </w:rPr>
        <w:t>: Incident Update and Organizational Response Plan</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Dear Travel and Business Partners,</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We regret to inform you of a recent food-related health incident at our Montego Bay resort. Guest well-being is our top priority.</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Steps taken include:</w:t>
      </w:r>
    </w:p>
    <w:p w:rsidR="00A0199D" w:rsidRPr="00A0199D" w:rsidRDefault="00A0199D" w:rsidP="00A0199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Immediate halt to buffet services</w:t>
      </w:r>
    </w:p>
    <w:p w:rsidR="00A0199D" w:rsidRPr="00A0199D" w:rsidRDefault="00A0199D" w:rsidP="00A0199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Hiring of international food safety consultants</w:t>
      </w:r>
    </w:p>
    <w:p w:rsidR="00A0199D" w:rsidRPr="00A0199D" w:rsidRDefault="00A0199D" w:rsidP="00A0199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Medical coverage and complimentary future stay for affected parties</w:t>
      </w:r>
    </w:p>
    <w:p w:rsidR="00A0199D" w:rsidRPr="00A0199D" w:rsidRDefault="00A0199D" w:rsidP="00A0199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Scheduled re-certification from Jamaica’s Public Health Agency</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We are grateful for your continued support during this challenging time.</w:t>
      </w:r>
    </w:p>
    <w:p w:rsidR="00A0199D" w:rsidRPr="00A0199D" w:rsidRDefault="00A0199D" w:rsidP="00A0199D">
      <w:p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Sincerely</w:t>
      </w:r>
      <w:proofErr w:type="gramStart"/>
      <w:r w:rsidRPr="00A0199D">
        <w:rPr>
          <w:rFonts w:ascii="Times New Roman" w:eastAsia="Times New Roman" w:hAnsi="Times New Roman" w:cs="Times New Roman"/>
          <w:sz w:val="24"/>
          <w:szCs w:val="24"/>
        </w:rPr>
        <w:t>,</w:t>
      </w:r>
      <w:proofErr w:type="gramEnd"/>
      <w:r w:rsidRPr="00A0199D">
        <w:rPr>
          <w:rFonts w:ascii="Times New Roman" w:eastAsia="Times New Roman" w:hAnsi="Times New Roman" w:cs="Times New Roman"/>
          <w:sz w:val="24"/>
          <w:szCs w:val="24"/>
        </w:rPr>
        <w:br/>
        <w:t>Marcia Niles</w:t>
      </w:r>
      <w:r w:rsidRPr="00A0199D">
        <w:rPr>
          <w:rFonts w:ascii="Times New Roman" w:eastAsia="Times New Roman" w:hAnsi="Times New Roman" w:cs="Times New Roman"/>
          <w:sz w:val="24"/>
          <w:szCs w:val="24"/>
        </w:rPr>
        <w:br/>
        <w:t xml:space="preserve">CEO, </w:t>
      </w:r>
      <w:proofErr w:type="spellStart"/>
      <w:r w:rsidRPr="00A0199D">
        <w:rPr>
          <w:rFonts w:ascii="Times New Roman" w:eastAsia="Times New Roman" w:hAnsi="Times New Roman" w:cs="Times New Roman"/>
          <w:sz w:val="24"/>
          <w:szCs w:val="24"/>
        </w:rPr>
        <w:t>TropiCasa</w:t>
      </w:r>
      <w:proofErr w:type="spellEnd"/>
      <w:r w:rsidRPr="00A0199D">
        <w:rPr>
          <w:rFonts w:ascii="Times New Roman" w:eastAsia="Times New Roman" w:hAnsi="Times New Roman" w:cs="Times New Roman"/>
          <w:sz w:val="24"/>
          <w:szCs w:val="24"/>
        </w:rPr>
        <w:t xml:space="preserve"> Group</w:t>
      </w:r>
    </w:p>
    <w:p w:rsidR="006C20CC" w:rsidRDefault="006C20CC" w:rsidP="006C20CC">
      <w:pPr>
        <w:spacing w:before="100" w:beforeAutospacing="1" w:after="100" w:afterAutospacing="1" w:line="240" w:lineRule="auto"/>
        <w:outlineLvl w:val="2"/>
        <w:rPr>
          <w:rFonts w:ascii="Times New Roman" w:eastAsia="Times New Roman" w:hAnsi="Times New Roman" w:cs="Times New Roman"/>
          <w:sz w:val="24"/>
          <w:szCs w:val="24"/>
        </w:rPr>
      </w:pPr>
    </w:p>
    <w:p w:rsidR="006C20CC" w:rsidRPr="006C20CC" w:rsidRDefault="006C20CC" w:rsidP="006C20CC">
      <w:pPr>
        <w:spacing w:before="100" w:beforeAutospacing="1" w:after="100" w:afterAutospacing="1" w:line="240" w:lineRule="auto"/>
        <w:outlineLvl w:val="2"/>
        <w:rPr>
          <w:rFonts w:ascii="Times New Roman" w:eastAsia="Times New Roman" w:hAnsi="Times New Roman" w:cs="Times New Roman"/>
          <w:b/>
          <w:bCs/>
          <w:sz w:val="27"/>
          <w:szCs w:val="27"/>
        </w:rPr>
      </w:pPr>
      <w:r w:rsidRPr="006C20CC">
        <w:rPr>
          <w:rFonts w:ascii="Times New Roman" w:eastAsia="Times New Roman" w:hAnsi="Times New Roman" w:cs="Times New Roman"/>
          <w:b/>
          <w:bCs/>
          <w:sz w:val="27"/>
          <w:szCs w:val="27"/>
        </w:rPr>
        <w:t>7. CHALLENGES AND REAL-WORLD EXAMPLES</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b/>
          <w:bCs/>
          <w:sz w:val="24"/>
          <w:szCs w:val="24"/>
        </w:rPr>
        <w:lastRenderedPageBreak/>
        <w:t>Challenge 1: Global Panic from Local Incident</w:t>
      </w:r>
      <w:r w:rsidRPr="006C20CC">
        <w:rPr>
          <w:rFonts w:ascii="Times New Roman" w:eastAsia="Times New Roman" w:hAnsi="Times New Roman" w:cs="Times New Roman"/>
          <w:sz w:val="24"/>
          <w:szCs w:val="24"/>
        </w:rPr>
        <w:br/>
        <w:t xml:space="preserve">• </w:t>
      </w:r>
      <w:r w:rsidRPr="006C20CC">
        <w:rPr>
          <w:rFonts w:ascii="Times New Roman" w:eastAsia="Times New Roman" w:hAnsi="Times New Roman" w:cs="Times New Roman"/>
          <w:b/>
          <w:bCs/>
          <w:sz w:val="24"/>
          <w:szCs w:val="24"/>
        </w:rPr>
        <w:t>Example</w:t>
      </w:r>
      <w:r w:rsidRPr="006C20CC">
        <w:rPr>
          <w:rFonts w:ascii="Times New Roman" w:eastAsia="Times New Roman" w:hAnsi="Times New Roman" w:cs="Times New Roman"/>
          <w:sz w:val="24"/>
          <w:szCs w:val="24"/>
        </w:rPr>
        <w:t>: In 2019, a single food contamination case in Mexico’s Riviera Maya led to a global drop of 23% in resort bookings, particularly from U.S. and U.K. travelers who feared systemic issues across the region (CNN, 2019).</w:t>
      </w:r>
      <w:r w:rsidRPr="006C20CC">
        <w:rPr>
          <w:rFonts w:ascii="Times New Roman" w:eastAsia="Times New Roman" w:hAnsi="Times New Roman" w:cs="Times New Roman"/>
          <w:sz w:val="24"/>
          <w:szCs w:val="24"/>
        </w:rPr>
        <w:br/>
        <w:t>• The perception of one-off local crises as widespread problems is common in tourism, especially when media outlets use alarming headlines. Misunderstanding or sensationalism can result in industry-wide consequences.</w:t>
      </w:r>
      <w:r w:rsidRPr="006C20CC">
        <w:rPr>
          <w:rFonts w:ascii="Times New Roman" w:eastAsia="Times New Roman" w:hAnsi="Times New Roman" w:cs="Times New Roman"/>
          <w:sz w:val="24"/>
          <w:szCs w:val="24"/>
        </w:rPr>
        <w:br/>
        <w:t xml:space="preserve">• </w:t>
      </w:r>
      <w:r w:rsidRPr="006C20CC">
        <w:rPr>
          <w:rFonts w:ascii="Times New Roman" w:eastAsia="Times New Roman" w:hAnsi="Times New Roman" w:cs="Times New Roman"/>
          <w:b/>
          <w:bCs/>
          <w:sz w:val="24"/>
          <w:szCs w:val="24"/>
        </w:rPr>
        <w:t>Solution</w:t>
      </w:r>
      <w:r w:rsidRPr="006C20CC">
        <w:rPr>
          <w:rFonts w:ascii="Times New Roman" w:eastAsia="Times New Roman" w:hAnsi="Times New Roman" w:cs="Times New Roman"/>
          <w:sz w:val="24"/>
          <w:szCs w:val="24"/>
        </w:rPr>
        <w:t xml:space="preserve">: </w:t>
      </w:r>
      <w:proofErr w:type="spellStart"/>
      <w:r w:rsidRPr="006C20CC">
        <w:rPr>
          <w:rFonts w:ascii="Times New Roman" w:eastAsia="Times New Roman" w:hAnsi="Times New Roman" w:cs="Times New Roman"/>
          <w:sz w:val="24"/>
          <w:szCs w:val="24"/>
        </w:rPr>
        <w:t>TropiCasa</w:t>
      </w:r>
      <w:proofErr w:type="spellEnd"/>
      <w:r w:rsidRPr="006C20CC">
        <w:rPr>
          <w:rFonts w:ascii="Times New Roman" w:eastAsia="Times New Roman" w:hAnsi="Times New Roman" w:cs="Times New Roman"/>
          <w:sz w:val="24"/>
          <w:szCs w:val="24"/>
        </w:rPr>
        <w:t xml:space="preserve"> must immediately communicate that the issue was isolated, contained, and addressed. Crisis media strategies should focus on targeted messaging that clarifies geography, cause, and containment measures (Coombs, 2007).</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b/>
          <w:bCs/>
          <w:sz w:val="24"/>
          <w:szCs w:val="24"/>
        </w:rPr>
        <w:t>Challenge 2: Legal Exposure from Multiple Countries</w:t>
      </w:r>
      <w:r w:rsidRPr="006C20CC">
        <w:rPr>
          <w:rFonts w:ascii="Times New Roman" w:eastAsia="Times New Roman" w:hAnsi="Times New Roman" w:cs="Times New Roman"/>
          <w:sz w:val="24"/>
          <w:szCs w:val="24"/>
        </w:rPr>
        <w:br/>
        <w:t>• Tourists from the EU, U.S., and Brazil were affected, each with unique consumer protection laws and medical rights. For instance, EU directives require immediate compensation for preventable injuries during package holidays.</w:t>
      </w:r>
      <w:r w:rsidRPr="006C20CC">
        <w:rPr>
          <w:rFonts w:ascii="Times New Roman" w:eastAsia="Times New Roman" w:hAnsi="Times New Roman" w:cs="Times New Roman"/>
          <w:sz w:val="24"/>
          <w:szCs w:val="24"/>
        </w:rPr>
        <w:br/>
        <w:t>• Managing legal complaints across jurisdictions can be costly, complex, and time-consuming, especially when overlapping liabilities are unclear.</w:t>
      </w:r>
      <w:r w:rsidRPr="006C20CC">
        <w:rPr>
          <w:rFonts w:ascii="Times New Roman" w:eastAsia="Times New Roman" w:hAnsi="Times New Roman" w:cs="Times New Roman"/>
          <w:sz w:val="24"/>
          <w:szCs w:val="24"/>
        </w:rPr>
        <w:br/>
        <w:t xml:space="preserve">• </w:t>
      </w:r>
      <w:r w:rsidRPr="006C20CC">
        <w:rPr>
          <w:rFonts w:ascii="Times New Roman" w:eastAsia="Times New Roman" w:hAnsi="Times New Roman" w:cs="Times New Roman"/>
          <w:b/>
          <w:bCs/>
          <w:sz w:val="24"/>
          <w:szCs w:val="24"/>
        </w:rPr>
        <w:t>Solution</w:t>
      </w:r>
      <w:r w:rsidRPr="006C20CC">
        <w:rPr>
          <w:rFonts w:ascii="Times New Roman" w:eastAsia="Times New Roman" w:hAnsi="Times New Roman" w:cs="Times New Roman"/>
          <w:sz w:val="24"/>
          <w:szCs w:val="24"/>
        </w:rPr>
        <w:t>: Establishing a multilingual, multi-jurisdictional legal support unit can demonstrate accountability and reduce adversarial responses. This move also projects transparency and readiness, aligning with best practices in transnational crisis management (</w:t>
      </w:r>
      <w:proofErr w:type="spellStart"/>
      <w:r w:rsidRPr="006C20CC">
        <w:rPr>
          <w:rFonts w:ascii="Times New Roman" w:eastAsia="Times New Roman" w:hAnsi="Times New Roman" w:cs="Times New Roman"/>
          <w:sz w:val="24"/>
          <w:szCs w:val="24"/>
        </w:rPr>
        <w:t>Mitroff</w:t>
      </w:r>
      <w:proofErr w:type="spellEnd"/>
      <w:r w:rsidRPr="006C20CC">
        <w:rPr>
          <w:rFonts w:ascii="Times New Roman" w:eastAsia="Times New Roman" w:hAnsi="Times New Roman" w:cs="Times New Roman"/>
          <w:sz w:val="24"/>
          <w:szCs w:val="24"/>
        </w:rPr>
        <w:t>, 2005).</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b/>
          <w:bCs/>
          <w:sz w:val="24"/>
          <w:szCs w:val="24"/>
        </w:rPr>
        <w:t>Challenge 3: Social Media Outrage</w:t>
      </w:r>
      <w:r w:rsidRPr="006C20CC">
        <w:rPr>
          <w:rFonts w:ascii="Times New Roman" w:eastAsia="Times New Roman" w:hAnsi="Times New Roman" w:cs="Times New Roman"/>
          <w:sz w:val="24"/>
          <w:szCs w:val="24"/>
        </w:rPr>
        <w:br/>
        <w:t xml:space="preserve">• Videos of guests vomiting in hotel lobbies and pools went viral within hours, with </w:t>
      </w:r>
      <w:proofErr w:type="spellStart"/>
      <w:r w:rsidRPr="006C20CC">
        <w:rPr>
          <w:rFonts w:ascii="Times New Roman" w:eastAsia="Times New Roman" w:hAnsi="Times New Roman" w:cs="Times New Roman"/>
          <w:sz w:val="24"/>
          <w:szCs w:val="24"/>
        </w:rPr>
        <w:t>hashtags</w:t>
      </w:r>
      <w:proofErr w:type="spellEnd"/>
      <w:r w:rsidRPr="006C20CC">
        <w:rPr>
          <w:rFonts w:ascii="Times New Roman" w:eastAsia="Times New Roman" w:hAnsi="Times New Roman" w:cs="Times New Roman"/>
          <w:sz w:val="24"/>
          <w:szCs w:val="24"/>
        </w:rPr>
        <w:t xml:space="preserve"> like “#</w:t>
      </w:r>
      <w:proofErr w:type="spellStart"/>
      <w:r w:rsidRPr="006C20CC">
        <w:rPr>
          <w:rFonts w:ascii="Times New Roman" w:eastAsia="Times New Roman" w:hAnsi="Times New Roman" w:cs="Times New Roman"/>
          <w:sz w:val="24"/>
          <w:szCs w:val="24"/>
        </w:rPr>
        <w:t>DeathVacation</w:t>
      </w:r>
      <w:proofErr w:type="spellEnd"/>
      <w:r w:rsidRPr="006C20CC">
        <w:rPr>
          <w:rFonts w:ascii="Times New Roman" w:eastAsia="Times New Roman" w:hAnsi="Times New Roman" w:cs="Times New Roman"/>
          <w:sz w:val="24"/>
          <w:szCs w:val="24"/>
        </w:rPr>
        <w:t xml:space="preserve">” trending on </w:t>
      </w:r>
      <w:proofErr w:type="spellStart"/>
      <w:r w:rsidRPr="006C20CC">
        <w:rPr>
          <w:rFonts w:ascii="Times New Roman" w:eastAsia="Times New Roman" w:hAnsi="Times New Roman" w:cs="Times New Roman"/>
          <w:sz w:val="24"/>
          <w:szCs w:val="24"/>
        </w:rPr>
        <w:t>TikTok</w:t>
      </w:r>
      <w:proofErr w:type="spellEnd"/>
      <w:r w:rsidRPr="006C20CC">
        <w:rPr>
          <w:rFonts w:ascii="Times New Roman" w:eastAsia="Times New Roman" w:hAnsi="Times New Roman" w:cs="Times New Roman"/>
          <w:sz w:val="24"/>
          <w:szCs w:val="24"/>
        </w:rPr>
        <w:t xml:space="preserve"> and </w:t>
      </w:r>
      <w:proofErr w:type="spellStart"/>
      <w:r w:rsidRPr="006C20CC">
        <w:rPr>
          <w:rFonts w:ascii="Times New Roman" w:eastAsia="Times New Roman" w:hAnsi="Times New Roman" w:cs="Times New Roman"/>
          <w:sz w:val="24"/>
          <w:szCs w:val="24"/>
        </w:rPr>
        <w:t>Instagram</w:t>
      </w:r>
      <w:proofErr w:type="spellEnd"/>
      <w:r w:rsidRPr="006C20CC">
        <w:rPr>
          <w:rFonts w:ascii="Times New Roman" w:eastAsia="Times New Roman" w:hAnsi="Times New Roman" w:cs="Times New Roman"/>
          <w:sz w:val="24"/>
          <w:szCs w:val="24"/>
        </w:rPr>
        <w:t>. The visual nature of food-related illnesses intensified the emotional impact.</w:t>
      </w:r>
      <w:r w:rsidRPr="006C20CC">
        <w:rPr>
          <w:rFonts w:ascii="Times New Roman" w:eastAsia="Times New Roman" w:hAnsi="Times New Roman" w:cs="Times New Roman"/>
          <w:sz w:val="24"/>
          <w:szCs w:val="24"/>
        </w:rPr>
        <w:br/>
        <w:t>• Social media outrage often escalates faster than official communication, making the first 24 hours critical for brand survival. Misinformation or silence can be interpreted as guilt (Veil et al., 2011).</w:t>
      </w:r>
      <w:r w:rsidRPr="006C20CC">
        <w:rPr>
          <w:rFonts w:ascii="Times New Roman" w:eastAsia="Times New Roman" w:hAnsi="Times New Roman" w:cs="Times New Roman"/>
          <w:sz w:val="24"/>
          <w:szCs w:val="24"/>
        </w:rPr>
        <w:br/>
        <w:t xml:space="preserve">• </w:t>
      </w:r>
      <w:r w:rsidRPr="006C20CC">
        <w:rPr>
          <w:rFonts w:ascii="Times New Roman" w:eastAsia="Times New Roman" w:hAnsi="Times New Roman" w:cs="Times New Roman"/>
          <w:b/>
          <w:bCs/>
          <w:sz w:val="24"/>
          <w:szCs w:val="24"/>
        </w:rPr>
        <w:t>Solution</w:t>
      </w:r>
      <w:r w:rsidRPr="006C20CC">
        <w:rPr>
          <w:rFonts w:ascii="Times New Roman" w:eastAsia="Times New Roman" w:hAnsi="Times New Roman" w:cs="Times New Roman"/>
          <w:sz w:val="24"/>
          <w:szCs w:val="24"/>
        </w:rPr>
        <w:t>: Collaborate with affected influencers for message correction, provide verified updates, and issue sensitive public statements. Compassionate storytelling, showing care rather than defensiveness, can help de-escalate public anger (Liu, Austin, &amp; Jin, 2011).</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b/>
          <w:bCs/>
          <w:sz w:val="24"/>
          <w:szCs w:val="24"/>
        </w:rPr>
        <w:t>Challenge 4: Emotional Trauma Among Affected Families</w:t>
      </w:r>
      <w:r w:rsidRPr="006C20CC">
        <w:rPr>
          <w:rFonts w:ascii="Times New Roman" w:eastAsia="Times New Roman" w:hAnsi="Times New Roman" w:cs="Times New Roman"/>
          <w:sz w:val="24"/>
          <w:szCs w:val="24"/>
        </w:rPr>
        <w:br/>
        <w:t>• Many affected guests included families with children, who expressed distress not only about the illness but also about ruined holidays and lack of immediate medical care.</w:t>
      </w:r>
      <w:r w:rsidRPr="006C20CC">
        <w:rPr>
          <w:rFonts w:ascii="Times New Roman" w:eastAsia="Times New Roman" w:hAnsi="Times New Roman" w:cs="Times New Roman"/>
          <w:sz w:val="24"/>
          <w:szCs w:val="24"/>
        </w:rPr>
        <w:br/>
        <w:t>• Some parents filed complaints demanding both emotional and physical damage compensation. Guest interviews shared online revealed deep emotional pain and fear of long-term effects.</w:t>
      </w:r>
      <w:r w:rsidRPr="006C20CC">
        <w:rPr>
          <w:rFonts w:ascii="Times New Roman" w:eastAsia="Times New Roman" w:hAnsi="Times New Roman" w:cs="Times New Roman"/>
          <w:sz w:val="24"/>
          <w:szCs w:val="24"/>
        </w:rPr>
        <w:br/>
        <w:t xml:space="preserve">• </w:t>
      </w:r>
      <w:r w:rsidRPr="006C20CC">
        <w:rPr>
          <w:rFonts w:ascii="Times New Roman" w:eastAsia="Times New Roman" w:hAnsi="Times New Roman" w:cs="Times New Roman"/>
          <w:b/>
          <w:bCs/>
          <w:sz w:val="24"/>
          <w:szCs w:val="24"/>
        </w:rPr>
        <w:t>Solution</w:t>
      </w:r>
      <w:r w:rsidRPr="006C20CC">
        <w:rPr>
          <w:rFonts w:ascii="Times New Roman" w:eastAsia="Times New Roman" w:hAnsi="Times New Roman" w:cs="Times New Roman"/>
          <w:sz w:val="24"/>
          <w:szCs w:val="24"/>
        </w:rPr>
        <w:t xml:space="preserve">: Beyond financial refunds, </w:t>
      </w:r>
      <w:proofErr w:type="spellStart"/>
      <w:r w:rsidRPr="006C20CC">
        <w:rPr>
          <w:rFonts w:ascii="Times New Roman" w:eastAsia="Times New Roman" w:hAnsi="Times New Roman" w:cs="Times New Roman"/>
          <w:sz w:val="24"/>
          <w:szCs w:val="24"/>
        </w:rPr>
        <w:t>TropiCasa</w:t>
      </w:r>
      <w:proofErr w:type="spellEnd"/>
      <w:r w:rsidRPr="006C20CC">
        <w:rPr>
          <w:rFonts w:ascii="Times New Roman" w:eastAsia="Times New Roman" w:hAnsi="Times New Roman" w:cs="Times New Roman"/>
          <w:sz w:val="24"/>
          <w:szCs w:val="24"/>
        </w:rPr>
        <w:t xml:space="preserve"> should offer access to trauma counselors, personalized recovery assistance, and publicly apologize to affected families. Studies show emotional redress is often more meaningful than monetary gestures in regaining trust (Brown, 2008).</w:t>
      </w:r>
    </w:p>
    <w:p w:rsidR="006C20CC" w:rsidRPr="006C20CC" w:rsidRDefault="006C20CC" w:rsidP="006C20CC">
      <w:pPr>
        <w:spacing w:before="100" w:beforeAutospacing="1" w:after="100" w:afterAutospacing="1" w:line="240" w:lineRule="auto"/>
        <w:rPr>
          <w:rFonts w:ascii="Times New Roman" w:eastAsia="Times New Roman" w:hAnsi="Times New Roman" w:cs="Times New Roman"/>
          <w:sz w:val="24"/>
          <w:szCs w:val="24"/>
        </w:rPr>
      </w:pPr>
      <w:r w:rsidRPr="006C20CC">
        <w:rPr>
          <w:rFonts w:ascii="Times New Roman" w:eastAsia="Times New Roman" w:hAnsi="Times New Roman" w:cs="Times New Roman"/>
          <w:b/>
          <w:bCs/>
          <w:sz w:val="24"/>
          <w:szCs w:val="24"/>
        </w:rPr>
        <w:t>Challenge 5: Staff Fear and Disengagement</w:t>
      </w:r>
      <w:r w:rsidRPr="006C20CC">
        <w:rPr>
          <w:rFonts w:ascii="Times New Roman" w:eastAsia="Times New Roman" w:hAnsi="Times New Roman" w:cs="Times New Roman"/>
          <w:sz w:val="24"/>
          <w:szCs w:val="24"/>
        </w:rPr>
        <w:br/>
        <w:t>• Frontline staff, including kitchen workers and housekeepers, feared job loss, wage cuts, and public shaming due to online blame. Anonymous threats and negative reviews targeting employees surfaced online.</w:t>
      </w:r>
      <w:r w:rsidRPr="006C20CC">
        <w:rPr>
          <w:rFonts w:ascii="Times New Roman" w:eastAsia="Times New Roman" w:hAnsi="Times New Roman" w:cs="Times New Roman"/>
          <w:sz w:val="24"/>
          <w:szCs w:val="24"/>
        </w:rPr>
        <w:br/>
      </w:r>
      <w:r w:rsidRPr="006C20CC">
        <w:rPr>
          <w:rFonts w:ascii="Times New Roman" w:eastAsia="Times New Roman" w:hAnsi="Times New Roman" w:cs="Times New Roman"/>
          <w:sz w:val="24"/>
          <w:szCs w:val="24"/>
        </w:rPr>
        <w:lastRenderedPageBreak/>
        <w:t>• Many employees lacked formal training on how to handle health emergencies or interact with angry or frightened guests. Disengagement risk rose due to anxiety and unclear communication from management.</w:t>
      </w:r>
      <w:r w:rsidRPr="006C20CC">
        <w:rPr>
          <w:rFonts w:ascii="Times New Roman" w:eastAsia="Times New Roman" w:hAnsi="Times New Roman" w:cs="Times New Roman"/>
          <w:sz w:val="24"/>
          <w:szCs w:val="24"/>
        </w:rPr>
        <w:br/>
        <w:t xml:space="preserve">• </w:t>
      </w:r>
      <w:r w:rsidRPr="006C20CC">
        <w:rPr>
          <w:rFonts w:ascii="Times New Roman" w:eastAsia="Times New Roman" w:hAnsi="Times New Roman" w:cs="Times New Roman"/>
          <w:b/>
          <w:bCs/>
          <w:sz w:val="24"/>
          <w:szCs w:val="24"/>
        </w:rPr>
        <w:t>Solution</w:t>
      </w:r>
      <w:r w:rsidRPr="006C20CC">
        <w:rPr>
          <w:rFonts w:ascii="Times New Roman" w:eastAsia="Times New Roman" w:hAnsi="Times New Roman" w:cs="Times New Roman"/>
          <w:sz w:val="24"/>
          <w:szCs w:val="24"/>
        </w:rPr>
        <w:t xml:space="preserve">: </w:t>
      </w:r>
      <w:proofErr w:type="spellStart"/>
      <w:r w:rsidRPr="006C20CC">
        <w:rPr>
          <w:rFonts w:ascii="Times New Roman" w:eastAsia="Times New Roman" w:hAnsi="Times New Roman" w:cs="Times New Roman"/>
          <w:sz w:val="24"/>
          <w:szCs w:val="24"/>
        </w:rPr>
        <w:t>TropiCasa</w:t>
      </w:r>
      <w:proofErr w:type="spellEnd"/>
      <w:r w:rsidRPr="006C20CC">
        <w:rPr>
          <w:rFonts w:ascii="Times New Roman" w:eastAsia="Times New Roman" w:hAnsi="Times New Roman" w:cs="Times New Roman"/>
          <w:sz w:val="24"/>
          <w:szCs w:val="24"/>
        </w:rPr>
        <w:t xml:space="preserve"> should implement internal crisis debriefs, offer psychological support through HR, and reassure staff about job security. Transparent communication, inclusion in </w:t>
      </w:r>
      <w:proofErr w:type="gramStart"/>
      <w:r w:rsidRPr="006C20CC">
        <w:rPr>
          <w:rFonts w:ascii="Times New Roman" w:eastAsia="Times New Roman" w:hAnsi="Times New Roman" w:cs="Times New Roman"/>
          <w:sz w:val="24"/>
          <w:szCs w:val="24"/>
        </w:rPr>
        <w:t>decision-making,</w:t>
      </w:r>
      <w:proofErr w:type="gramEnd"/>
      <w:r w:rsidRPr="006C20CC">
        <w:rPr>
          <w:rFonts w:ascii="Times New Roman" w:eastAsia="Times New Roman" w:hAnsi="Times New Roman" w:cs="Times New Roman"/>
          <w:sz w:val="24"/>
          <w:szCs w:val="24"/>
        </w:rPr>
        <w:t xml:space="preserve"> and emotional care can prevent attrition and boost morale (Wooten &amp; James, 2008).</w:t>
      </w:r>
    </w:p>
    <w:p w:rsidR="006C20CC" w:rsidRDefault="006C20CC" w:rsidP="0019730D">
      <w:pPr>
        <w:spacing w:before="100" w:beforeAutospacing="1" w:after="100" w:afterAutospacing="1" w:line="240" w:lineRule="auto"/>
        <w:outlineLvl w:val="2"/>
        <w:rPr>
          <w:rFonts w:ascii="Times New Roman" w:eastAsia="Times New Roman" w:hAnsi="Times New Roman" w:cs="Times New Roman"/>
          <w:sz w:val="24"/>
          <w:szCs w:val="24"/>
        </w:rPr>
      </w:pPr>
    </w:p>
    <w:p w:rsidR="0019730D" w:rsidRPr="0019730D" w:rsidRDefault="0019730D" w:rsidP="0019730D">
      <w:pPr>
        <w:spacing w:before="100" w:beforeAutospacing="1" w:after="100" w:afterAutospacing="1" w:line="240" w:lineRule="auto"/>
        <w:outlineLvl w:val="2"/>
        <w:rPr>
          <w:rFonts w:ascii="Times New Roman" w:eastAsia="Times New Roman" w:hAnsi="Times New Roman" w:cs="Times New Roman"/>
          <w:b/>
          <w:bCs/>
          <w:sz w:val="27"/>
          <w:szCs w:val="27"/>
        </w:rPr>
      </w:pPr>
      <w:r w:rsidRPr="0019730D">
        <w:rPr>
          <w:rFonts w:ascii="Times New Roman" w:eastAsia="Times New Roman" w:hAnsi="Times New Roman" w:cs="Times New Roman"/>
          <w:b/>
          <w:bCs/>
          <w:sz w:val="27"/>
          <w:szCs w:val="27"/>
        </w:rPr>
        <w:t>8. CONCLUSION</w:t>
      </w:r>
    </w:p>
    <w:p w:rsidR="0019730D" w:rsidRPr="0019730D" w:rsidRDefault="0019730D" w:rsidP="0019730D">
      <w:p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The </w:t>
      </w:r>
      <w:proofErr w:type="spellStart"/>
      <w:r w:rsidRPr="0019730D">
        <w:rPr>
          <w:rFonts w:ascii="Times New Roman" w:eastAsia="Times New Roman" w:hAnsi="Times New Roman" w:cs="Times New Roman"/>
          <w:sz w:val="24"/>
          <w:szCs w:val="24"/>
        </w:rPr>
        <w:t>TropiCasa</w:t>
      </w:r>
      <w:proofErr w:type="spellEnd"/>
      <w:r w:rsidRPr="0019730D">
        <w:rPr>
          <w:rFonts w:ascii="Times New Roman" w:eastAsia="Times New Roman" w:hAnsi="Times New Roman" w:cs="Times New Roman"/>
          <w:sz w:val="24"/>
          <w:szCs w:val="24"/>
        </w:rPr>
        <w:t xml:space="preserve"> Resort food poisoning crisis highlights the deep vulnerability of customer trust in the tourism and hospitality sector, particularly when guest health is compromised. In an industry where comfort, reliability, and care are marketed as core values, even a single incident of negligence can cascade into widespread reputational damage. In this case, the rapid spread of social media images and testimonials further intensified the public backlash. Scholars emphasize that health-related tourism crises are among the most sensitive and damaging, as they attack the core promise of safety and care (</w:t>
      </w:r>
      <w:proofErr w:type="spellStart"/>
      <w:r w:rsidRPr="0019730D">
        <w:rPr>
          <w:rFonts w:ascii="Times New Roman" w:eastAsia="Times New Roman" w:hAnsi="Times New Roman" w:cs="Times New Roman"/>
          <w:sz w:val="24"/>
          <w:szCs w:val="24"/>
        </w:rPr>
        <w:t>Scallan</w:t>
      </w:r>
      <w:proofErr w:type="spellEnd"/>
      <w:r w:rsidRPr="0019730D">
        <w:rPr>
          <w:rFonts w:ascii="Times New Roman" w:eastAsia="Times New Roman" w:hAnsi="Times New Roman" w:cs="Times New Roman"/>
          <w:sz w:val="24"/>
          <w:szCs w:val="24"/>
        </w:rPr>
        <w:t xml:space="preserve"> et al., 2011).</w:t>
      </w:r>
    </w:p>
    <w:p w:rsidR="0019730D" w:rsidRPr="0019730D" w:rsidRDefault="0019730D" w:rsidP="0019730D">
      <w:p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By using the Situational Crisis Communication Theory (SCCT), </w:t>
      </w:r>
      <w:proofErr w:type="spellStart"/>
      <w:r w:rsidRPr="0019730D">
        <w:rPr>
          <w:rFonts w:ascii="Times New Roman" w:eastAsia="Times New Roman" w:hAnsi="Times New Roman" w:cs="Times New Roman"/>
          <w:sz w:val="24"/>
          <w:szCs w:val="24"/>
        </w:rPr>
        <w:t>TropiCasa</w:t>
      </w:r>
      <w:proofErr w:type="spellEnd"/>
      <w:r w:rsidRPr="0019730D">
        <w:rPr>
          <w:rFonts w:ascii="Times New Roman" w:eastAsia="Times New Roman" w:hAnsi="Times New Roman" w:cs="Times New Roman"/>
          <w:sz w:val="24"/>
          <w:szCs w:val="24"/>
        </w:rPr>
        <w:t xml:space="preserve"> must recognize this as a preventable crisis that demands a proactive and accountable response. According to Coombs (2007), preventable crises require a "rebuild" strategy—centered on apology, compensation, and clear corrective actions. For </w:t>
      </w:r>
      <w:proofErr w:type="spellStart"/>
      <w:r w:rsidRPr="0019730D">
        <w:rPr>
          <w:rFonts w:ascii="Times New Roman" w:eastAsia="Times New Roman" w:hAnsi="Times New Roman" w:cs="Times New Roman"/>
          <w:sz w:val="24"/>
          <w:szCs w:val="24"/>
        </w:rPr>
        <w:t>TropiCasa</w:t>
      </w:r>
      <w:proofErr w:type="spellEnd"/>
      <w:r w:rsidRPr="0019730D">
        <w:rPr>
          <w:rFonts w:ascii="Times New Roman" w:eastAsia="Times New Roman" w:hAnsi="Times New Roman" w:cs="Times New Roman"/>
          <w:sz w:val="24"/>
          <w:szCs w:val="24"/>
        </w:rPr>
        <w:t>, this means publicly acknowledging the incident, apologizing sincerely to affected guests, and providing tangible forms of redress, such as medical care coverage and refunds. This approach not only aligns with ethical expectations but also demonstrates an organization’s emotional intelligence and human-centered leadership (Liu, Austin, &amp; Jin, 2011).</w:t>
      </w:r>
    </w:p>
    <w:p w:rsidR="0019730D" w:rsidRPr="0019730D" w:rsidRDefault="0019730D" w:rsidP="0019730D">
      <w:p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Cultural awareness also plays a pivotal role in effective crisis management. According to </w:t>
      </w:r>
      <w:proofErr w:type="spellStart"/>
      <w:r w:rsidRPr="0019730D">
        <w:rPr>
          <w:rFonts w:ascii="Times New Roman" w:eastAsia="Times New Roman" w:hAnsi="Times New Roman" w:cs="Times New Roman"/>
          <w:sz w:val="24"/>
          <w:szCs w:val="24"/>
        </w:rPr>
        <w:t>Hofstede’s</w:t>
      </w:r>
      <w:proofErr w:type="spellEnd"/>
      <w:r w:rsidRPr="0019730D">
        <w:rPr>
          <w:rFonts w:ascii="Times New Roman" w:eastAsia="Times New Roman" w:hAnsi="Times New Roman" w:cs="Times New Roman"/>
          <w:sz w:val="24"/>
          <w:szCs w:val="24"/>
        </w:rPr>
        <w:t xml:space="preserve"> cultural dimensions model, different audiences perceive apology and responsibility through their cultural lenses (</w:t>
      </w:r>
      <w:proofErr w:type="spellStart"/>
      <w:r w:rsidRPr="0019730D">
        <w:rPr>
          <w:rFonts w:ascii="Times New Roman" w:eastAsia="Times New Roman" w:hAnsi="Times New Roman" w:cs="Times New Roman"/>
          <w:sz w:val="24"/>
          <w:szCs w:val="24"/>
        </w:rPr>
        <w:t>Hofstede</w:t>
      </w:r>
      <w:proofErr w:type="spellEnd"/>
      <w:r w:rsidRPr="0019730D">
        <w:rPr>
          <w:rFonts w:ascii="Times New Roman" w:eastAsia="Times New Roman" w:hAnsi="Times New Roman" w:cs="Times New Roman"/>
          <w:sz w:val="24"/>
          <w:szCs w:val="24"/>
        </w:rPr>
        <w:t xml:space="preserve">, 2011). For instance, Latin American and Asian guests may value collective apologies and respectful dialogue with family groups, while Western audiences might expect transparent reporting, scientific data on contamination, and third-party audits. </w:t>
      </w:r>
      <w:proofErr w:type="spellStart"/>
      <w:r w:rsidRPr="0019730D">
        <w:rPr>
          <w:rFonts w:ascii="Times New Roman" w:eastAsia="Times New Roman" w:hAnsi="Times New Roman" w:cs="Times New Roman"/>
          <w:sz w:val="24"/>
          <w:szCs w:val="24"/>
        </w:rPr>
        <w:t>TropiCasa’s</w:t>
      </w:r>
      <w:proofErr w:type="spellEnd"/>
      <w:r w:rsidRPr="0019730D">
        <w:rPr>
          <w:rFonts w:ascii="Times New Roman" w:eastAsia="Times New Roman" w:hAnsi="Times New Roman" w:cs="Times New Roman"/>
          <w:sz w:val="24"/>
          <w:szCs w:val="24"/>
        </w:rPr>
        <w:t xml:space="preserve"> messaging should reflect these nuances—delivering culturally tailored responses that acknowledge both emotional and factual needs (</w:t>
      </w:r>
      <w:proofErr w:type="spellStart"/>
      <w:r w:rsidRPr="0019730D">
        <w:rPr>
          <w:rFonts w:ascii="Times New Roman" w:eastAsia="Times New Roman" w:hAnsi="Times New Roman" w:cs="Times New Roman"/>
          <w:sz w:val="24"/>
          <w:szCs w:val="24"/>
        </w:rPr>
        <w:t>Reisinger</w:t>
      </w:r>
      <w:proofErr w:type="spellEnd"/>
      <w:r w:rsidRPr="0019730D">
        <w:rPr>
          <w:rFonts w:ascii="Times New Roman" w:eastAsia="Times New Roman" w:hAnsi="Times New Roman" w:cs="Times New Roman"/>
          <w:sz w:val="24"/>
          <w:szCs w:val="24"/>
        </w:rPr>
        <w:t xml:space="preserve"> &amp; Turner, 2003).</w:t>
      </w:r>
    </w:p>
    <w:p w:rsidR="0019730D" w:rsidRPr="0019730D" w:rsidRDefault="0019730D" w:rsidP="0019730D">
      <w:p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From an operational standpoint, the crisis reflects a serious breakdown in food safety management. Research shows that all-inclusive resorts face heightened food safety risks due to the scale of operations and buffet-style service (</w:t>
      </w:r>
      <w:proofErr w:type="spellStart"/>
      <w:r w:rsidRPr="0019730D">
        <w:rPr>
          <w:rFonts w:ascii="Times New Roman" w:eastAsia="Times New Roman" w:hAnsi="Times New Roman" w:cs="Times New Roman"/>
          <w:sz w:val="24"/>
          <w:szCs w:val="24"/>
        </w:rPr>
        <w:t>Seo</w:t>
      </w:r>
      <w:proofErr w:type="spellEnd"/>
      <w:r w:rsidRPr="0019730D">
        <w:rPr>
          <w:rFonts w:ascii="Times New Roman" w:eastAsia="Times New Roman" w:hAnsi="Times New Roman" w:cs="Times New Roman"/>
          <w:sz w:val="24"/>
          <w:szCs w:val="24"/>
        </w:rPr>
        <w:t xml:space="preserve"> et al., 2014). Moving forward, </w:t>
      </w:r>
      <w:proofErr w:type="spellStart"/>
      <w:r w:rsidRPr="0019730D">
        <w:rPr>
          <w:rFonts w:ascii="Times New Roman" w:eastAsia="Times New Roman" w:hAnsi="Times New Roman" w:cs="Times New Roman"/>
          <w:sz w:val="24"/>
          <w:szCs w:val="24"/>
        </w:rPr>
        <w:t>TropiCasa</w:t>
      </w:r>
      <w:proofErr w:type="spellEnd"/>
      <w:r w:rsidRPr="0019730D">
        <w:rPr>
          <w:rFonts w:ascii="Times New Roman" w:eastAsia="Times New Roman" w:hAnsi="Times New Roman" w:cs="Times New Roman"/>
          <w:sz w:val="24"/>
          <w:szCs w:val="24"/>
        </w:rPr>
        <w:t xml:space="preserve"> must implement a Hazard Analysis and Critical Control Points (HACCP) system, partner with health authorities, and provide staff with regular food safety training. Not only does this restore guest confidence, but it also sets a new benchmark for industry-wide best practices (Hsu &amp; Jang, 2007).</w:t>
      </w:r>
    </w:p>
    <w:p w:rsidR="0019730D" w:rsidRPr="0019730D" w:rsidRDefault="0019730D" w:rsidP="0019730D">
      <w:p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lastRenderedPageBreak/>
        <w:t xml:space="preserve">To rebuild trust, </w:t>
      </w:r>
      <w:proofErr w:type="spellStart"/>
      <w:r w:rsidRPr="0019730D">
        <w:rPr>
          <w:rFonts w:ascii="Times New Roman" w:eastAsia="Times New Roman" w:hAnsi="Times New Roman" w:cs="Times New Roman"/>
          <w:sz w:val="24"/>
          <w:szCs w:val="24"/>
        </w:rPr>
        <w:t>TropiCasa</w:t>
      </w:r>
      <w:proofErr w:type="spellEnd"/>
      <w:r w:rsidRPr="0019730D">
        <w:rPr>
          <w:rFonts w:ascii="Times New Roman" w:eastAsia="Times New Roman" w:hAnsi="Times New Roman" w:cs="Times New Roman"/>
          <w:sz w:val="24"/>
          <w:szCs w:val="24"/>
        </w:rPr>
        <w:t xml:space="preserve"> should also foster participatory accountability. Establishing guest advisory panels, publishing health audit results, and holding regular town-hall meetings with guests and staff can build a stronger sense of transparency and shared ownership. According to stakeholder theory, active engagement increases legitimacy and trust, especially in post-crisis scenarios (Mitchell et al., 1997). Moreover, giving affected guests a voice in shaping future protocols will convey authenticity and show that lessons have been internalized.</w:t>
      </w:r>
    </w:p>
    <w:p w:rsidR="0019730D" w:rsidRPr="0019730D" w:rsidRDefault="0019730D" w:rsidP="0019730D">
      <w:p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In conclusion, the </w:t>
      </w:r>
      <w:proofErr w:type="spellStart"/>
      <w:r w:rsidRPr="0019730D">
        <w:rPr>
          <w:rFonts w:ascii="Times New Roman" w:eastAsia="Times New Roman" w:hAnsi="Times New Roman" w:cs="Times New Roman"/>
          <w:sz w:val="24"/>
          <w:szCs w:val="24"/>
        </w:rPr>
        <w:t>TropiCasa</w:t>
      </w:r>
      <w:proofErr w:type="spellEnd"/>
      <w:r w:rsidRPr="0019730D">
        <w:rPr>
          <w:rFonts w:ascii="Times New Roman" w:eastAsia="Times New Roman" w:hAnsi="Times New Roman" w:cs="Times New Roman"/>
          <w:sz w:val="24"/>
          <w:szCs w:val="24"/>
        </w:rPr>
        <w:t xml:space="preserve"> incident offers both a cautionary tale and a transformational opportunity. If handled with speed, sincerity, and cross-cultural competence, this crisis can become a defining moment in </w:t>
      </w:r>
      <w:proofErr w:type="spellStart"/>
      <w:r w:rsidRPr="0019730D">
        <w:rPr>
          <w:rFonts w:ascii="Times New Roman" w:eastAsia="Times New Roman" w:hAnsi="Times New Roman" w:cs="Times New Roman"/>
          <w:sz w:val="24"/>
          <w:szCs w:val="24"/>
        </w:rPr>
        <w:t>TropiCasa’s</w:t>
      </w:r>
      <w:proofErr w:type="spellEnd"/>
      <w:r w:rsidRPr="0019730D">
        <w:rPr>
          <w:rFonts w:ascii="Times New Roman" w:eastAsia="Times New Roman" w:hAnsi="Times New Roman" w:cs="Times New Roman"/>
          <w:sz w:val="24"/>
          <w:szCs w:val="24"/>
        </w:rPr>
        <w:t xml:space="preserve"> journey from damage to redemption. By embracing SCCT’s rebuild strategy, respecting cultural dynamics, reforming internal systems, and engaging stakeholders meaningfully, the resort can re-establish itself not only as a safe vacation destination but also as a leader in ethical and health-conscious hospitality. Long-term research affirms that organizations that lead with empathy and transparency can not only recover but grow stronger post-crisis (Veil et al., 2011; </w:t>
      </w:r>
      <w:proofErr w:type="spellStart"/>
      <w:r w:rsidRPr="0019730D">
        <w:rPr>
          <w:rFonts w:ascii="Times New Roman" w:eastAsia="Times New Roman" w:hAnsi="Times New Roman" w:cs="Times New Roman"/>
          <w:sz w:val="24"/>
          <w:szCs w:val="24"/>
        </w:rPr>
        <w:t>Seo</w:t>
      </w:r>
      <w:proofErr w:type="spellEnd"/>
      <w:r w:rsidRPr="0019730D">
        <w:rPr>
          <w:rFonts w:ascii="Times New Roman" w:eastAsia="Times New Roman" w:hAnsi="Times New Roman" w:cs="Times New Roman"/>
          <w:sz w:val="24"/>
          <w:szCs w:val="24"/>
        </w:rPr>
        <w:t xml:space="preserve"> et al., 2014).</w:t>
      </w:r>
    </w:p>
    <w:p w:rsidR="0019730D" w:rsidRPr="0019730D" w:rsidRDefault="0019730D" w:rsidP="0019730D">
      <w:pPr>
        <w:spacing w:before="100" w:beforeAutospacing="1" w:after="100" w:afterAutospacing="1" w:line="240" w:lineRule="auto"/>
        <w:outlineLvl w:val="1"/>
        <w:rPr>
          <w:rFonts w:ascii="Times New Roman" w:eastAsia="Times New Roman" w:hAnsi="Times New Roman" w:cs="Times New Roman"/>
          <w:sz w:val="24"/>
          <w:szCs w:val="24"/>
        </w:rPr>
      </w:pPr>
    </w:p>
    <w:p w:rsidR="0019730D" w:rsidRPr="0019730D" w:rsidRDefault="0019730D" w:rsidP="0019730D">
      <w:pPr>
        <w:spacing w:before="100" w:beforeAutospacing="1" w:after="100" w:afterAutospacing="1" w:line="240" w:lineRule="auto"/>
        <w:outlineLvl w:val="1"/>
        <w:rPr>
          <w:rFonts w:ascii="Times New Roman" w:eastAsia="Times New Roman" w:hAnsi="Times New Roman" w:cs="Times New Roman"/>
          <w:b/>
          <w:bCs/>
          <w:sz w:val="36"/>
          <w:szCs w:val="36"/>
        </w:rPr>
      </w:pPr>
      <w:r w:rsidRPr="0019730D">
        <w:rPr>
          <w:rFonts w:ascii="Times New Roman" w:eastAsia="Times New Roman" w:hAnsi="Times New Roman" w:cs="Times New Roman"/>
          <w:b/>
          <w:bCs/>
          <w:sz w:val="36"/>
          <w:szCs w:val="36"/>
        </w:rPr>
        <w:t xml:space="preserve">9. REFERENCES </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Coombs, W. T. (2007). </w:t>
      </w:r>
      <w:r w:rsidRPr="0019730D">
        <w:rPr>
          <w:rFonts w:ascii="Times New Roman" w:eastAsia="Times New Roman" w:hAnsi="Times New Roman" w:cs="Times New Roman"/>
          <w:i/>
          <w:iCs/>
          <w:sz w:val="24"/>
          <w:szCs w:val="24"/>
        </w:rPr>
        <w:t>Ongoing crisis communication: Planning, managing, and responding</w:t>
      </w:r>
      <w:r w:rsidRPr="0019730D">
        <w:rPr>
          <w:rFonts w:ascii="Times New Roman" w:eastAsia="Times New Roman" w:hAnsi="Times New Roman" w:cs="Times New Roman"/>
          <w:sz w:val="24"/>
          <w:szCs w:val="24"/>
        </w:rPr>
        <w:t>. Sage Publications.</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19730D">
        <w:rPr>
          <w:rFonts w:ascii="Times New Roman" w:eastAsia="Times New Roman" w:hAnsi="Times New Roman" w:cs="Times New Roman"/>
          <w:sz w:val="24"/>
          <w:szCs w:val="24"/>
        </w:rPr>
        <w:t>Hofstede</w:t>
      </w:r>
      <w:proofErr w:type="spellEnd"/>
      <w:r w:rsidRPr="0019730D">
        <w:rPr>
          <w:rFonts w:ascii="Times New Roman" w:eastAsia="Times New Roman" w:hAnsi="Times New Roman" w:cs="Times New Roman"/>
          <w:sz w:val="24"/>
          <w:szCs w:val="24"/>
        </w:rPr>
        <w:t xml:space="preserve">, G. (2011). </w:t>
      </w:r>
      <w:proofErr w:type="spellStart"/>
      <w:r w:rsidRPr="0019730D">
        <w:rPr>
          <w:rFonts w:ascii="Times New Roman" w:eastAsia="Times New Roman" w:hAnsi="Times New Roman" w:cs="Times New Roman"/>
          <w:i/>
          <w:iCs/>
          <w:sz w:val="24"/>
          <w:szCs w:val="24"/>
        </w:rPr>
        <w:t>Dimensionalizing</w:t>
      </w:r>
      <w:proofErr w:type="spellEnd"/>
      <w:r w:rsidRPr="0019730D">
        <w:rPr>
          <w:rFonts w:ascii="Times New Roman" w:eastAsia="Times New Roman" w:hAnsi="Times New Roman" w:cs="Times New Roman"/>
          <w:i/>
          <w:iCs/>
          <w:sz w:val="24"/>
          <w:szCs w:val="24"/>
        </w:rPr>
        <w:t xml:space="preserve"> cultures: The </w:t>
      </w:r>
      <w:proofErr w:type="spellStart"/>
      <w:r w:rsidRPr="0019730D">
        <w:rPr>
          <w:rFonts w:ascii="Times New Roman" w:eastAsia="Times New Roman" w:hAnsi="Times New Roman" w:cs="Times New Roman"/>
          <w:i/>
          <w:iCs/>
          <w:sz w:val="24"/>
          <w:szCs w:val="24"/>
        </w:rPr>
        <w:t>Hofstede</w:t>
      </w:r>
      <w:proofErr w:type="spellEnd"/>
      <w:r w:rsidRPr="0019730D">
        <w:rPr>
          <w:rFonts w:ascii="Times New Roman" w:eastAsia="Times New Roman" w:hAnsi="Times New Roman" w:cs="Times New Roman"/>
          <w:i/>
          <w:iCs/>
          <w:sz w:val="24"/>
          <w:szCs w:val="24"/>
        </w:rPr>
        <w:t xml:space="preserve"> model in context</w:t>
      </w:r>
      <w:r w:rsidRPr="0019730D">
        <w:rPr>
          <w:rFonts w:ascii="Times New Roman" w:eastAsia="Times New Roman" w:hAnsi="Times New Roman" w:cs="Times New Roman"/>
          <w:sz w:val="24"/>
          <w:szCs w:val="24"/>
        </w:rPr>
        <w:t>. Online Readings in Psychology and Culture, 2(1).</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Hsu, S.-L., &amp; Jang, S. (2007). The effects of perceived food safety on hospitality image and purchase intent. </w:t>
      </w:r>
      <w:r w:rsidRPr="0019730D">
        <w:rPr>
          <w:rFonts w:ascii="Times New Roman" w:eastAsia="Times New Roman" w:hAnsi="Times New Roman" w:cs="Times New Roman"/>
          <w:i/>
          <w:iCs/>
          <w:sz w:val="24"/>
          <w:szCs w:val="24"/>
        </w:rPr>
        <w:t>International Journal of Hospitality Management</w:t>
      </w:r>
      <w:r w:rsidRPr="0019730D">
        <w:rPr>
          <w:rFonts w:ascii="Times New Roman" w:eastAsia="Times New Roman" w:hAnsi="Times New Roman" w:cs="Times New Roman"/>
          <w:sz w:val="24"/>
          <w:szCs w:val="24"/>
        </w:rPr>
        <w:t>, 26(1), 154–169.</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Liu, B. F., Austin, L., &amp; Jin, Y. (2011). How publics respond to crisis communication strategies: The interplay of information form and source. </w:t>
      </w:r>
      <w:r w:rsidRPr="0019730D">
        <w:rPr>
          <w:rFonts w:ascii="Times New Roman" w:eastAsia="Times New Roman" w:hAnsi="Times New Roman" w:cs="Times New Roman"/>
          <w:i/>
          <w:iCs/>
          <w:sz w:val="24"/>
          <w:szCs w:val="24"/>
        </w:rPr>
        <w:t>Public Relations Review</w:t>
      </w:r>
      <w:r w:rsidRPr="0019730D">
        <w:rPr>
          <w:rFonts w:ascii="Times New Roman" w:eastAsia="Times New Roman" w:hAnsi="Times New Roman" w:cs="Times New Roman"/>
          <w:sz w:val="24"/>
          <w:szCs w:val="24"/>
        </w:rPr>
        <w:t>, 37(4), 345–353.</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Mitchell, R. K., </w:t>
      </w:r>
      <w:proofErr w:type="spellStart"/>
      <w:r w:rsidRPr="0019730D">
        <w:rPr>
          <w:rFonts w:ascii="Times New Roman" w:eastAsia="Times New Roman" w:hAnsi="Times New Roman" w:cs="Times New Roman"/>
          <w:sz w:val="24"/>
          <w:szCs w:val="24"/>
        </w:rPr>
        <w:t>Agle</w:t>
      </w:r>
      <w:proofErr w:type="spellEnd"/>
      <w:r w:rsidRPr="0019730D">
        <w:rPr>
          <w:rFonts w:ascii="Times New Roman" w:eastAsia="Times New Roman" w:hAnsi="Times New Roman" w:cs="Times New Roman"/>
          <w:sz w:val="24"/>
          <w:szCs w:val="24"/>
        </w:rPr>
        <w:t xml:space="preserve">, B. R., &amp; Wood, D. J. (1997). Toward a theory of stakeholder identification and salience. </w:t>
      </w:r>
      <w:r w:rsidRPr="0019730D">
        <w:rPr>
          <w:rFonts w:ascii="Times New Roman" w:eastAsia="Times New Roman" w:hAnsi="Times New Roman" w:cs="Times New Roman"/>
          <w:i/>
          <w:iCs/>
          <w:sz w:val="24"/>
          <w:szCs w:val="24"/>
        </w:rPr>
        <w:t>Academy of Management Review</w:t>
      </w:r>
      <w:r w:rsidRPr="0019730D">
        <w:rPr>
          <w:rFonts w:ascii="Times New Roman" w:eastAsia="Times New Roman" w:hAnsi="Times New Roman" w:cs="Times New Roman"/>
          <w:sz w:val="24"/>
          <w:szCs w:val="24"/>
        </w:rPr>
        <w:t>, 22(4), 853–886.</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19730D">
        <w:rPr>
          <w:rFonts w:ascii="Times New Roman" w:eastAsia="Times New Roman" w:hAnsi="Times New Roman" w:cs="Times New Roman"/>
          <w:sz w:val="24"/>
          <w:szCs w:val="24"/>
        </w:rPr>
        <w:t>Reisinger</w:t>
      </w:r>
      <w:proofErr w:type="spellEnd"/>
      <w:r w:rsidRPr="0019730D">
        <w:rPr>
          <w:rFonts w:ascii="Times New Roman" w:eastAsia="Times New Roman" w:hAnsi="Times New Roman" w:cs="Times New Roman"/>
          <w:sz w:val="24"/>
          <w:szCs w:val="24"/>
        </w:rPr>
        <w:t xml:space="preserve">, Y., &amp; Turner, L. (2003). </w:t>
      </w:r>
      <w:r w:rsidRPr="0019730D">
        <w:rPr>
          <w:rFonts w:ascii="Times New Roman" w:eastAsia="Times New Roman" w:hAnsi="Times New Roman" w:cs="Times New Roman"/>
          <w:i/>
          <w:iCs/>
          <w:sz w:val="24"/>
          <w:szCs w:val="24"/>
        </w:rPr>
        <w:t xml:space="preserve">Cross-cultural </w:t>
      </w:r>
      <w:proofErr w:type="spellStart"/>
      <w:r w:rsidRPr="0019730D">
        <w:rPr>
          <w:rFonts w:ascii="Times New Roman" w:eastAsia="Times New Roman" w:hAnsi="Times New Roman" w:cs="Times New Roman"/>
          <w:i/>
          <w:iCs/>
          <w:sz w:val="24"/>
          <w:szCs w:val="24"/>
        </w:rPr>
        <w:t>behaviour</w:t>
      </w:r>
      <w:proofErr w:type="spellEnd"/>
      <w:r w:rsidRPr="0019730D">
        <w:rPr>
          <w:rFonts w:ascii="Times New Roman" w:eastAsia="Times New Roman" w:hAnsi="Times New Roman" w:cs="Times New Roman"/>
          <w:i/>
          <w:iCs/>
          <w:sz w:val="24"/>
          <w:szCs w:val="24"/>
        </w:rPr>
        <w:t xml:space="preserve"> in tourism: Concepts and analysis</w:t>
      </w:r>
      <w:r w:rsidRPr="0019730D">
        <w:rPr>
          <w:rFonts w:ascii="Times New Roman" w:eastAsia="Times New Roman" w:hAnsi="Times New Roman" w:cs="Times New Roman"/>
          <w:sz w:val="24"/>
          <w:szCs w:val="24"/>
        </w:rPr>
        <w:t>. Butterworth-Heinemann.</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19730D">
        <w:rPr>
          <w:rFonts w:ascii="Times New Roman" w:eastAsia="Times New Roman" w:hAnsi="Times New Roman" w:cs="Times New Roman"/>
          <w:sz w:val="24"/>
          <w:szCs w:val="24"/>
        </w:rPr>
        <w:t>Scallan</w:t>
      </w:r>
      <w:proofErr w:type="spellEnd"/>
      <w:r w:rsidRPr="0019730D">
        <w:rPr>
          <w:rFonts w:ascii="Times New Roman" w:eastAsia="Times New Roman" w:hAnsi="Times New Roman" w:cs="Times New Roman"/>
          <w:sz w:val="24"/>
          <w:szCs w:val="24"/>
        </w:rPr>
        <w:t xml:space="preserve">, E., Hoekstra, R. M., </w:t>
      </w:r>
      <w:proofErr w:type="spellStart"/>
      <w:r w:rsidRPr="0019730D">
        <w:rPr>
          <w:rFonts w:ascii="Times New Roman" w:eastAsia="Times New Roman" w:hAnsi="Times New Roman" w:cs="Times New Roman"/>
          <w:sz w:val="24"/>
          <w:szCs w:val="24"/>
        </w:rPr>
        <w:t>Angulo</w:t>
      </w:r>
      <w:proofErr w:type="spellEnd"/>
      <w:r w:rsidRPr="0019730D">
        <w:rPr>
          <w:rFonts w:ascii="Times New Roman" w:eastAsia="Times New Roman" w:hAnsi="Times New Roman" w:cs="Times New Roman"/>
          <w:sz w:val="24"/>
          <w:szCs w:val="24"/>
        </w:rPr>
        <w:t xml:space="preserve">, F. J., </w:t>
      </w:r>
      <w:proofErr w:type="spellStart"/>
      <w:r w:rsidRPr="0019730D">
        <w:rPr>
          <w:rFonts w:ascii="Times New Roman" w:eastAsia="Times New Roman" w:hAnsi="Times New Roman" w:cs="Times New Roman"/>
          <w:sz w:val="24"/>
          <w:szCs w:val="24"/>
        </w:rPr>
        <w:t>Tauxe</w:t>
      </w:r>
      <w:proofErr w:type="spellEnd"/>
      <w:r w:rsidRPr="0019730D">
        <w:rPr>
          <w:rFonts w:ascii="Times New Roman" w:eastAsia="Times New Roman" w:hAnsi="Times New Roman" w:cs="Times New Roman"/>
          <w:sz w:val="24"/>
          <w:szCs w:val="24"/>
        </w:rPr>
        <w:t xml:space="preserve">, R. V., </w:t>
      </w:r>
      <w:proofErr w:type="spellStart"/>
      <w:r w:rsidRPr="0019730D">
        <w:rPr>
          <w:rFonts w:ascii="Times New Roman" w:eastAsia="Times New Roman" w:hAnsi="Times New Roman" w:cs="Times New Roman"/>
          <w:sz w:val="24"/>
          <w:szCs w:val="24"/>
        </w:rPr>
        <w:t>Widdowson</w:t>
      </w:r>
      <w:proofErr w:type="spellEnd"/>
      <w:r w:rsidRPr="0019730D">
        <w:rPr>
          <w:rFonts w:ascii="Times New Roman" w:eastAsia="Times New Roman" w:hAnsi="Times New Roman" w:cs="Times New Roman"/>
          <w:sz w:val="24"/>
          <w:szCs w:val="24"/>
        </w:rPr>
        <w:t xml:space="preserve">, M.-A., Roy, S. L., ... &amp; Griffin, P. M. (2011). </w:t>
      </w:r>
      <w:proofErr w:type="spellStart"/>
      <w:r w:rsidRPr="0019730D">
        <w:rPr>
          <w:rFonts w:ascii="Times New Roman" w:eastAsia="Times New Roman" w:hAnsi="Times New Roman" w:cs="Times New Roman"/>
          <w:sz w:val="24"/>
          <w:szCs w:val="24"/>
        </w:rPr>
        <w:t>Foodborne</w:t>
      </w:r>
      <w:proofErr w:type="spellEnd"/>
      <w:r w:rsidRPr="0019730D">
        <w:rPr>
          <w:rFonts w:ascii="Times New Roman" w:eastAsia="Times New Roman" w:hAnsi="Times New Roman" w:cs="Times New Roman"/>
          <w:sz w:val="24"/>
          <w:szCs w:val="24"/>
        </w:rPr>
        <w:t xml:space="preserve"> illness acquired in the United States—Major pathogens. </w:t>
      </w:r>
      <w:r w:rsidRPr="0019730D">
        <w:rPr>
          <w:rFonts w:ascii="Times New Roman" w:eastAsia="Times New Roman" w:hAnsi="Times New Roman" w:cs="Times New Roman"/>
          <w:i/>
          <w:iCs/>
          <w:sz w:val="24"/>
          <w:szCs w:val="24"/>
        </w:rPr>
        <w:t>Emerging Infectious Diseases</w:t>
      </w:r>
      <w:r w:rsidRPr="0019730D">
        <w:rPr>
          <w:rFonts w:ascii="Times New Roman" w:eastAsia="Times New Roman" w:hAnsi="Times New Roman" w:cs="Times New Roman"/>
          <w:sz w:val="24"/>
          <w:szCs w:val="24"/>
        </w:rPr>
        <w:t>, 17(1), 7–15.</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19730D">
        <w:rPr>
          <w:rFonts w:ascii="Times New Roman" w:eastAsia="Times New Roman" w:hAnsi="Times New Roman" w:cs="Times New Roman"/>
          <w:sz w:val="24"/>
          <w:szCs w:val="24"/>
        </w:rPr>
        <w:t>Seo</w:t>
      </w:r>
      <w:proofErr w:type="spellEnd"/>
      <w:r w:rsidRPr="0019730D">
        <w:rPr>
          <w:rFonts w:ascii="Times New Roman" w:eastAsia="Times New Roman" w:hAnsi="Times New Roman" w:cs="Times New Roman"/>
          <w:sz w:val="24"/>
          <w:szCs w:val="24"/>
        </w:rPr>
        <w:t xml:space="preserve">, S., Jang, S., </w:t>
      </w:r>
      <w:proofErr w:type="spellStart"/>
      <w:r w:rsidRPr="0019730D">
        <w:rPr>
          <w:rFonts w:ascii="Times New Roman" w:eastAsia="Times New Roman" w:hAnsi="Times New Roman" w:cs="Times New Roman"/>
          <w:sz w:val="24"/>
          <w:szCs w:val="24"/>
        </w:rPr>
        <w:t>Almanza</w:t>
      </w:r>
      <w:proofErr w:type="spellEnd"/>
      <w:r w:rsidRPr="0019730D">
        <w:rPr>
          <w:rFonts w:ascii="Times New Roman" w:eastAsia="Times New Roman" w:hAnsi="Times New Roman" w:cs="Times New Roman"/>
          <w:sz w:val="24"/>
          <w:szCs w:val="24"/>
        </w:rPr>
        <w:t xml:space="preserve">, B., Miao, L., &amp; </w:t>
      </w:r>
      <w:proofErr w:type="spellStart"/>
      <w:r w:rsidRPr="0019730D">
        <w:rPr>
          <w:rFonts w:ascii="Times New Roman" w:eastAsia="Times New Roman" w:hAnsi="Times New Roman" w:cs="Times New Roman"/>
          <w:sz w:val="24"/>
          <w:szCs w:val="24"/>
        </w:rPr>
        <w:t>Behnke</w:t>
      </w:r>
      <w:proofErr w:type="spellEnd"/>
      <w:r w:rsidRPr="0019730D">
        <w:rPr>
          <w:rFonts w:ascii="Times New Roman" w:eastAsia="Times New Roman" w:hAnsi="Times New Roman" w:cs="Times New Roman"/>
          <w:sz w:val="24"/>
          <w:szCs w:val="24"/>
        </w:rPr>
        <w:t xml:space="preserve">, C. (2014). The negative spillover effect of food crises on restaurant firms: Did Jack in the Box really </w:t>
      </w:r>
      <w:proofErr w:type="gramStart"/>
      <w:r w:rsidRPr="0019730D">
        <w:rPr>
          <w:rFonts w:ascii="Times New Roman" w:eastAsia="Times New Roman" w:hAnsi="Times New Roman" w:cs="Times New Roman"/>
          <w:sz w:val="24"/>
          <w:szCs w:val="24"/>
        </w:rPr>
        <w:t>recover</w:t>
      </w:r>
      <w:proofErr w:type="gramEnd"/>
      <w:r w:rsidRPr="0019730D">
        <w:rPr>
          <w:rFonts w:ascii="Times New Roman" w:eastAsia="Times New Roman" w:hAnsi="Times New Roman" w:cs="Times New Roman"/>
          <w:sz w:val="24"/>
          <w:szCs w:val="24"/>
        </w:rPr>
        <w:t xml:space="preserve">? </w:t>
      </w:r>
      <w:r w:rsidRPr="0019730D">
        <w:rPr>
          <w:rFonts w:ascii="Times New Roman" w:eastAsia="Times New Roman" w:hAnsi="Times New Roman" w:cs="Times New Roman"/>
          <w:i/>
          <w:iCs/>
          <w:sz w:val="24"/>
          <w:szCs w:val="24"/>
        </w:rPr>
        <w:t>International Journal of Hospitality Management</w:t>
      </w:r>
      <w:r w:rsidRPr="0019730D">
        <w:rPr>
          <w:rFonts w:ascii="Times New Roman" w:eastAsia="Times New Roman" w:hAnsi="Times New Roman" w:cs="Times New Roman"/>
          <w:sz w:val="24"/>
          <w:szCs w:val="24"/>
        </w:rPr>
        <w:t>, 45, 99–109.</w:t>
      </w:r>
    </w:p>
    <w:p w:rsidR="0019730D" w:rsidRPr="0019730D" w:rsidRDefault="0019730D" w:rsidP="0019730D">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9730D">
        <w:rPr>
          <w:rFonts w:ascii="Times New Roman" w:eastAsia="Times New Roman" w:hAnsi="Times New Roman" w:cs="Times New Roman"/>
          <w:sz w:val="24"/>
          <w:szCs w:val="24"/>
        </w:rPr>
        <w:t xml:space="preserve">Veil, S. R., </w:t>
      </w:r>
      <w:proofErr w:type="spellStart"/>
      <w:r w:rsidRPr="0019730D">
        <w:rPr>
          <w:rFonts w:ascii="Times New Roman" w:eastAsia="Times New Roman" w:hAnsi="Times New Roman" w:cs="Times New Roman"/>
          <w:sz w:val="24"/>
          <w:szCs w:val="24"/>
        </w:rPr>
        <w:t>Buehner</w:t>
      </w:r>
      <w:proofErr w:type="spellEnd"/>
      <w:r w:rsidRPr="0019730D">
        <w:rPr>
          <w:rFonts w:ascii="Times New Roman" w:eastAsia="Times New Roman" w:hAnsi="Times New Roman" w:cs="Times New Roman"/>
          <w:sz w:val="24"/>
          <w:szCs w:val="24"/>
        </w:rPr>
        <w:t xml:space="preserve">, T., &amp; </w:t>
      </w:r>
      <w:proofErr w:type="spellStart"/>
      <w:r w:rsidRPr="0019730D">
        <w:rPr>
          <w:rFonts w:ascii="Times New Roman" w:eastAsia="Times New Roman" w:hAnsi="Times New Roman" w:cs="Times New Roman"/>
          <w:sz w:val="24"/>
          <w:szCs w:val="24"/>
        </w:rPr>
        <w:t>Palenchar</w:t>
      </w:r>
      <w:proofErr w:type="spellEnd"/>
      <w:r w:rsidRPr="0019730D">
        <w:rPr>
          <w:rFonts w:ascii="Times New Roman" w:eastAsia="Times New Roman" w:hAnsi="Times New Roman" w:cs="Times New Roman"/>
          <w:sz w:val="24"/>
          <w:szCs w:val="24"/>
        </w:rPr>
        <w:t xml:space="preserve">, M. J. (2011). Incorporating social media in risk and crisis communication. </w:t>
      </w:r>
      <w:r w:rsidRPr="0019730D">
        <w:rPr>
          <w:rFonts w:ascii="Times New Roman" w:eastAsia="Times New Roman" w:hAnsi="Times New Roman" w:cs="Times New Roman"/>
          <w:i/>
          <w:iCs/>
          <w:sz w:val="24"/>
          <w:szCs w:val="24"/>
        </w:rPr>
        <w:t>Journal of Contingencies and Crisis Management</w:t>
      </w:r>
      <w:r w:rsidRPr="0019730D">
        <w:rPr>
          <w:rFonts w:ascii="Times New Roman" w:eastAsia="Times New Roman" w:hAnsi="Times New Roman" w:cs="Times New Roman"/>
          <w:sz w:val="24"/>
          <w:szCs w:val="24"/>
        </w:rPr>
        <w:t>, 19(2), 110–122.</w:t>
      </w:r>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Coombs, W. T. (2007). </w:t>
      </w:r>
      <w:r w:rsidRPr="00A0199D">
        <w:rPr>
          <w:rFonts w:ascii="Times New Roman" w:eastAsia="Times New Roman" w:hAnsi="Times New Roman" w:cs="Times New Roman"/>
          <w:i/>
          <w:iCs/>
          <w:sz w:val="24"/>
          <w:szCs w:val="24"/>
        </w:rPr>
        <w:t xml:space="preserve">Protecting Organization Reputations </w:t>
      </w:r>
      <w:proofErr w:type="gramStart"/>
      <w:r w:rsidRPr="00A0199D">
        <w:rPr>
          <w:rFonts w:ascii="Times New Roman" w:eastAsia="Times New Roman" w:hAnsi="Times New Roman" w:cs="Times New Roman"/>
          <w:i/>
          <w:iCs/>
          <w:sz w:val="24"/>
          <w:szCs w:val="24"/>
        </w:rPr>
        <w:t>During</w:t>
      </w:r>
      <w:proofErr w:type="gramEnd"/>
      <w:r w:rsidRPr="00A0199D">
        <w:rPr>
          <w:rFonts w:ascii="Times New Roman" w:eastAsia="Times New Roman" w:hAnsi="Times New Roman" w:cs="Times New Roman"/>
          <w:i/>
          <w:iCs/>
          <w:sz w:val="24"/>
          <w:szCs w:val="24"/>
        </w:rPr>
        <w:t xml:space="preserve"> a Crisis</w:t>
      </w:r>
      <w:r w:rsidRPr="00A0199D">
        <w:rPr>
          <w:rFonts w:ascii="Times New Roman" w:eastAsia="Times New Roman" w:hAnsi="Times New Roman" w:cs="Times New Roman"/>
          <w:sz w:val="24"/>
          <w:szCs w:val="24"/>
        </w:rPr>
        <w:t>. Corporate Reputation Review, 10(3), 163–176.</w:t>
      </w:r>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lastRenderedPageBreak/>
        <w:t xml:space="preserve">Coombs, W. T., &amp; Holladay, S. J. (2012). </w:t>
      </w:r>
      <w:r w:rsidRPr="00A0199D">
        <w:rPr>
          <w:rFonts w:ascii="Times New Roman" w:eastAsia="Times New Roman" w:hAnsi="Times New Roman" w:cs="Times New Roman"/>
          <w:i/>
          <w:iCs/>
          <w:sz w:val="24"/>
          <w:szCs w:val="24"/>
        </w:rPr>
        <w:t>The Handbook of Crisis Communication</w:t>
      </w:r>
      <w:r w:rsidRPr="00A0199D">
        <w:rPr>
          <w:rFonts w:ascii="Times New Roman" w:eastAsia="Times New Roman" w:hAnsi="Times New Roman" w:cs="Times New Roman"/>
          <w:sz w:val="24"/>
          <w:szCs w:val="24"/>
        </w:rPr>
        <w:t>. Wiley-Blackwell.</w:t>
      </w:r>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CNN. (2019). </w:t>
      </w:r>
      <w:r w:rsidRPr="00A0199D">
        <w:rPr>
          <w:rFonts w:ascii="Times New Roman" w:eastAsia="Times New Roman" w:hAnsi="Times New Roman" w:cs="Times New Roman"/>
          <w:i/>
          <w:iCs/>
          <w:sz w:val="24"/>
          <w:szCs w:val="24"/>
        </w:rPr>
        <w:t>Food Safety Incidents in Caribbean Resorts Trigger Widespread Panic</w:t>
      </w:r>
      <w:r w:rsidRPr="00A0199D">
        <w:rPr>
          <w:rFonts w:ascii="Times New Roman" w:eastAsia="Times New Roman" w:hAnsi="Times New Roman" w:cs="Times New Roman"/>
          <w:sz w:val="24"/>
          <w:szCs w:val="24"/>
        </w:rPr>
        <w:t xml:space="preserve">. Retrieved from </w:t>
      </w:r>
      <w:hyperlink r:id="rId6" w:tgtFrame="_new" w:history="1">
        <w:r w:rsidRPr="00A0199D">
          <w:rPr>
            <w:rFonts w:ascii="Times New Roman" w:eastAsia="Times New Roman" w:hAnsi="Times New Roman" w:cs="Times New Roman"/>
            <w:color w:val="0000FF"/>
            <w:sz w:val="24"/>
            <w:szCs w:val="24"/>
            <w:u w:val="single"/>
          </w:rPr>
          <w:t>https://www.cnn.com</w:t>
        </w:r>
      </w:hyperlink>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Henderson, J. C. (2007). </w:t>
      </w:r>
      <w:r w:rsidRPr="00A0199D">
        <w:rPr>
          <w:rFonts w:ascii="Times New Roman" w:eastAsia="Times New Roman" w:hAnsi="Times New Roman" w:cs="Times New Roman"/>
          <w:i/>
          <w:iCs/>
          <w:sz w:val="24"/>
          <w:szCs w:val="24"/>
        </w:rPr>
        <w:t>Managing Tourism Crises</w:t>
      </w:r>
      <w:r w:rsidRPr="00A0199D">
        <w:rPr>
          <w:rFonts w:ascii="Times New Roman" w:eastAsia="Times New Roman" w:hAnsi="Times New Roman" w:cs="Times New Roman"/>
          <w:sz w:val="24"/>
          <w:szCs w:val="24"/>
        </w:rPr>
        <w:t>. Butterworth-Heinemann.</w:t>
      </w:r>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proofErr w:type="spellStart"/>
      <w:r w:rsidRPr="00A0199D">
        <w:rPr>
          <w:rFonts w:ascii="Times New Roman" w:eastAsia="Times New Roman" w:hAnsi="Times New Roman" w:cs="Times New Roman"/>
          <w:sz w:val="24"/>
          <w:szCs w:val="24"/>
        </w:rPr>
        <w:t>Hofstede</w:t>
      </w:r>
      <w:proofErr w:type="spellEnd"/>
      <w:r w:rsidRPr="00A0199D">
        <w:rPr>
          <w:rFonts w:ascii="Times New Roman" w:eastAsia="Times New Roman" w:hAnsi="Times New Roman" w:cs="Times New Roman"/>
          <w:sz w:val="24"/>
          <w:szCs w:val="24"/>
        </w:rPr>
        <w:t xml:space="preserve">, G. (2011). </w:t>
      </w:r>
      <w:proofErr w:type="spellStart"/>
      <w:r w:rsidRPr="00A0199D">
        <w:rPr>
          <w:rFonts w:ascii="Times New Roman" w:eastAsia="Times New Roman" w:hAnsi="Times New Roman" w:cs="Times New Roman"/>
          <w:i/>
          <w:iCs/>
          <w:sz w:val="24"/>
          <w:szCs w:val="24"/>
        </w:rPr>
        <w:t>Dimensionalizing</w:t>
      </w:r>
      <w:proofErr w:type="spellEnd"/>
      <w:r w:rsidRPr="00A0199D">
        <w:rPr>
          <w:rFonts w:ascii="Times New Roman" w:eastAsia="Times New Roman" w:hAnsi="Times New Roman" w:cs="Times New Roman"/>
          <w:i/>
          <w:iCs/>
          <w:sz w:val="24"/>
          <w:szCs w:val="24"/>
        </w:rPr>
        <w:t xml:space="preserve"> Cultures: The </w:t>
      </w:r>
      <w:proofErr w:type="spellStart"/>
      <w:r w:rsidRPr="00A0199D">
        <w:rPr>
          <w:rFonts w:ascii="Times New Roman" w:eastAsia="Times New Roman" w:hAnsi="Times New Roman" w:cs="Times New Roman"/>
          <w:i/>
          <w:iCs/>
          <w:sz w:val="24"/>
          <w:szCs w:val="24"/>
        </w:rPr>
        <w:t>Hofstede</w:t>
      </w:r>
      <w:proofErr w:type="spellEnd"/>
      <w:r w:rsidRPr="00A0199D">
        <w:rPr>
          <w:rFonts w:ascii="Times New Roman" w:eastAsia="Times New Roman" w:hAnsi="Times New Roman" w:cs="Times New Roman"/>
          <w:i/>
          <w:iCs/>
          <w:sz w:val="24"/>
          <w:szCs w:val="24"/>
        </w:rPr>
        <w:t xml:space="preserve"> Model in Context</w:t>
      </w:r>
      <w:r w:rsidRPr="00A0199D">
        <w:rPr>
          <w:rFonts w:ascii="Times New Roman" w:eastAsia="Times New Roman" w:hAnsi="Times New Roman" w:cs="Times New Roman"/>
          <w:sz w:val="24"/>
          <w:szCs w:val="24"/>
        </w:rPr>
        <w:t>. Online Readings in Psychology and Culture, 2(1).</w:t>
      </w:r>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Sparks, B. A., Bowen, J., &amp; </w:t>
      </w:r>
      <w:proofErr w:type="spellStart"/>
      <w:r w:rsidRPr="00A0199D">
        <w:rPr>
          <w:rFonts w:ascii="Times New Roman" w:eastAsia="Times New Roman" w:hAnsi="Times New Roman" w:cs="Times New Roman"/>
          <w:sz w:val="24"/>
          <w:szCs w:val="24"/>
        </w:rPr>
        <w:t>Kuo</w:t>
      </w:r>
      <w:proofErr w:type="spellEnd"/>
      <w:r w:rsidRPr="00A0199D">
        <w:rPr>
          <w:rFonts w:ascii="Times New Roman" w:eastAsia="Times New Roman" w:hAnsi="Times New Roman" w:cs="Times New Roman"/>
          <w:sz w:val="24"/>
          <w:szCs w:val="24"/>
        </w:rPr>
        <w:t xml:space="preserve">, C. (2016). </w:t>
      </w:r>
      <w:r w:rsidRPr="00A0199D">
        <w:rPr>
          <w:rFonts w:ascii="Times New Roman" w:eastAsia="Times New Roman" w:hAnsi="Times New Roman" w:cs="Times New Roman"/>
          <w:i/>
          <w:iCs/>
          <w:sz w:val="24"/>
          <w:szCs w:val="24"/>
        </w:rPr>
        <w:t>Trust and Risk in Travel</w:t>
      </w:r>
      <w:r w:rsidRPr="00A0199D">
        <w:rPr>
          <w:rFonts w:ascii="Times New Roman" w:eastAsia="Times New Roman" w:hAnsi="Times New Roman" w:cs="Times New Roman"/>
          <w:sz w:val="24"/>
          <w:szCs w:val="24"/>
        </w:rPr>
        <w:t>. Journal of Travel Research, 55(4), 477–488.</w:t>
      </w:r>
    </w:p>
    <w:p w:rsidR="00A0199D" w:rsidRPr="00A0199D" w:rsidRDefault="00A0199D" w:rsidP="00A0199D">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 xml:space="preserve">WHO. (2022). </w:t>
      </w:r>
      <w:r w:rsidRPr="00A0199D">
        <w:rPr>
          <w:rFonts w:ascii="Times New Roman" w:eastAsia="Times New Roman" w:hAnsi="Times New Roman" w:cs="Times New Roman"/>
          <w:i/>
          <w:iCs/>
          <w:sz w:val="24"/>
          <w:szCs w:val="24"/>
        </w:rPr>
        <w:t>International Food Safety Standards</w:t>
      </w:r>
      <w:r w:rsidRPr="00A0199D">
        <w:rPr>
          <w:rFonts w:ascii="Times New Roman" w:eastAsia="Times New Roman" w:hAnsi="Times New Roman" w:cs="Times New Roman"/>
          <w:sz w:val="24"/>
          <w:szCs w:val="24"/>
        </w:rPr>
        <w:t xml:space="preserve">. </w:t>
      </w:r>
      <w:hyperlink r:id="rId7" w:tgtFrame="_new" w:history="1">
        <w:r w:rsidRPr="00A0199D">
          <w:rPr>
            <w:rFonts w:ascii="Times New Roman" w:eastAsia="Times New Roman" w:hAnsi="Times New Roman" w:cs="Times New Roman"/>
            <w:color w:val="0000FF"/>
            <w:sz w:val="24"/>
            <w:szCs w:val="24"/>
            <w:u w:val="single"/>
          </w:rPr>
          <w:t>https://www.who.int</w:t>
        </w:r>
      </w:hyperlink>
    </w:p>
    <w:p w:rsidR="00696AA0" w:rsidRDefault="00696AA0" w:rsidP="00A0199D">
      <w:pPr>
        <w:spacing w:before="100" w:beforeAutospacing="1" w:after="100" w:afterAutospacing="1" w:line="240" w:lineRule="auto"/>
        <w:outlineLvl w:val="1"/>
        <w:rPr>
          <w:rFonts w:ascii="Times New Roman" w:eastAsia="Times New Roman" w:hAnsi="Times New Roman" w:cs="Times New Roman"/>
          <w:sz w:val="24"/>
          <w:szCs w:val="24"/>
        </w:rPr>
      </w:pPr>
    </w:p>
    <w:p w:rsidR="00A0199D" w:rsidRPr="00A0199D" w:rsidRDefault="00A0199D" w:rsidP="00A0199D">
      <w:pPr>
        <w:spacing w:before="100" w:beforeAutospacing="1" w:after="100" w:afterAutospacing="1" w:line="240" w:lineRule="auto"/>
        <w:outlineLvl w:val="1"/>
        <w:rPr>
          <w:rFonts w:ascii="Times New Roman" w:eastAsia="Times New Roman" w:hAnsi="Times New Roman" w:cs="Times New Roman"/>
          <w:b/>
          <w:bCs/>
          <w:sz w:val="36"/>
          <w:szCs w:val="36"/>
        </w:rPr>
      </w:pPr>
      <w:r w:rsidRPr="00A0199D">
        <w:rPr>
          <w:rFonts w:ascii="Times New Roman" w:eastAsia="Times New Roman" w:hAnsi="Times New Roman" w:cs="Times New Roman"/>
          <w:b/>
          <w:bCs/>
          <w:sz w:val="36"/>
          <w:szCs w:val="36"/>
        </w:rPr>
        <w:t>10. APPENDICES</w:t>
      </w:r>
    </w:p>
    <w:p w:rsidR="00A0199D" w:rsidRPr="00A0199D" w:rsidRDefault="00A0199D" w:rsidP="00A0199D">
      <w:pPr>
        <w:spacing w:before="100" w:beforeAutospacing="1" w:after="100" w:afterAutospacing="1" w:line="240" w:lineRule="auto"/>
        <w:outlineLvl w:val="2"/>
        <w:rPr>
          <w:rFonts w:ascii="Times New Roman" w:eastAsia="Times New Roman" w:hAnsi="Times New Roman" w:cs="Times New Roman"/>
          <w:b/>
          <w:bCs/>
          <w:sz w:val="27"/>
          <w:szCs w:val="27"/>
        </w:rPr>
      </w:pPr>
      <w:r w:rsidRPr="00A0199D">
        <w:rPr>
          <w:rFonts w:ascii="Times New Roman" w:eastAsia="Times New Roman" w:hAnsi="Times New Roman" w:cs="Times New Roman"/>
          <w:b/>
          <w:bCs/>
          <w:sz w:val="27"/>
          <w:szCs w:val="27"/>
        </w:rPr>
        <w:t xml:space="preserve">Appendix </w:t>
      </w:r>
      <w:proofErr w:type="gramStart"/>
      <w:r w:rsidRPr="00A0199D">
        <w:rPr>
          <w:rFonts w:ascii="Times New Roman" w:eastAsia="Times New Roman" w:hAnsi="Times New Roman" w:cs="Times New Roman"/>
          <w:b/>
          <w:bCs/>
          <w:sz w:val="27"/>
          <w:szCs w:val="27"/>
        </w:rPr>
        <w:t>A</w:t>
      </w:r>
      <w:proofErr w:type="gramEnd"/>
      <w:r w:rsidRPr="00A0199D">
        <w:rPr>
          <w:rFonts w:ascii="Times New Roman" w:eastAsia="Times New Roman" w:hAnsi="Times New Roman" w:cs="Times New Roman"/>
          <w:b/>
          <w:bCs/>
          <w:sz w:val="27"/>
          <w:szCs w:val="27"/>
        </w:rPr>
        <w:t xml:space="preserve"> – Health-Focused Communication Phrases</w:t>
      </w:r>
    </w:p>
    <w:tbl>
      <w:tblPr>
        <w:tblW w:w="0" w:type="auto"/>
        <w:tblCellSpacing w:w="15" w:type="dxa"/>
        <w:tblCellMar>
          <w:top w:w="15" w:type="dxa"/>
          <w:left w:w="15" w:type="dxa"/>
          <w:bottom w:w="15" w:type="dxa"/>
          <w:right w:w="15" w:type="dxa"/>
        </w:tblCellMar>
        <w:tblLook w:val="04A0"/>
      </w:tblPr>
      <w:tblGrid>
        <w:gridCol w:w="6686"/>
        <w:gridCol w:w="2215"/>
      </w:tblGrid>
      <w:tr w:rsidR="00A0199D" w:rsidRPr="00A0199D" w:rsidTr="00A0199D">
        <w:trPr>
          <w:tblHeader/>
          <w:tblCellSpacing w:w="15" w:type="dxa"/>
        </w:trPr>
        <w:tc>
          <w:tcPr>
            <w:tcW w:w="0" w:type="auto"/>
            <w:vAlign w:val="center"/>
            <w:hideMark/>
          </w:tcPr>
          <w:p w:rsidR="00A0199D" w:rsidRPr="00A0199D" w:rsidRDefault="00A0199D" w:rsidP="00A0199D">
            <w:pPr>
              <w:spacing w:after="0" w:line="240" w:lineRule="auto"/>
              <w:jc w:val="center"/>
              <w:rPr>
                <w:rFonts w:ascii="Times New Roman" w:eastAsia="Times New Roman" w:hAnsi="Times New Roman" w:cs="Times New Roman"/>
                <w:b/>
                <w:bCs/>
                <w:sz w:val="24"/>
                <w:szCs w:val="24"/>
              </w:rPr>
            </w:pPr>
            <w:r w:rsidRPr="00A0199D">
              <w:rPr>
                <w:rFonts w:ascii="Times New Roman" w:eastAsia="Times New Roman" w:hAnsi="Times New Roman" w:cs="Times New Roman"/>
                <w:b/>
                <w:bCs/>
                <w:sz w:val="24"/>
                <w:szCs w:val="24"/>
              </w:rPr>
              <w:t>Phrase</w:t>
            </w:r>
          </w:p>
        </w:tc>
        <w:tc>
          <w:tcPr>
            <w:tcW w:w="0" w:type="auto"/>
            <w:vAlign w:val="center"/>
            <w:hideMark/>
          </w:tcPr>
          <w:p w:rsidR="00A0199D" w:rsidRPr="00A0199D" w:rsidRDefault="00A0199D" w:rsidP="00A0199D">
            <w:pPr>
              <w:spacing w:after="0" w:line="240" w:lineRule="auto"/>
              <w:jc w:val="center"/>
              <w:rPr>
                <w:rFonts w:ascii="Times New Roman" w:eastAsia="Times New Roman" w:hAnsi="Times New Roman" w:cs="Times New Roman"/>
                <w:b/>
                <w:bCs/>
                <w:sz w:val="24"/>
                <w:szCs w:val="24"/>
              </w:rPr>
            </w:pPr>
            <w:r w:rsidRPr="00A0199D">
              <w:rPr>
                <w:rFonts w:ascii="Times New Roman" w:eastAsia="Times New Roman" w:hAnsi="Times New Roman" w:cs="Times New Roman"/>
                <w:b/>
                <w:bCs/>
                <w:sz w:val="24"/>
                <w:szCs w:val="24"/>
              </w:rPr>
              <w:t>Application</w:t>
            </w:r>
          </w:p>
        </w:tc>
      </w:tr>
      <w:tr w:rsidR="00A0199D" w:rsidRPr="00A0199D" w:rsidTr="00A0199D">
        <w:trPr>
          <w:tblCellSpacing w:w="15" w:type="dxa"/>
        </w:trPr>
        <w:tc>
          <w:tcPr>
            <w:tcW w:w="0" w:type="auto"/>
            <w:vAlign w:val="center"/>
            <w:hideMark/>
          </w:tcPr>
          <w:p w:rsidR="00A0199D" w:rsidRPr="00A0199D" w:rsidRDefault="00A0199D" w:rsidP="00A0199D">
            <w:pPr>
              <w:spacing w:after="0"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“We sincerely apologize to all affected guests.”</w:t>
            </w:r>
          </w:p>
        </w:tc>
        <w:tc>
          <w:tcPr>
            <w:tcW w:w="0" w:type="auto"/>
            <w:vAlign w:val="center"/>
            <w:hideMark/>
          </w:tcPr>
          <w:p w:rsidR="00A0199D" w:rsidRPr="00A0199D" w:rsidRDefault="00A0199D" w:rsidP="00A0199D">
            <w:pPr>
              <w:spacing w:after="0"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Press release</w:t>
            </w:r>
          </w:p>
        </w:tc>
      </w:tr>
      <w:tr w:rsidR="00A0199D" w:rsidRPr="00A0199D" w:rsidTr="00A0199D">
        <w:trPr>
          <w:tblCellSpacing w:w="15" w:type="dxa"/>
        </w:trPr>
        <w:tc>
          <w:tcPr>
            <w:tcW w:w="0" w:type="auto"/>
            <w:vAlign w:val="center"/>
            <w:hideMark/>
          </w:tcPr>
          <w:p w:rsidR="00A0199D" w:rsidRPr="00A0199D" w:rsidRDefault="00A0199D" w:rsidP="00A0199D">
            <w:pPr>
              <w:spacing w:after="0"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“Your safety remains our priority.”</w:t>
            </w:r>
          </w:p>
        </w:tc>
        <w:tc>
          <w:tcPr>
            <w:tcW w:w="0" w:type="auto"/>
            <w:vAlign w:val="center"/>
            <w:hideMark/>
          </w:tcPr>
          <w:p w:rsidR="00A0199D" w:rsidRPr="00A0199D" w:rsidRDefault="00A0199D" w:rsidP="00A0199D">
            <w:pPr>
              <w:spacing w:after="0"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Stakeholder assurance</w:t>
            </w:r>
          </w:p>
        </w:tc>
      </w:tr>
      <w:tr w:rsidR="00A0199D" w:rsidRPr="00A0199D" w:rsidTr="00A0199D">
        <w:trPr>
          <w:tblCellSpacing w:w="15" w:type="dxa"/>
        </w:trPr>
        <w:tc>
          <w:tcPr>
            <w:tcW w:w="0" w:type="auto"/>
            <w:vAlign w:val="center"/>
            <w:hideMark/>
          </w:tcPr>
          <w:p w:rsidR="00A0199D" w:rsidRPr="00A0199D" w:rsidRDefault="00A0199D" w:rsidP="00A0199D">
            <w:pPr>
              <w:spacing w:after="0"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“We are committed to full transparency with public health officials.”</w:t>
            </w:r>
          </w:p>
        </w:tc>
        <w:tc>
          <w:tcPr>
            <w:tcW w:w="0" w:type="auto"/>
            <w:vAlign w:val="center"/>
            <w:hideMark/>
          </w:tcPr>
          <w:p w:rsidR="00A0199D" w:rsidRPr="00A0199D" w:rsidRDefault="00A0199D" w:rsidP="00A0199D">
            <w:pPr>
              <w:spacing w:after="0" w:line="240" w:lineRule="auto"/>
              <w:rPr>
                <w:rFonts w:ascii="Times New Roman" w:eastAsia="Times New Roman" w:hAnsi="Times New Roman" w:cs="Times New Roman"/>
                <w:sz w:val="24"/>
                <w:szCs w:val="24"/>
              </w:rPr>
            </w:pPr>
            <w:r w:rsidRPr="00A0199D">
              <w:rPr>
                <w:rFonts w:ascii="Times New Roman" w:eastAsia="Times New Roman" w:hAnsi="Times New Roman" w:cs="Times New Roman"/>
                <w:sz w:val="24"/>
                <w:szCs w:val="24"/>
              </w:rPr>
              <w:t>Regulatory response</w:t>
            </w:r>
          </w:p>
        </w:tc>
      </w:tr>
    </w:tbl>
    <w:p w:rsidR="00A0199D" w:rsidRDefault="00A0199D" w:rsidP="00D26592"/>
    <w:sectPr w:rsidR="00A0199D"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A28F9"/>
    <w:multiLevelType w:val="multilevel"/>
    <w:tmpl w:val="27100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655F88"/>
    <w:multiLevelType w:val="multilevel"/>
    <w:tmpl w:val="5192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6D6318"/>
    <w:multiLevelType w:val="multilevel"/>
    <w:tmpl w:val="A4B6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DF3CFB"/>
    <w:multiLevelType w:val="multilevel"/>
    <w:tmpl w:val="6E06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906FF7"/>
    <w:multiLevelType w:val="multilevel"/>
    <w:tmpl w:val="5F62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D524AC"/>
    <w:multiLevelType w:val="multilevel"/>
    <w:tmpl w:val="18F6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571B8A"/>
    <w:multiLevelType w:val="multilevel"/>
    <w:tmpl w:val="50B4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DC2487"/>
    <w:multiLevelType w:val="multilevel"/>
    <w:tmpl w:val="01CC3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685723"/>
    <w:multiLevelType w:val="multilevel"/>
    <w:tmpl w:val="49C0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037B7C"/>
    <w:multiLevelType w:val="multilevel"/>
    <w:tmpl w:val="10D0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556573"/>
    <w:multiLevelType w:val="multilevel"/>
    <w:tmpl w:val="78E4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6F3414"/>
    <w:multiLevelType w:val="multilevel"/>
    <w:tmpl w:val="50F2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F7077A"/>
    <w:multiLevelType w:val="multilevel"/>
    <w:tmpl w:val="0D24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D427F6"/>
    <w:multiLevelType w:val="multilevel"/>
    <w:tmpl w:val="78BC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6"/>
  </w:num>
  <w:num w:numId="4">
    <w:abstractNumId w:val="4"/>
  </w:num>
  <w:num w:numId="5">
    <w:abstractNumId w:val="1"/>
  </w:num>
  <w:num w:numId="6">
    <w:abstractNumId w:val="12"/>
  </w:num>
  <w:num w:numId="7">
    <w:abstractNumId w:val="2"/>
  </w:num>
  <w:num w:numId="8">
    <w:abstractNumId w:val="7"/>
  </w:num>
  <w:num w:numId="9">
    <w:abstractNumId w:val="10"/>
  </w:num>
  <w:num w:numId="10">
    <w:abstractNumId w:val="3"/>
  </w:num>
  <w:num w:numId="11">
    <w:abstractNumId w:val="13"/>
  </w:num>
  <w:num w:numId="12">
    <w:abstractNumId w:val="9"/>
  </w:num>
  <w:num w:numId="13">
    <w:abstractNumId w:val="14"/>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23CF8"/>
    <w:rsid w:val="000E23E6"/>
    <w:rsid w:val="00107BC0"/>
    <w:rsid w:val="0019730D"/>
    <w:rsid w:val="001F6A57"/>
    <w:rsid w:val="00595608"/>
    <w:rsid w:val="00672EA7"/>
    <w:rsid w:val="00696AA0"/>
    <w:rsid w:val="006C20CC"/>
    <w:rsid w:val="006D010A"/>
    <w:rsid w:val="009D421F"/>
    <w:rsid w:val="00A0199D"/>
    <w:rsid w:val="00AF2968"/>
    <w:rsid w:val="00BB2386"/>
    <w:rsid w:val="00C02CD0"/>
    <w:rsid w:val="00D26592"/>
    <w:rsid w:val="00D915F8"/>
    <w:rsid w:val="00DF34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A019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019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D010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A0199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0199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0199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199D"/>
    <w:rPr>
      <w:i/>
      <w:iCs/>
    </w:rPr>
  </w:style>
  <w:style w:type="character" w:styleId="Strong">
    <w:name w:val="Strong"/>
    <w:basedOn w:val="DefaultParagraphFont"/>
    <w:uiPriority w:val="22"/>
    <w:qFormat/>
    <w:rsid w:val="00A0199D"/>
    <w:rPr>
      <w:b/>
      <w:bCs/>
    </w:rPr>
  </w:style>
  <w:style w:type="character" w:styleId="Hyperlink">
    <w:name w:val="Hyperlink"/>
    <w:basedOn w:val="DefaultParagraphFont"/>
    <w:uiPriority w:val="99"/>
    <w:semiHidden/>
    <w:unhideWhenUsed/>
    <w:rsid w:val="00A0199D"/>
    <w:rPr>
      <w:color w:val="0000FF"/>
      <w:u w:val="single"/>
    </w:rPr>
  </w:style>
  <w:style w:type="character" w:customStyle="1" w:styleId="Heading4Char">
    <w:name w:val="Heading 4 Char"/>
    <w:basedOn w:val="DefaultParagraphFont"/>
    <w:link w:val="Heading4"/>
    <w:uiPriority w:val="9"/>
    <w:semiHidden/>
    <w:rsid w:val="006D010A"/>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0050343">
      <w:bodyDiv w:val="1"/>
      <w:marLeft w:val="0"/>
      <w:marRight w:val="0"/>
      <w:marTop w:val="0"/>
      <w:marBottom w:val="0"/>
      <w:divBdr>
        <w:top w:val="none" w:sz="0" w:space="0" w:color="auto"/>
        <w:left w:val="none" w:sz="0" w:space="0" w:color="auto"/>
        <w:bottom w:val="none" w:sz="0" w:space="0" w:color="auto"/>
        <w:right w:val="none" w:sz="0" w:space="0" w:color="auto"/>
      </w:divBdr>
    </w:div>
    <w:div w:id="498620349">
      <w:bodyDiv w:val="1"/>
      <w:marLeft w:val="0"/>
      <w:marRight w:val="0"/>
      <w:marTop w:val="0"/>
      <w:marBottom w:val="0"/>
      <w:divBdr>
        <w:top w:val="none" w:sz="0" w:space="0" w:color="auto"/>
        <w:left w:val="none" w:sz="0" w:space="0" w:color="auto"/>
        <w:bottom w:val="none" w:sz="0" w:space="0" w:color="auto"/>
        <w:right w:val="none" w:sz="0" w:space="0" w:color="auto"/>
      </w:divBdr>
      <w:divsChild>
        <w:div w:id="657196063">
          <w:blockQuote w:val="1"/>
          <w:marLeft w:val="720"/>
          <w:marRight w:val="720"/>
          <w:marTop w:val="100"/>
          <w:marBottom w:val="100"/>
          <w:divBdr>
            <w:top w:val="none" w:sz="0" w:space="0" w:color="auto"/>
            <w:left w:val="none" w:sz="0" w:space="0" w:color="auto"/>
            <w:bottom w:val="none" w:sz="0" w:space="0" w:color="auto"/>
            <w:right w:val="none" w:sz="0" w:space="0" w:color="auto"/>
          </w:divBdr>
        </w:div>
        <w:div w:id="1704331267">
          <w:blockQuote w:val="1"/>
          <w:marLeft w:val="720"/>
          <w:marRight w:val="720"/>
          <w:marTop w:val="100"/>
          <w:marBottom w:val="100"/>
          <w:divBdr>
            <w:top w:val="none" w:sz="0" w:space="0" w:color="auto"/>
            <w:left w:val="none" w:sz="0" w:space="0" w:color="auto"/>
            <w:bottom w:val="none" w:sz="0" w:space="0" w:color="auto"/>
            <w:right w:val="none" w:sz="0" w:space="0" w:color="auto"/>
          </w:divBdr>
        </w:div>
        <w:div w:id="61611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021218">
          <w:marLeft w:val="0"/>
          <w:marRight w:val="0"/>
          <w:marTop w:val="0"/>
          <w:marBottom w:val="0"/>
          <w:divBdr>
            <w:top w:val="none" w:sz="0" w:space="0" w:color="auto"/>
            <w:left w:val="none" w:sz="0" w:space="0" w:color="auto"/>
            <w:bottom w:val="none" w:sz="0" w:space="0" w:color="auto"/>
            <w:right w:val="none" w:sz="0" w:space="0" w:color="auto"/>
          </w:divBdr>
          <w:divsChild>
            <w:div w:id="1717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360578">
      <w:bodyDiv w:val="1"/>
      <w:marLeft w:val="0"/>
      <w:marRight w:val="0"/>
      <w:marTop w:val="0"/>
      <w:marBottom w:val="0"/>
      <w:divBdr>
        <w:top w:val="none" w:sz="0" w:space="0" w:color="auto"/>
        <w:left w:val="none" w:sz="0" w:space="0" w:color="auto"/>
        <w:bottom w:val="none" w:sz="0" w:space="0" w:color="auto"/>
        <w:right w:val="none" w:sz="0" w:space="0" w:color="auto"/>
      </w:divBdr>
    </w:div>
    <w:div w:id="1015502634">
      <w:bodyDiv w:val="1"/>
      <w:marLeft w:val="0"/>
      <w:marRight w:val="0"/>
      <w:marTop w:val="0"/>
      <w:marBottom w:val="0"/>
      <w:divBdr>
        <w:top w:val="none" w:sz="0" w:space="0" w:color="auto"/>
        <w:left w:val="none" w:sz="0" w:space="0" w:color="auto"/>
        <w:bottom w:val="none" w:sz="0" w:space="0" w:color="auto"/>
        <w:right w:val="none" w:sz="0" w:space="0" w:color="auto"/>
      </w:divBdr>
    </w:div>
    <w:div w:id="1288509029">
      <w:bodyDiv w:val="1"/>
      <w:marLeft w:val="0"/>
      <w:marRight w:val="0"/>
      <w:marTop w:val="0"/>
      <w:marBottom w:val="0"/>
      <w:divBdr>
        <w:top w:val="none" w:sz="0" w:space="0" w:color="auto"/>
        <w:left w:val="none" w:sz="0" w:space="0" w:color="auto"/>
        <w:bottom w:val="none" w:sz="0" w:space="0" w:color="auto"/>
        <w:right w:val="none" w:sz="0" w:space="0" w:color="auto"/>
      </w:divBdr>
    </w:div>
    <w:div w:id="1380129182">
      <w:bodyDiv w:val="1"/>
      <w:marLeft w:val="0"/>
      <w:marRight w:val="0"/>
      <w:marTop w:val="0"/>
      <w:marBottom w:val="0"/>
      <w:divBdr>
        <w:top w:val="none" w:sz="0" w:space="0" w:color="auto"/>
        <w:left w:val="none" w:sz="0" w:space="0" w:color="auto"/>
        <w:bottom w:val="none" w:sz="0" w:space="0" w:color="auto"/>
        <w:right w:val="none" w:sz="0" w:space="0" w:color="auto"/>
      </w:divBdr>
    </w:div>
    <w:div w:id="1532109255">
      <w:bodyDiv w:val="1"/>
      <w:marLeft w:val="0"/>
      <w:marRight w:val="0"/>
      <w:marTop w:val="0"/>
      <w:marBottom w:val="0"/>
      <w:divBdr>
        <w:top w:val="none" w:sz="0" w:space="0" w:color="auto"/>
        <w:left w:val="none" w:sz="0" w:space="0" w:color="auto"/>
        <w:bottom w:val="none" w:sz="0" w:space="0" w:color="auto"/>
        <w:right w:val="none" w:sz="0" w:space="0" w:color="auto"/>
      </w:divBdr>
    </w:div>
    <w:div w:id="1661350117">
      <w:bodyDiv w:val="1"/>
      <w:marLeft w:val="0"/>
      <w:marRight w:val="0"/>
      <w:marTop w:val="0"/>
      <w:marBottom w:val="0"/>
      <w:divBdr>
        <w:top w:val="none" w:sz="0" w:space="0" w:color="auto"/>
        <w:left w:val="none" w:sz="0" w:space="0" w:color="auto"/>
        <w:bottom w:val="none" w:sz="0" w:space="0" w:color="auto"/>
        <w:right w:val="none" w:sz="0" w:space="0" w:color="auto"/>
      </w:divBdr>
    </w:div>
    <w:div w:id="1803159112">
      <w:bodyDiv w:val="1"/>
      <w:marLeft w:val="0"/>
      <w:marRight w:val="0"/>
      <w:marTop w:val="0"/>
      <w:marBottom w:val="0"/>
      <w:divBdr>
        <w:top w:val="none" w:sz="0" w:space="0" w:color="auto"/>
        <w:left w:val="none" w:sz="0" w:space="0" w:color="auto"/>
        <w:bottom w:val="none" w:sz="0" w:space="0" w:color="auto"/>
        <w:right w:val="none" w:sz="0" w:space="0" w:color="auto"/>
      </w:divBdr>
    </w:div>
    <w:div w:id="1818304481">
      <w:bodyDiv w:val="1"/>
      <w:marLeft w:val="0"/>
      <w:marRight w:val="0"/>
      <w:marTop w:val="0"/>
      <w:marBottom w:val="0"/>
      <w:divBdr>
        <w:top w:val="none" w:sz="0" w:space="0" w:color="auto"/>
        <w:left w:val="none" w:sz="0" w:space="0" w:color="auto"/>
        <w:bottom w:val="none" w:sz="0" w:space="0" w:color="auto"/>
        <w:right w:val="none" w:sz="0" w:space="0" w:color="auto"/>
      </w:divBdr>
    </w:div>
    <w:div w:id="1982541679">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nn.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1724</TotalTime>
  <Pages>13</Pages>
  <Words>4441</Words>
  <Characters>25317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2025-06-15T05:53:00Z</dcterms:created>
  <dcterms:modified xsi:type="dcterms:W3CDTF">2025-06-21T08:08:00Z</dcterms:modified>
</cp:coreProperties>
</file>