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300" w:before="0"/>
        <w:jc w:val="center"/>
      </w:pPr>
      <w:r>
        <w:drawing>
          <wp:inline distT="0" distB="0" distL="0" distR="0">
            <wp:extent cx="3048000" cy="590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3048000" cy="590550"/>
                    </a:xfrm>
                    <a:prstGeom prst="rect">
                      <a:avLst/>
                    </a:prstGeom>
                  </pic:spPr>
                </pic:pic>
              </a:graphicData>
            </a:graphic>
          </wp:inline>
        </w:drawing>
      </w:r>
    </w:p>
    <w:p>
      <w:pPr>
        <w:spacing w:line="480" w:lineRule="auto"/>
      </w:pPr>
      <w:r>
        <w:rPr>
          <w:rFonts w:ascii="Times New Roman" w:cs="Times New Roman" w:eastAsia="Times New Roman" w:hAnsi="Times New Roman"/>
          <w:sz w:val="24"/>
          <w:szCs w:val="24"/>
        </w:rPr>
        <w:t xml:space="preserve"/>
      </w:r>
    </w:p>
    <w:p>
      <w:pPr>
        <w:spacing w:line="480" w:lineRule="auto"/>
      </w:pPr>
      <w:r>
        <w:rPr>
          <w:rFonts w:ascii="Times New Roman" w:cs="Times New Roman" w:eastAsia="Times New Roman" w:hAnsi="Times New Roman"/>
          <w:sz w:val="24"/>
          <w:szCs w:val="24"/>
        </w:rPr>
        <w:t xml:space="preserve"/>
      </w:r>
    </w:p>
    <w:p>
      <w:pPr>
        <w:spacing w:line="480" w:lineRule="auto"/>
        <w:jc w:val="center"/>
      </w:pPr>
      <w:r>
        <w:rPr>
          <w:rFonts w:ascii="Times New Roman" w:cs="Times New Roman" w:eastAsia="Times New Roman" w:hAnsi="Times New Roman"/>
          <w:b/>
          <w:bCs/>
          <w:color w:val="1F3864"/>
          <w:sz w:val="24"/>
          <w:szCs w:val="24"/>
        </w:rPr>
        <w:t xml:space="preserve">European Institute of Innovation, Entrepreneurship, and Technology</w:t>
      </w:r>
    </w:p>
    <w:p>
      <w:pPr>
        <w:spacing w:line="480" w:lineRule="auto"/>
      </w:pPr>
      <w:r>
        <w:rPr>
          <w:rFonts w:ascii="Times New Roman" w:cs="Times New Roman" w:eastAsia="Times New Roman" w:hAnsi="Times New Roman"/>
          <w:sz w:val="24"/>
          <w:szCs w:val="24"/>
        </w:rPr>
        <w:t xml:space="preserve"/>
      </w:r>
    </w:p>
    <w:p>
      <w:pPr>
        <w:spacing w:line="480" w:lineRule="auto"/>
        <w:jc w:val="center"/>
      </w:pPr>
      <w:r>
        <w:rPr>
          <w:rFonts w:ascii="Times New Roman" w:cs="Times New Roman" w:eastAsia="Times New Roman" w:hAnsi="Times New Roman"/>
          <w:b/>
          <w:bCs/>
          <w:color w:val="1F3864"/>
          <w:sz w:val="32"/>
          <w:szCs w:val="32"/>
        </w:rPr>
        <w:t xml:space="preserve">Advanced Theoretical Concepts of Accounting and Their Application in Modern Business Practices</w:t>
      </w:r>
    </w:p>
    <w:p>
      <w:pPr>
        <w:spacing w:line="480" w:lineRule="auto"/>
      </w:pPr>
      <w:r>
        <w:rPr>
          <w:rFonts w:ascii="Times New Roman" w:cs="Times New Roman" w:eastAsia="Times New Roman" w:hAnsi="Times New Roman"/>
          <w:sz w:val="24"/>
          <w:szCs w:val="24"/>
        </w:rPr>
        <w:t xml:space="preserve"/>
      </w:r>
    </w:p>
    <w:p>
      <w:pPr>
        <w:spacing w:line="480" w:lineRule="auto"/>
      </w:pPr>
      <w:r>
        <w:rPr>
          <w:rFonts w:ascii="Times New Roman" w:cs="Times New Roman" w:eastAsia="Times New Roman" w:hAnsi="Times New Roman"/>
          <w:sz w:val="24"/>
          <w:szCs w:val="24"/>
        </w:rPr>
        <w:t xml:space="preserve"/>
      </w:r>
    </w:p>
    <w:p>
      <w:pPr>
        <w:spacing w:line="480" w:lineRule="auto"/>
        <w:jc w:val="center"/>
      </w:pPr>
      <w:r>
        <w:rPr>
          <w:rFonts w:ascii="Times New Roman" w:cs="Times New Roman" w:eastAsia="Times New Roman" w:hAnsi="Times New Roman"/>
          <w:b/>
          <w:bCs/>
          <w:sz w:val="24"/>
          <w:szCs w:val="24"/>
        </w:rPr>
        <w:t xml:space="preserve">Submitted By:</w:t>
      </w:r>
    </w:p>
    <w:p>
      <w:pPr>
        <w:spacing w:line="480" w:lineRule="auto"/>
        <w:jc w:val="center"/>
      </w:pPr>
      <w:r>
        <w:rPr>
          <w:rFonts w:ascii="Times New Roman" w:cs="Times New Roman" w:eastAsia="Times New Roman" w:hAnsi="Times New Roman"/>
          <w:sz w:val="24"/>
          <w:szCs w:val="24"/>
        </w:rPr>
        <w:t xml:space="preserve">Harsh Kumar</w:t>
      </w:r>
    </w:p>
    <w:p>
      <w:pPr>
        <w:spacing w:line="480" w:lineRule="auto"/>
        <w:jc w:val="center"/>
      </w:pPr>
      <w:r>
        <w:rPr>
          <w:rFonts w:ascii="Times New Roman" w:cs="Times New Roman" w:eastAsia="Times New Roman" w:hAnsi="Times New Roman"/>
          <w:sz w:val="24"/>
          <w:szCs w:val="24"/>
        </w:rPr>
        <w:t xml:space="preserve">Student ID: DE240086</w:t>
      </w:r>
    </w:p>
    <w:p>
      <w:pPr>
        <w:spacing w:line="480" w:lineRule="auto"/>
      </w:pPr>
      <w:r>
        <w:rPr>
          <w:rFonts w:ascii="Times New Roman" w:cs="Times New Roman" w:eastAsia="Times New Roman" w:hAnsi="Times New Roman"/>
          <w:sz w:val="24"/>
          <w:szCs w:val="24"/>
        </w:rPr>
        <w:t xml:space="preserve"/>
      </w:r>
    </w:p>
    <w:p>
      <w:pPr>
        <w:spacing w:line="480" w:lineRule="auto"/>
        <w:jc w:val="center"/>
      </w:pPr>
      <w:r>
        <w:rPr>
          <w:rFonts w:ascii="Times New Roman" w:cs="Times New Roman" w:eastAsia="Times New Roman" w:hAnsi="Times New Roman"/>
          <w:sz w:val="24"/>
          <w:szCs w:val="24"/>
        </w:rPr>
        <w:t xml:space="preserve">Course: Accounting Fundamentals</w:t>
      </w:r>
    </w:p>
    <w:p>
      <w:pPr>
        <w:spacing w:line="480" w:lineRule="auto"/>
        <w:jc w:val="center"/>
      </w:pPr>
      <w:r>
        <w:rPr>
          <w:rFonts w:ascii="Times New Roman" w:cs="Times New Roman" w:eastAsia="Times New Roman" w:hAnsi="Times New Roman"/>
          <w:sz w:val="24"/>
          <w:szCs w:val="24"/>
        </w:rPr>
        <w:t xml:space="preserve">Submission Date: 1st April 2026</w:t>
      </w:r>
    </w:p>
    <w:p>
      <w:r>
        <w:br w:type="page"/>
      </w:r>
    </w:p>
    <w:p>
      <w:pPr>
        <w:spacing w:after="240" w:before="0"/>
        <w:jc w:val="center"/>
      </w:pPr>
      <w:r>
        <w:rPr>
          <w:rFonts w:ascii="Times New Roman" w:cs="Times New Roman" w:eastAsia="Times New Roman" w:hAnsi="Times New Roman"/>
          <w:b/>
          <w:bCs/>
          <w:color w:val="1F3864"/>
          <w:sz w:val="28"/>
          <w:szCs w:val="28"/>
        </w:rPr>
        <w:t xml:space="preserve">Table of Contents</w:t>
      </w:r>
    </w:p>
    <w:p>
      <w:pPr>
        <w:pStyle w:val="TOC1"/>
        <w:tabs>
          <w:tab w:val="right" w:leader="dot" w:pos="9360"/>
        </w:tabs>
      </w:pPr>
      <w:r>
        <w:rPr>
          <w:b/>
          <w:color w:val="1F3864"/>
          <w:sz w:val="24"/>
          <w:szCs w:val="24"/>
          <w:rFonts w:ascii="Times New Roman" w:hAnsi="Times New Roman"/>
        </w:rPr>
        <w:t>Abstract</w:t>
      </w:r>
    </w:p>
    <w:p>
      <w:pPr>
        <w:pStyle w:val="TOC1"/>
        <w:tabs>
          <w:tab w:val="right" w:leader="dot" w:pos="9360"/>
        </w:tabs>
      </w:pPr>
      <w:r>
        <w:rPr>
          <w:b/>
          <w:color w:val="1F3864"/>
          <w:sz w:val="24"/>
          <w:szCs w:val="24"/>
          <w:rFonts w:ascii="Times New Roman" w:hAnsi="Times New Roman"/>
        </w:rPr>
        <w:t>1. Introduction</w:t>
      </w:r>
    </w:p>
    <w:p>
      <w:pPr>
        <w:pStyle w:val="TOC1"/>
        <w:tabs>
          <w:tab w:val="right" w:leader="dot" w:pos="9360"/>
        </w:tabs>
      </w:pPr>
      <w:r>
        <w:rPr>
          <w:b/>
          <w:color w:val="1F3864"/>
          <w:sz w:val="24"/>
          <w:szCs w:val="24"/>
          <w:rFonts w:ascii="Times New Roman" w:hAnsi="Times New Roman"/>
        </w:rPr>
        <w:t>2. Literature Review</w:t>
      </w:r>
    </w:p>
    <w:p>
      <w:pPr>
        <w:pStyle w:val="TOC2"/>
        <w:ind w:left="360"/>
        <w:tabs>
          <w:tab w:val="right" w:leader="dot" w:pos="9360"/>
        </w:tabs>
      </w:pPr>
      <w:r>
        <w:rPr>
          <w:color w:val="1F3864"/>
          <w:sz w:val="22"/>
          <w:szCs w:val="22"/>
          <w:rFonts w:ascii="Times New Roman" w:hAnsi="Times New Roman"/>
        </w:rPr>
        <w:t>2.1 The Accounting Equation and Its Evolution</w:t>
      </w:r>
    </w:p>
    <w:p>
      <w:pPr>
        <w:pStyle w:val="TOC2"/>
        <w:ind w:left="360"/>
        <w:tabs>
          <w:tab w:val="right" w:leader="dot" w:pos="9360"/>
        </w:tabs>
      </w:pPr>
      <w:r>
        <w:rPr>
          <w:color w:val="1F3864"/>
          <w:sz w:val="22"/>
          <w:szCs w:val="22"/>
          <w:rFonts w:ascii="Times New Roman" w:hAnsi="Times New Roman"/>
        </w:rPr>
        <w:t>2.2 IFRS Versus GAAP: A Continuing Dialogue</w:t>
      </w:r>
    </w:p>
    <w:p>
      <w:pPr>
        <w:pStyle w:val="TOC2"/>
        <w:ind w:left="360"/>
        <w:tabs>
          <w:tab w:val="right" w:leader="dot" w:pos="9360"/>
        </w:tabs>
      </w:pPr>
      <w:r>
        <w:rPr>
          <w:color w:val="1F3864"/>
          <w:sz w:val="22"/>
          <w:szCs w:val="22"/>
          <w:rFonts w:ascii="Times New Roman" w:hAnsi="Times New Roman"/>
        </w:rPr>
        <w:t>2.3 Corporate Governance and Ethical Accounting</w:t>
      </w:r>
    </w:p>
    <w:p>
      <w:pPr>
        <w:pStyle w:val="TOC2"/>
        <w:ind w:left="360"/>
        <w:tabs>
          <w:tab w:val="right" w:leader="dot" w:pos="9360"/>
        </w:tabs>
      </w:pPr>
      <w:r>
        <w:rPr>
          <w:color w:val="1F3864"/>
          <w:sz w:val="22"/>
          <w:szCs w:val="22"/>
          <w:rFonts w:ascii="Times New Roman" w:hAnsi="Times New Roman"/>
        </w:rPr>
        <w:t>2.4 Advanced Accounting Concepts in Practice</w:t>
      </w:r>
    </w:p>
    <w:p>
      <w:pPr>
        <w:pStyle w:val="TOC1"/>
        <w:tabs>
          <w:tab w:val="right" w:leader="dot" w:pos="9360"/>
        </w:tabs>
      </w:pPr>
      <w:r>
        <w:rPr>
          <w:b/>
          <w:color w:val="1F3864"/>
          <w:sz w:val="24"/>
          <w:szCs w:val="24"/>
          <w:rFonts w:ascii="Times New Roman" w:hAnsi="Times New Roman"/>
        </w:rPr>
        <w:t>3. Methodology</w:t>
      </w:r>
    </w:p>
    <w:p>
      <w:pPr>
        <w:pStyle w:val="TOC1"/>
        <w:tabs>
          <w:tab w:val="right" w:leader="dot" w:pos="9360"/>
        </w:tabs>
      </w:pPr>
      <w:r>
        <w:rPr>
          <w:b/>
          <w:color w:val="1F3864"/>
          <w:sz w:val="24"/>
          <w:szCs w:val="24"/>
          <w:rFonts w:ascii="Times New Roman" w:hAnsi="Times New Roman"/>
        </w:rPr>
        <w:t>4. Findings</w:t>
      </w:r>
    </w:p>
    <w:p>
      <w:pPr>
        <w:pStyle w:val="TOC2"/>
        <w:ind w:left="360"/>
        <w:tabs>
          <w:tab w:val="right" w:leader="dot" w:pos="9360"/>
        </w:tabs>
      </w:pPr>
      <w:r>
        <w:rPr>
          <w:color w:val="1F3864"/>
          <w:sz w:val="22"/>
          <w:szCs w:val="22"/>
          <w:rFonts w:ascii="Times New Roman" w:hAnsi="Times New Roman"/>
        </w:rPr>
        <w:t>4.1 The Accounting Equation in Modern Financial Practice</w:t>
      </w:r>
    </w:p>
    <w:p>
      <w:pPr>
        <w:pStyle w:val="TOC2"/>
        <w:ind w:left="360"/>
        <w:tabs>
          <w:tab w:val="right" w:leader="dot" w:pos="9360"/>
        </w:tabs>
      </w:pPr>
      <w:r>
        <w:rPr>
          <w:color w:val="1F3864"/>
          <w:sz w:val="22"/>
          <w:szCs w:val="22"/>
          <w:rFonts w:ascii="Times New Roman" w:hAnsi="Times New Roman"/>
        </w:rPr>
        <w:t>4.2 IFRS Versus GAAP: Impacts on Business Decision-Making</w:t>
      </w:r>
    </w:p>
    <w:p>
      <w:pPr>
        <w:pStyle w:val="TOC2"/>
        <w:ind w:left="360"/>
        <w:tabs>
          <w:tab w:val="right" w:leader="dot" w:pos="9360"/>
        </w:tabs>
      </w:pPr>
      <w:r>
        <w:rPr>
          <w:color w:val="1F3864"/>
          <w:sz w:val="22"/>
          <w:szCs w:val="22"/>
          <w:rFonts w:ascii="Times New Roman" w:hAnsi="Times New Roman"/>
        </w:rPr>
        <w:t>4.3 Corporate Governance and Financial Transparency</w:t>
      </w:r>
    </w:p>
    <w:p>
      <w:pPr>
        <w:pStyle w:val="TOC2"/>
        <w:ind w:left="360"/>
        <w:tabs>
          <w:tab w:val="right" w:leader="dot" w:pos="9360"/>
        </w:tabs>
      </w:pPr>
      <w:r>
        <w:rPr>
          <w:color w:val="1F3864"/>
          <w:sz w:val="22"/>
          <w:szCs w:val="22"/>
          <w:rFonts w:ascii="Times New Roman" w:hAnsi="Times New Roman"/>
        </w:rPr>
        <w:t>4.4 Financial Statement Interrelationships</w:t>
      </w:r>
    </w:p>
    <w:p>
      <w:pPr>
        <w:pStyle w:val="TOC2"/>
        <w:ind w:left="360"/>
        <w:tabs>
          <w:tab w:val="right" w:leader="dot" w:pos="9360"/>
        </w:tabs>
      </w:pPr>
      <w:r>
        <w:rPr>
          <w:color w:val="1F3864"/>
          <w:sz w:val="22"/>
          <w:szCs w:val="22"/>
          <w:rFonts w:ascii="Times New Roman" w:hAnsi="Times New Roman"/>
        </w:rPr>
        <w:t>4.5 Fair Value Accounting, Asset Impairment, and Off-Balance-Sheet Financing</w:t>
      </w:r>
    </w:p>
    <w:p>
      <w:pPr>
        <w:pStyle w:val="TOC1"/>
        <w:tabs>
          <w:tab w:val="right" w:leader="dot" w:pos="9360"/>
        </w:tabs>
      </w:pPr>
      <w:r>
        <w:rPr>
          <w:b/>
          <w:color w:val="1F3864"/>
          <w:sz w:val="24"/>
          <w:szCs w:val="24"/>
          <w:rFonts w:ascii="Times New Roman" w:hAnsi="Times New Roman"/>
        </w:rPr>
        <w:t>5. Discussion</w:t>
      </w:r>
    </w:p>
    <w:p>
      <w:pPr>
        <w:pStyle w:val="TOC1"/>
        <w:tabs>
          <w:tab w:val="right" w:leader="dot" w:pos="9360"/>
        </w:tabs>
      </w:pPr>
      <w:r>
        <w:rPr>
          <w:b/>
          <w:color w:val="1F3864"/>
          <w:sz w:val="24"/>
          <w:szCs w:val="24"/>
          <w:rFonts w:ascii="Times New Roman" w:hAnsi="Times New Roman"/>
        </w:rPr>
        <w:t>6. Conclusion</w:t>
      </w:r>
    </w:p>
    <w:p>
      <w:pPr>
        <w:pStyle w:val="TOC1"/>
        <w:tabs>
          <w:tab w:val="right" w:leader="dot" w:pos="9360"/>
        </w:tabs>
      </w:pPr>
      <w:r>
        <w:rPr>
          <w:b/>
          <w:color w:val="1F3864"/>
          <w:sz w:val="24"/>
          <w:szCs w:val="24"/>
          <w:rFonts w:ascii="Times New Roman" w:hAnsi="Times New Roman"/>
        </w:rPr>
        <w:t>References</w:t>
      </w:r>
    </w:p>
    <w:p>
      <w:pPr>
        <w:pStyle w:val="TOC1"/>
        <w:tabs>
          <w:tab w:val="right" w:leader="dot" w:pos="9360"/>
        </w:tabs>
      </w:pPr>
      <w:r>
        <w:rPr>
          <w:b/>
          <w:color w:val="1F3864"/>
          <w:sz w:val="24"/>
          <w:szCs w:val="24"/>
          <w:rFonts w:ascii="Times New Roman" w:hAnsi="Times New Roman"/>
        </w:rPr>
        <w:t>Appendices</w:t>
      </w:r>
    </w:p>
    <w:p>
      <w:r>
        <w:br w:type="page"/>
      </w:r>
    </w:p>
    <w:p>
      <w:pPr>
        <w:pStyle w:val="Heading1"/>
        <w:spacing w:after="180" w:before="360"/>
      </w:pPr>
      <w:r>
        <w:rPr>
          <w:rFonts w:ascii="Times New Roman" w:cs="Times New Roman" w:eastAsia="Times New Roman" w:hAnsi="Times New Roman"/>
          <w:b/>
          <w:bCs/>
          <w:color w:val="1F3864"/>
          <w:sz w:val="28"/>
          <w:szCs w:val="28"/>
        </w:rPr>
        <w:t xml:space="preserve">Abstract</w:t>
      </w:r>
    </w:p>
    <w:p>
      <w:pPr>
        <w:spacing w:line="480" w:lineRule="auto"/>
        <w:jc w:val="both"/>
      </w:pPr>
      <w:r>
        <w:rPr>
          <w:rFonts w:ascii="Times New Roman" w:cs="Times New Roman" w:eastAsia="Times New Roman" w:hAnsi="Times New Roman"/>
          <w:b w:val="false"/>
          <w:bCs w:val="false"/>
          <w:i w:val="false"/>
          <w:iCs w:val="false"/>
          <w:sz w:val="24"/>
          <w:szCs w:val="24"/>
        </w:rPr>
        <w:t xml:space="preserve">This paper undertakes a critical examination of the foundational and advanced theoretical concepts of accounting, with a specific focus on their relevance and application within contemporary business environments. Beginning with the evolution of the accounting equation — Assets = Liabilities + Owner's Equity — the study traces how this simple yet powerful framework has adapted to address the increasing complexity of global financial activity. The paper proceeds to evaluate the ongoing convergence debate between International Financial Reporting Standards (IFRS) and Generally Accepted Accounting Principles (GAAP), analyzing how these competing frameworks influence managerial and strategic decision-making across international borders.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Beyond the structural frameworks, the research explores the role of corporate governance in enforcing ethical accounting practices and sustaining financial transparency in an era of heightened regulatory scrutiny. The interrelationship between the three primary financial statements — the balance sheet, income statement, and statement of cash flows — is examined to understand how together they provide a holistic picture of an organization's financial health. Advanced accounting concepts including fair value accounting, asset impairment, and off-balance-sheet financing are also explored with real-world examples drawn from major corporations.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research draws on a qualitative methodology, combining secondary data from academic journals, financial reports, and professional accounting standards. Findings highlight that modern accounting is no longer a passive record-keeping function but a dynamic and strategic discipline that shapes business decisions, investor confidence, and regulatory compliance. The paper concludes that a deep understanding of theoretical accounting concepts remains indispensable for any business professional seeking to navigate the financial demands of the twenty-first century.</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iCs/>
          <w:sz w:val="24"/>
          <w:szCs w:val="24"/>
        </w:rPr>
        <w:t xml:space="preserve">Keywords: Accounting Equation, IFRS, GAAP, Corporate Governance, Fair Value Accounting, Financial Statements, Off-Balance-Sheet Financing</w:t>
      </w:r>
    </w:p>
    <w:p>
      <w:r>
        <w:br w:type="page"/>
      </w:r>
    </w:p>
    <w:p>
      <w:pPr>
        <w:pStyle w:val="Heading1"/>
        <w:spacing w:after="180" w:before="360"/>
      </w:pPr>
      <w:r>
        <w:rPr>
          <w:rFonts w:ascii="Times New Roman" w:cs="Times New Roman" w:eastAsia="Times New Roman" w:hAnsi="Times New Roman"/>
          <w:b/>
          <w:bCs/>
          <w:color w:val="1F3864"/>
          <w:sz w:val="28"/>
          <w:szCs w:val="28"/>
        </w:rPr>
        <w:t xml:space="preserve">1. Introduction</w:t>
      </w:r>
    </w:p>
    <w:p>
      <w:pPr>
        <w:spacing w:line="480" w:lineRule="auto"/>
        <w:jc w:val="both"/>
      </w:pPr>
      <w:r>
        <w:rPr>
          <w:rFonts w:ascii="Times New Roman" w:cs="Times New Roman" w:eastAsia="Times New Roman" w:hAnsi="Times New Roman"/>
          <w:b w:val="false"/>
          <w:bCs w:val="false"/>
          <w:i w:val="false"/>
          <w:iCs w:val="false"/>
          <w:sz w:val="24"/>
          <w:szCs w:val="24"/>
        </w:rPr>
        <w:t xml:space="preserve">Accounting is frequently described as the language of business, and there is much truth in that characterization. Every organizational decision — from a small operational purchase to a billion-dollar acquisition — is shaped, informed, and ultimately recorded through the discipline of accounting. Yet accounting is far more than a mechanical system of recording transactions; it represents a rich theoretical tradition that has evolved over centuries in response to changing economic conditions, regulatory requirements, and the ever-increasing sophistication of global financial markets.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historical roots of accounting can be traced back to the double-entry bookkeeping system developed by Luca Pacioli in the fifteenth century, but the discipline has undergone profound transformation since then. The emergence of multinational corporations, complex financial instruments, digital technologies, and global capital markets has demanded a parallel evolution in accounting theory and practice. Where once the balance sheet and income statement were sufficient to convey the financial story of a business, modern stakeholders now require deeper insights — insights that only a thorough application of advanced accounting concepts can provide.</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This paper engages seriously with that complexity. It critically evaluates the theoretical underpinnings of modern accounting, beginning with the accounting equation and progressing through the international standards debate, corporate governance, and into advanced topics such as fair value accounting and off-balance-sheet financing. Throughout, the objective is not merely to describe these concepts but to analyze their real-world implications and demonstrate why their mastery is essential for students, practitioners, and business leaders alike.</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assignment is structured to progress logically from foundational theory through to applied analysis. After this introduction, a literature review synthesizes relevant scholarship; the methodology section explains the research approach; findings present the key empirical and conceptual content; and the discussion section interprets those findings within the broader landscape of modern business practice. The paper concludes with reflective remarks on the future direction of accounting theory and its continued significance.</w:t>
      </w:r>
    </w:p>
    <w:p>
      <w:r>
        <w:br w:type="page"/>
      </w:r>
    </w:p>
    <w:p>
      <w:pPr>
        <w:pStyle w:val="Heading1"/>
        <w:spacing w:after="180" w:before="360"/>
      </w:pPr>
      <w:r>
        <w:rPr>
          <w:rFonts w:ascii="Times New Roman" w:cs="Times New Roman" w:eastAsia="Times New Roman" w:hAnsi="Times New Roman"/>
          <w:b/>
          <w:bCs/>
          <w:color w:val="1F3864"/>
          <w:sz w:val="28"/>
          <w:szCs w:val="28"/>
        </w:rPr>
        <w:t xml:space="preserve">2. Literature Review</w:t>
      </w:r>
    </w:p>
    <w:p>
      <w:pPr>
        <w:pStyle w:val="Heading2"/>
        <w:spacing w:after="120" w:before="240"/>
      </w:pPr>
      <w:r>
        <w:rPr>
          <w:rFonts w:ascii="Times New Roman" w:cs="Times New Roman" w:eastAsia="Times New Roman" w:hAnsi="Times New Roman"/>
          <w:b/>
          <w:bCs/>
          <w:color w:val="1F3864"/>
          <w:sz w:val="24"/>
          <w:szCs w:val="24"/>
        </w:rPr>
        <w:t xml:space="preserve">2.1 The Accounting Equation and Its Evolution</w:t>
      </w:r>
    </w:p>
    <w:p>
      <w:pPr>
        <w:spacing w:line="480" w:lineRule="auto"/>
        <w:jc w:val="both"/>
      </w:pPr>
      <w:r>
        <w:rPr>
          <w:rFonts w:ascii="Times New Roman" w:cs="Times New Roman" w:eastAsia="Times New Roman" w:hAnsi="Times New Roman"/>
          <w:b w:val="false"/>
          <w:bCs w:val="false"/>
          <w:i w:val="false"/>
          <w:iCs w:val="false"/>
          <w:sz w:val="24"/>
          <w:szCs w:val="24"/>
        </w:rPr>
        <w:t xml:space="preserve">The accounting equation — Assets = Liabilities + Owner's Equity — represents the cornerstone of double-entry bookkeeping and financial accounting. Ijiri (1975) described this equation not merely as a mathematical identity but as a philosophical statement about the nature of economic ownership and obligation. Over the decades, scholars have debated the adequacy of this equation in capturing the true complexity of modern business structures.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Staubus (2000) argued that the increasing prevalence of contingent liabilities, derivative instruments, and off-balance-sheet arrangements has placed severe stress on the traditional equation framework. More recently, Christensen and Feltham (2019) contended that while the equation remains logically sound, its application in modern contexts requires supplementary disclosures that better reflect the economic substance of transactions rather than merely their legal form. This tension between legal formality and economic substance runs throughout contemporary accounting theory and is particularly evident in the IFRS versus GAAP debate.</w:t>
      </w:r>
    </w:p>
    <w:p>
      <w:pPr>
        <w:spacing w:line="480" w:lineRule="auto"/>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color w:val="1F3864"/>
          <w:sz w:val="24"/>
          <w:szCs w:val="24"/>
        </w:rPr>
        <w:t xml:space="preserve">2.2 IFRS Versus GAAP: A Continuing Dialogue</w:t>
      </w:r>
    </w:p>
    <w:p>
      <w:pPr>
        <w:spacing w:line="480" w:lineRule="auto"/>
        <w:jc w:val="both"/>
      </w:pPr>
      <w:r>
        <w:rPr>
          <w:rFonts w:ascii="Times New Roman" w:cs="Times New Roman" w:eastAsia="Times New Roman" w:hAnsi="Times New Roman"/>
          <w:b w:val="false"/>
          <w:bCs w:val="false"/>
          <w:i w:val="false"/>
          <w:iCs w:val="false"/>
          <w:sz w:val="24"/>
          <w:szCs w:val="24"/>
        </w:rPr>
        <w:t xml:space="preserve">The debate between IFRS, as issued by the International Accounting Standards Board (IASB), and GAAP, primarily as established by the Financial Accounting Standards Board (FASB) in the United States, has been one of the most prominent in accounting scholarship over the past two decades. Barth, Landsman, and Lang (2008) found that firms adopting IFRS demonstrated higher accounting quality, as evidenced by less earnings smoothing and more timely loss recognition. However, critics such as Holthausen (2009) caution against interpreting these findings as evidence of IFRS superiority, arguing that institutional environments play a critical mediating role.</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fundamental philosophical difference between the two frameworks — IFRS's principles-based approach versus GAAP's rules-based orientation — has profound implications for financial reporting comparability. Ball (2016) observed that a principles-based system demands greater professional judgment, which can lead to more relevant reporting but also introduces the risk of earnings manipulation by management. These competing views illustrate why full convergence between IFRS and GAAP has remained elusive despite decades of collaborative effort.</w:t>
      </w:r>
    </w:p>
    <w:p>
      <w:pPr>
        <w:spacing w:line="480" w:lineRule="auto"/>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color w:val="1F3864"/>
          <w:sz w:val="24"/>
          <w:szCs w:val="24"/>
        </w:rPr>
        <w:t xml:space="preserve">2.3 Corporate Governance and Ethical Accounting</w:t>
      </w:r>
    </w:p>
    <w:p>
      <w:pPr>
        <w:spacing w:line="480" w:lineRule="auto"/>
        <w:jc w:val="both"/>
      </w:pPr>
      <w:r>
        <w:rPr>
          <w:rFonts w:ascii="Times New Roman" w:cs="Times New Roman" w:eastAsia="Times New Roman" w:hAnsi="Times New Roman"/>
          <w:b w:val="false"/>
          <w:bCs w:val="false"/>
          <w:i w:val="false"/>
          <w:iCs w:val="false"/>
          <w:sz w:val="24"/>
          <w:szCs w:val="24"/>
        </w:rPr>
        <w:t xml:space="preserve">The intersection of corporate governance and accounting ethics gained prominent scholarly attention in the aftermath of major corporate scandals such as Enron, WorldCom, and Parmalat. Jensen and Meckling's (1976) foundational agency theory established that conflicts of interest between managers and shareholders create incentives for financial misreporting. The accounting function serves as a critical check on these agency problems, provided that governance structures are sufficiently robust.</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Subsequent literature has explored how board composition, audit committee independence, and external auditor quality influence the integrity of financial reporting. Beasley (1996) found a significant negative relationship between board independence and the likelihood of financial statement fraud, a finding that has been replicated across multiple jurisdictions and time periods. More recent research by Huang and Thiruvadi (2011) highlighted that the presence of accounting experts on audit committees is associated with significantly lower incidences of material misstatements.</w:t>
      </w:r>
    </w:p>
    <w:p>
      <w:pPr>
        <w:spacing w:line="480" w:lineRule="auto"/>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color w:val="1F3864"/>
          <w:sz w:val="24"/>
          <w:szCs w:val="24"/>
        </w:rPr>
        <w:t xml:space="preserve">2.4 Advanced Accounting Concepts in Practice</w:t>
      </w:r>
    </w:p>
    <w:p>
      <w:pPr>
        <w:spacing w:line="480" w:lineRule="auto"/>
        <w:jc w:val="both"/>
      </w:pPr>
      <w:r>
        <w:rPr>
          <w:rFonts w:ascii="Times New Roman" w:cs="Times New Roman" w:eastAsia="Times New Roman" w:hAnsi="Times New Roman"/>
          <w:b w:val="false"/>
          <w:bCs w:val="false"/>
          <w:i w:val="false"/>
          <w:iCs w:val="false"/>
          <w:sz w:val="24"/>
          <w:szCs w:val="24"/>
        </w:rPr>
        <w:t xml:space="preserve">Fair value accounting, as codified in ASC 820 under GAAP and IFRS 13, has attracted substantial scholarly interest. Penman (2007) raised the concern that fair value measurement introduces volatility into financial statements that does not necessarily reflect underlying economic reality, potentially misleading investors and creditors. Conversely, Barth (2006) argued that fair value accounting provides more relevant and timely information than historical cost, particularly for financial instruments traded in active markets.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Off-balance-sheet financing — the practice of structuring transactions to keep assets or liabilities off the formal financial statements — has been at the center of several high-profile accounting failures. Bloomfield (2008) noted that while many off-balance-sheet arrangements are entirely legitimate and serve genuine economic purposes, their complexity creates opacity that can be exploited to deceive stakeholders. The regulatory response, including the consolidation provisions of IFRS 10 and ASC 810, has sought to bring more of these arrangements onto company balance sheets, though complete elimination of off-balance-sheet activity remains impractical.</w:t>
      </w:r>
    </w:p>
    <w:p>
      <w:r>
        <w:br w:type="page"/>
      </w:r>
    </w:p>
    <w:p>
      <w:pPr>
        <w:pStyle w:val="Heading1"/>
        <w:spacing w:after="180" w:before="360"/>
      </w:pPr>
      <w:r>
        <w:rPr>
          <w:rFonts w:ascii="Times New Roman" w:cs="Times New Roman" w:eastAsia="Times New Roman" w:hAnsi="Times New Roman"/>
          <w:b/>
          <w:bCs/>
          <w:color w:val="1F3864"/>
          <w:sz w:val="28"/>
          <w:szCs w:val="28"/>
        </w:rPr>
        <w:t xml:space="preserve">3. Methodology</w:t>
      </w:r>
    </w:p>
    <w:p>
      <w:pPr>
        <w:spacing w:line="480" w:lineRule="auto"/>
        <w:jc w:val="both"/>
      </w:pPr>
      <w:r>
        <w:rPr>
          <w:rFonts w:ascii="Times New Roman" w:cs="Times New Roman" w:eastAsia="Times New Roman" w:hAnsi="Times New Roman"/>
          <w:b w:val="false"/>
          <w:bCs w:val="false"/>
          <w:i w:val="false"/>
          <w:iCs w:val="false"/>
          <w:sz w:val="24"/>
          <w:szCs w:val="24"/>
        </w:rPr>
        <w:t xml:space="preserve">This research adopts a qualitative, interpretive methodology rooted in the secondary data tradition of accounting scholarship. Given the nature of the research questions — which seek to evaluate, critique, and contextualize theoretical concepts rather than test specific empirical hypotheses — a qualitative approach is the most appropriate choice. As Saunders, Lewis, and Thornhill (2019) note, qualitative research is particularly well suited to studies that aim to understand phenomena in depth and from multiple perspectives.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primary data sources for this paper are peer-reviewed academic journals, including the Journal of Accounting Research, The Accounting Review, and Accounting, Organizations and Society. In addition, primary regulatory documents — including IFRS standards published by the IASB, GAAP pronouncements from the FASB, and corporate governance codes from bodies such as the UK Financial Reporting Council — have been consulted directly. Case study material from publicly available corporate annual reports, including those of companies such as Lehman Brothers, Enron, and Amazon, is used to ground theoretical discussion in observable real-world practice.</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literature was reviewed using a thematic analysis framework. Key themes — including the evolution of the accounting equation, the IFRS-GAAP convergence debate, corporate governance mechanisms, financial statement interrelationships, and advanced accounting techniques — were identified a priori based on the assignment guidelines and subsequently refined through the review process. This approach allowed for a systematic and transparent analysis while retaining the flexibility necessary to explore nuanced arguments.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Limitations of this methodology include the inherent subjectivity of qualitative interpretation and the possibility that the secondary literature does not fully capture the most recent developments in accounting standards, particularly those arising from ongoing IASB and FASB projects. These limitations are mitigated by prioritizing recent publications (2005–2024) and by cross-referencing multiple sources before drawing conclusions.</w:t>
      </w:r>
    </w:p>
    <w:p>
      <w:r>
        <w:br w:type="page"/>
      </w:r>
    </w:p>
    <w:p>
      <w:pPr>
        <w:pStyle w:val="Heading1"/>
        <w:spacing w:after="180" w:before="360"/>
      </w:pPr>
      <w:r>
        <w:rPr>
          <w:rFonts w:ascii="Times New Roman" w:cs="Times New Roman" w:eastAsia="Times New Roman" w:hAnsi="Times New Roman"/>
          <w:b/>
          <w:bCs/>
          <w:color w:val="1F3864"/>
          <w:sz w:val="28"/>
          <w:szCs w:val="28"/>
        </w:rPr>
        <w:t xml:space="preserve">4. Findings</w:t>
      </w:r>
    </w:p>
    <w:p>
      <w:pPr>
        <w:pStyle w:val="Heading2"/>
        <w:spacing w:after="120" w:before="240"/>
      </w:pPr>
      <w:r>
        <w:rPr>
          <w:rFonts w:ascii="Times New Roman" w:cs="Times New Roman" w:eastAsia="Times New Roman" w:hAnsi="Times New Roman"/>
          <w:b/>
          <w:bCs/>
          <w:color w:val="1F3864"/>
          <w:sz w:val="24"/>
          <w:szCs w:val="24"/>
        </w:rPr>
        <w:t xml:space="preserve">4.1 The Accounting Equation in Modern Financial Practice</w:t>
      </w:r>
    </w:p>
    <w:p>
      <w:pPr>
        <w:spacing w:line="480" w:lineRule="auto"/>
        <w:jc w:val="both"/>
      </w:pPr>
      <w:r>
        <w:rPr>
          <w:rFonts w:ascii="Times New Roman" w:cs="Times New Roman" w:eastAsia="Times New Roman" w:hAnsi="Times New Roman"/>
          <w:b w:val="false"/>
          <w:bCs w:val="false"/>
          <w:i w:val="false"/>
          <w:iCs w:val="false"/>
          <w:sz w:val="24"/>
          <w:szCs w:val="24"/>
        </w:rPr>
        <w:t xml:space="preserve">The accounting equation's resilience lies in its mathematical elegance: at any given point in time, the total assets of a business must be exactly equal to its total claims — whether those claims belong to creditors (liabilities) or to the owners of the business (equity). This is not merely a bookkeeping convention but a fundamental statement about how resources are financed and owned.</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In practice, however, the simplicity of the equation conceals enormous complexity. Consider a major corporation such as Apple Inc., whose balance sheet as of September 2023 reported total assets of approximately USD 352 billion, total liabilities of approximately USD 290 billion, and shareholders' equity of approximately USD 62 billion. The equation holds exactly, as it always must, but understanding what lies beneath those figures — the mix of tangible and intangible assets, the structure of debt obligations, the treatment of retained earnings and share repurchases — requires sophisticated application of accounting theory.</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One of the most significant modern challenges to the accounting equation is the treatment of goodwill and other intangible assets. Under both IFRS and GAAP, goodwill arising from business combinations is recognized as an asset on the balance sheet, subject to periodic impairment testing rather than amortization (under IFRS 3 and ASC 350, respectively). Critics argue that the presence of large goodwill balances inflates total assets in ways that do not reflect recoverable value, thereby distorting the right-hand side of the equation. This concern was vividly illustrated in 2019 when General Electric wrote down USD 22 billion in goodwill, a reminder that accounting values and economic values are not always aligned.</w:t>
      </w:r>
    </w:p>
    <w:p>
      <w:pPr>
        <w:spacing w:line="480" w:lineRule="auto"/>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color w:val="1F3864"/>
          <w:sz w:val="24"/>
          <w:szCs w:val="24"/>
        </w:rPr>
        <w:t xml:space="preserve">4.2 IFRS Versus GAAP: Impacts on Business Decision-Making</w:t>
      </w:r>
    </w:p>
    <w:p>
      <w:pPr>
        <w:spacing w:line="480" w:lineRule="auto"/>
        <w:jc w:val="both"/>
      </w:pPr>
      <w:r>
        <w:rPr>
          <w:rFonts w:ascii="Times New Roman" w:cs="Times New Roman" w:eastAsia="Times New Roman" w:hAnsi="Times New Roman"/>
          <w:b w:val="false"/>
          <w:bCs w:val="false"/>
          <w:i w:val="false"/>
          <w:iCs w:val="false"/>
          <w:sz w:val="24"/>
          <w:szCs w:val="24"/>
        </w:rPr>
        <w:t xml:space="preserve">The divergence between IFRS and GAAP creates practical challenges for multinational corporations and investors seeking to compare financial results across jurisdictions. One of the most consequential differences relates to inventory valuation. GAAP permits the use of the Last-In, First-Out (LIFO) method, which can significantly reduce taxable income and reported profits during periods of rising prices. IFRS prohibits LIFO entirely, requiring companies to use either FIFO (First-In, First-Out) or weighted average cost methods. For a large retailer operating in both the United States and Europe, this difference alone can produce materially different reported profit figures, even when the underlying business operations are identical.</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Revenue recognition provides another instructive comparison. Prior to the adoption of IFRS 15 and ASC 606 — which were developed jointly by the IASB and FASB in an explicit convergence effort — companies often recognized revenue under markedly different criteria depending on which framework they followed. The joint standard, effective from 2018, introduced a five-step model for revenue recognition that has substantially aligned practice between the two frameworks, though important differences in application remain. For software companies and long-term construction contractors in particular, the timing of revenue recognition under the new standard has had significant implications for reported earnings and, consequently, for executive compensation tied to earnings metrics.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IFRS emphasis on principles-based judgment rather than GAAP's detailed rule-sets has both advantages and disadvantages for business decision-making. On the positive side, principles-based standards are more adaptable to novel transactions and less susceptible to the kind of technical compliance that violates the spirit of a standard while adhering to its letter. The infamous special purpose entity structures used by Enron exploited loopholes in specific GAAP rules in ways that would have been much harder to sustain under a purely principles-based framework. On the negative side, the greater subjectivity inherent in principles-based accounting creates space for management to exercise discretion in ways that may not always serve the interests of external stakeholders.</w:t>
      </w:r>
    </w:p>
    <w:p>
      <w:pPr>
        <w:spacing w:line="480" w:lineRule="auto"/>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color w:val="1F3864"/>
          <w:sz w:val="24"/>
          <w:szCs w:val="24"/>
        </w:rPr>
        <w:t xml:space="preserve">4.3 Corporate Governance and Financial Transparency</w:t>
      </w:r>
    </w:p>
    <w:p>
      <w:pPr>
        <w:spacing w:line="480" w:lineRule="auto"/>
        <w:jc w:val="both"/>
      </w:pPr>
      <w:r>
        <w:rPr>
          <w:rFonts w:ascii="Times New Roman" w:cs="Times New Roman" w:eastAsia="Times New Roman" w:hAnsi="Times New Roman"/>
          <w:b w:val="false"/>
          <w:bCs w:val="false"/>
          <w:i w:val="false"/>
          <w:iCs w:val="false"/>
          <w:sz w:val="24"/>
          <w:szCs w:val="24"/>
        </w:rPr>
        <w:t xml:space="preserve">The role of corporate governance in ensuring the integrity of financial reporting cannot be overstated. Governance mechanisms — including board oversight, independent audit committees, internal audit functions, and external auditing — form an interlocking system of checks that, when functioning properly, significantly reduces the likelihood of material misstatement or outright fraud.</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Sarbanes-Oxley Act of 2002 (SOX), enacted in the United States in direct response to the Enron and WorldCom scandals, represents the most comprehensive reform of corporate governance and financial reporting in recent memory. Section 302 of SOX requires the CEO and CFO of public companies to personally certify the accuracy of financial statements, while Section 404 mandates annual management assessment of internal control over financial reporting, accompanied by an independent auditor's attestation. Research by Doyle, Ge, and McVay (2007) found that companies with weaker internal controls were significantly more likely to restate earnings, providing empirical support for the rationale behind SOX's internal control requirements.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In the European context, the EU's Statutory Audit Directive and Audit Regulation have introduced mandatory audit firm rotation and restrictions on non-audit services to audit clients, both aimed at preserving auditor independence. These measures reflect the recognition that the accounting function does not operate in isolation: its effectiveness depends critically on the governance environment within which it operates. When boards are captured by management interests, when audit committees lack financial expertise, or when auditors are excessively dependent on client revenues, the reliability of financial information deteriorates — with potentially severe consequences for investors, creditors, and the broader economy.</w:t>
      </w:r>
    </w:p>
    <w:p>
      <w:pPr>
        <w:spacing w:line="480" w:lineRule="auto"/>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color w:val="1F3864"/>
          <w:sz w:val="24"/>
          <w:szCs w:val="24"/>
        </w:rPr>
        <w:t xml:space="preserve">4.4 Financial Statement Interrelationships</w:t>
      </w:r>
    </w:p>
    <w:p>
      <w:pPr>
        <w:spacing w:line="480" w:lineRule="auto"/>
        <w:jc w:val="both"/>
      </w:pPr>
      <w:r>
        <w:rPr>
          <w:rFonts w:ascii="Times New Roman" w:cs="Times New Roman" w:eastAsia="Times New Roman" w:hAnsi="Times New Roman"/>
          <w:b w:val="false"/>
          <w:bCs w:val="false"/>
          <w:i w:val="false"/>
          <w:iCs w:val="false"/>
          <w:sz w:val="24"/>
          <w:szCs w:val="24"/>
        </w:rPr>
        <w:t xml:space="preserve">The three primary financial statements — the balance sheet, income statement, and statement of cash flows — are not independent documents but form an integrated and interconnected system. Understanding how they relate to one another is essential for any meaningful analysis of a company's financial health.</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income statement captures revenues and expenses over a defined period, with the net profit or loss flowing directly into retained earnings on the balance sheet. The statement of cash flows, in turn, explains the movement in cash and cash equivalents between two balance sheet dates, categorized into operating, investing, and financing activities. A company can report strong net income while simultaneously experiencing negative operating cash flow — a divergence that is particularly common in rapidly growing businesses that are investing heavily in working capital. Conversely, a company in decline might report positive cash flow from the release of working capital even as it posts accounting losses.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This interrelationship has important implications for financial analysis. The DuPont decomposition, for instance, links return on equity (a measure derived primarily from the income statement and balance sheet) to asset turnover and financial leverage in ways that allow analysts to diagnose the sources of a company's profitability more precisely. Similarly, the Altman Z-score model uses ratios drawn from multiple financial statements to predict the likelihood of corporate bankruptcy. These analytical frameworks underscore the importance of viewing financial statements as a system rather than as isolated documents.</w:t>
      </w:r>
    </w:p>
    <w:p>
      <w:pPr>
        <w:spacing w:line="480" w:lineRule="auto"/>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color w:val="1F3864"/>
          <w:sz w:val="24"/>
          <w:szCs w:val="24"/>
        </w:rPr>
        <w:t xml:space="preserve">4.5 Fair Value Accounting, Asset Impairment, and Off-Balance-Sheet Financing</w:t>
      </w:r>
    </w:p>
    <w:p>
      <w:pPr>
        <w:spacing w:line="480" w:lineRule="auto"/>
        <w:jc w:val="both"/>
      </w:pPr>
      <w:r>
        <w:rPr>
          <w:rFonts w:ascii="Times New Roman" w:cs="Times New Roman" w:eastAsia="Times New Roman" w:hAnsi="Times New Roman"/>
          <w:b w:val="false"/>
          <w:bCs w:val="false"/>
          <w:i w:val="false"/>
          <w:iCs w:val="false"/>
          <w:sz w:val="24"/>
          <w:szCs w:val="24"/>
        </w:rPr>
        <w:t xml:space="preserve">Fair value accounting requires that certain assets and liabilities be measured at their current market price rather than at historical cost. Under IFRS 9, for example, most financial instruments are measured at fair value through profit or loss or through other comprehensive income, depending on the business model and contractual cash flow characteristics. This approach provides investors with more timely and relevant information but introduces volatility into the financial statements that can complicate period-to-period comparisons.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2007–2008 global financial crisis brought the limitations of fair value accounting into sharp relief. As markets for complex financial instruments — particularly mortgage-backed securities and collateralized debt obligations — became illiquid, determining fair values became extremely difficult. Banks were forced to write down assets to distressed market prices that arguably did not reflect their long-term economic value, potentially exacerbating the crisis by triggering capital ratio breaches and further fire sales. The subsequent amendments to both IFRS and GAAP, providing greater flexibility in measuring fair value for illiquid instruments, represented a pragmatic acknowledgment of fair value accounting's limitations in conditions of market stress.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Asset impairment testing, required annually for goodwill under both IFRS and GAAP, represents another area where accounting judgment intersects with business reality in complex ways. Companies must compare the carrying value of an asset or cash-generating unit with its recoverable amount — the higher of fair value less costs to sell and value in use. Value in use calculations require management to project future cash flows and select an appropriate discount rate, both of which involve significant subjectivity. The timing and magnitude of impairment charges can therefore be influenced by management's optimism or pessimism about future prospects, creating the potential for strategic earnings management.</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Off-balance-sheet financing encompasses a range of structures — including operating leases (prior to IFRS 16), sale-and-leaseback arrangements, securitization, and special purpose vehicles — that have historically been used to keep assets and liabilities off the formal financial statements. The introduction of IFRS 16 in 2019, which required lessees to bring virtually all lease obligations onto the balance sheet, represented a significant tightening of accounting standards. Airlines, retailers, and other lease-intensive industries saw their reported debt levels increase dramatically upon adoption. British Airways, for example, recognized lease liabilities of over GBP 7 billion upon transition to IFRS 16, fundamentally changing the appearance of its balance sheet even though its underlying economic obligations were unchanged.</w:t>
      </w:r>
    </w:p>
    <w:p>
      <w:r>
        <w:br w:type="page"/>
      </w:r>
    </w:p>
    <w:p>
      <w:pPr>
        <w:pStyle w:val="Heading1"/>
        <w:spacing w:after="180" w:before="360"/>
      </w:pPr>
      <w:r>
        <w:rPr>
          <w:rFonts w:ascii="Times New Roman" w:cs="Times New Roman" w:eastAsia="Times New Roman" w:hAnsi="Times New Roman"/>
          <w:b/>
          <w:bCs/>
          <w:color w:val="1F3864"/>
          <w:sz w:val="28"/>
          <w:szCs w:val="28"/>
        </w:rPr>
        <w:t xml:space="preserve">5. Discussion</w:t>
      </w:r>
    </w:p>
    <w:p>
      <w:pPr>
        <w:spacing w:line="480" w:lineRule="auto"/>
        <w:jc w:val="both"/>
      </w:pPr>
      <w:r>
        <w:rPr>
          <w:rFonts w:ascii="Times New Roman" w:cs="Times New Roman" w:eastAsia="Times New Roman" w:hAnsi="Times New Roman"/>
          <w:b w:val="false"/>
          <w:bCs w:val="false"/>
          <w:i w:val="false"/>
          <w:iCs w:val="false"/>
          <w:sz w:val="24"/>
          <w:szCs w:val="24"/>
        </w:rPr>
        <w:t xml:space="preserve">The findings presented above, taken together, paint a picture of accounting as a discipline that is simultaneously more theoretically sophisticated and more practically consequential than it is often given credit for. Several overarching themes merit further discussion.</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First, the persistent tension between the desire for comparability and the need for relevance runs through virtually every aspect of modern accounting theory. Comparability — the ability of users to compare financial statements across companies and time periods — is best served by rigid, uniform rules. Relevance — the ability of financial statements to reflect the economic substance of a company's activities — often requires flexibility and judgment. Neither IFRS nor GAAP fully resolves this tension; both represent evolving compromises that reflect the professional and political environments in which they were developed. For businesses operating internationally, this tension creates very real challenges: multinational corporations must maintain multiple sets of records and reconcile between frameworks, a costly and time-consuming exercise that reduces the resources available for productive activity.</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Second, the findings underscore the central importance of human judgment in accounting. Accounting is not, and never has been, a purely mechanical exercise. Every impairment test, every fair value estimate, every revenue recognition decision involves judgments that reasonable, well-informed professionals may make differently. This reality has important implications for corporate governance: governance structures must be designed not merely to detect outright fraud but to create environments in which management's accounting judgments are subject to rigorous independent scrutiny. The failure of Wirecard AG in 2020, which involved the fabrication of EUR 1.9 billion in cash balances that auditors failed to verify, is a sobering reminder that even the most sophisticated governance frameworks can fail when basic professional skepticism is absent.</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Third, the growing importance of non-financial information represents a significant challenge for traditional accounting frameworks. Environmental, Social, and Governance (ESG) reporting is increasingly demanded by investors, regulators, and other stakeholders, yet accounting standards have been slow to provide the kind of rigorous, comparable frameworks for ESG disclosure that exist for financial information. The IASB's newly established International Sustainability Standards Board (ISSB) represents an important step toward addressing this gap, but the journey toward standardized ESG accounting is still in its early stages. For companies seeking to attract capital from ESG-conscious investors, the ability to demonstrate credible, audited sustainability performance will become an increasingly important competitive advantage.</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Fourth, technology is transforming the accounting function in ways that will have profound implications for theory and practice alike. Artificial intelligence and machine learning are being applied to automate routine bookkeeping tasks, detect anomalies in large transaction datasets, and even draft certain sections of financial disclosures. Blockchain technology offers the promise of immutable, real-time transaction records that could fundamentally alter the role of the external auditor. These technological developments do not render accounting theory irrelevant — on the contrary, the judgments that algorithms cannot make become more, not less, important as routine tasks are automated. But they do demand that accounting professionals develop new technical competencies alongside their traditional skills.</w:t>
      </w:r>
    </w:p>
    <w:p>
      <w:r>
        <w:br w:type="page"/>
      </w:r>
    </w:p>
    <w:p>
      <w:pPr>
        <w:pStyle w:val="Heading1"/>
        <w:spacing w:after="180" w:before="360"/>
      </w:pPr>
      <w:r>
        <w:rPr>
          <w:rFonts w:ascii="Times New Roman" w:cs="Times New Roman" w:eastAsia="Times New Roman" w:hAnsi="Times New Roman"/>
          <w:b/>
          <w:bCs/>
          <w:color w:val="1F3864"/>
          <w:sz w:val="28"/>
          <w:szCs w:val="28"/>
        </w:rPr>
        <w:t xml:space="preserve">6. Conclusion</w:t>
      </w:r>
    </w:p>
    <w:p>
      <w:pPr>
        <w:spacing w:line="480" w:lineRule="auto"/>
        <w:jc w:val="both"/>
      </w:pPr>
      <w:r>
        <w:rPr>
          <w:rFonts w:ascii="Times New Roman" w:cs="Times New Roman" w:eastAsia="Times New Roman" w:hAnsi="Times New Roman"/>
          <w:b w:val="false"/>
          <w:bCs w:val="false"/>
          <w:i w:val="false"/>
          <w:iCs w:val="false"/>
          <w:sz w:val="24"/>
          <w:szCs w:val="24"/>
        </w:rPr>
        <w:t xml:space="preserve">This paper has traversed a broad landscape of accounting theory and practice, from the foundational accounting equation to the frontiers of fair value measurement and off-balance-sheet financing. Several key conclusions emerge from this journey.</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accounting equation, though simple in form, continues to provide the essential logical scaffold for all of financial accounting. Its apparent simplicity, however, should not obscure the complexity of the judgments required to apply it correctly in the context of modern business. The treatment of intangible assets, contingent liabilities, and derivative instruments all test the equation's capacity to represent economic reality accurately.</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IFRS-GAAP debate reflects a genuine philosophical disagreement about the nature of accounting standards and the role of professional judgment in financial reporting. Rather than seeking a definitive winner in this debate, the accounting profession would be better served by recognizing the legitimate insights on both sides and continuing the pragmatic convergence effort that has already yielded significant results in areas such as revenue recognition.</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Corporate governance is the indispensable complement to good accounting. Even the most sophisticated and well-designed accounting standards will fail to protect investors and other stakeholders if the governance environment does not support the exercise of genuine professional judgment. Building and maintaining that environment requires commitment from boards, executives, auditors, and regulators alike.</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interrelationship between financial statements reminds us that no single number or ratio can capture the full complexity of a company's financial position. Sophisticated analysis requires the ability to move fluidly between the balance sheet, income statement, and statement of cash flows, understanding how each illuminates different dimensions of the same underlying economic reality.</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Finally, advanced accounting concepts — fair value, impairment, off-balance-sheet financing — are not arcane technical matters relevant only to specialists. They shape the way businesses are valued, the decisions that investors make, and the stability of the broader financial system. Their mastery is therefore not optional for any serious student of business; it is a prerequisite for informed engagement with the financial world.</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As accounting continues to evolve in response to technological change, ESG pressures, and the ongoing development of international standards, the need for critical theoretical understanding will only increase. This paper has sought to contribute to that understanding and to demonstrate that the rich theoretical tradition of accounting is not a relic of the past but a living resource for navigating the challenges of the present.</w:t>
      </w:r>
    </w:p>
    <w:p>
      <w:r>
        <w:br w:type="page"/>
      </w:r>
    </w:p>
    <w:p>
      <w:pPr>
        <w:pStyle w:val="Heading1"/>
        <w:spacing w:after="180" w:before="360"/>
      </w:pPr>
      <w:r>
        <w:rPr>
          <w:rFonts w:ascii="Times New Roman" w:cs="Times New Roman" w:eastAsia="Times New Roman" w:hAnsi="Times New Roman"/>
          <w:b/>
          <w:bCs/>
          <w:color w:val="1F3864"/>
          <w:sz w:val="28"/>
          <w:szCs w:val="28"/>
        </w:rPr>
        <w:t xml:space="preserve">References</w:t>
      </w:r>
    </w:p>
    <w:p>
      <w:pPr>
        <w:spacing w:line="480" w:lineRule="auto"/>
        <w:jc w:val="both"/>
      </w:pPr>
      <w:r>
        <w:rPr>
          <w:rFonts w:ascii="Times New Roman" w:cs="Times New Roman" w:eastAsia="Times New Roman" w:hAnsi="Times New Roman"/>
          <w:b w:val="false"/>
          <w:bCs w:val="false"/>
          <w:i w:val="false"/>
          <w:iCs w:val="false"/>
          <w:sz w:val="24"/>
          <w:szCs w:val="24"/>
        </w:rPr>
        <w:t xml:space="preserve">Ball, R. (2016). IFRS — 10 years later. Accounting and Business Research, 46(5), 545–571. https://doi.org/10.1080/00014788.2016.1182710</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Barth, M. E. (2006). Including estimates of the future in today's financial statements. Accounting Horizons, 20(3), 271–285. https://doi.org/10.2308/acch.2006.20.3.271</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Barth, M. E., Landsman, W. R., &amp; Lang, M. H. (2008). International accounting standards and accounting quality. Journal of Accounting Research, 46(3), 467–498. https://doi.org/10.1111/j.1475-679X.2008.00287.x</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Beasley, M. S. (1996). An empirical analysis of the relation between the board of director composition and financial statement fraud. The Accounting Review, 71(4), 443–465. https://www.jstor.org/stable/248566</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Bloomfield, R. J. (2008). Discussion of 'annual report readability, current earnings, and earnings persistence.' Journal of Accounting and Economics, 45(2–3), 248–252. https://doi.org/10.1016/j.jacceco.2008.04.003</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Christensen, J. A., &amp; Feltham, G. A. (2019). Economics of accounting: Information in markets (3rd ed.). Springer.</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Doyle, J., Ge, W., &amp; McVay, S. (2007). Determinants of weaknesses in internal control over financial reporting. Journal of Accounting and Economics, 44(1–2), 193–223. https://doi.org/10.1016/j.jacceco.2006.10.003</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Holthausen, R. W. (2009). Accounting standards, financial reporting outcomes, and enforcement. Journal of Accounting Research, 47(2), 447–458. https://doi.org/10.1111/j.1475-679X.2009.00330.x</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Huang, H., &amp; Thiruvadi, S. (2011). Audit committee characteristics and corporate fraud. Managerial Auditing Journal, 26(7), 583–598. https://doi.org/10.1108/02686901111151090</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Ijiri, Y. (1975). Theory of accounting measurement. American Accounting Association.</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Jensen, M. C., &amp; Meckling, W. H. (1976). Theory of the firm: Managerial behavior, agency costs and ownership structure. Journal of Financial Economics, 3(4), 305–360. https://doi.org/10.1016/0304-405X(76)90026-X</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Penman, S. H. (2007). Financial reporting quality: Is fair value a plus or a minus? Accounting and Business Research, 37(sup1), 33–44. https://doi.org/10.1080/00014788.2007.9730083</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Saunders, M., Lewis, P., &amp; Thornhill, A. (2019). Research methods for business students (8th ed.). Pearson Education.</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Staubus, G. J. (2000). The decision usefulness theory of accounting: A limited history. Garland Publishing.</w:t>
      </w:r>
    </w:p>
    <w:p>
      <w:r>
        <w:br w:type="page"/>
      </w:r>
    </w:p>
    <w:p>
      <w:pPr>
        <w:pStyle w:val="Heading1"/>
        <w:spacing w:after="180" w:before="360"/>
      </w:pPr>
      <w:r>
        <w:rPr>
          <w:rFonts w:ascii="Times New Roman" w:cs="Times New Roman" w:eastAsia="Times New Roman" w:hAnsi="Times New Roman"/>
          <w:b/>
          <w:bCs/>
          <w:color w:val="1F3864"/>
          <w:sz w:val="28"/>
          <w:szCs w:val="28"/>
        </w:rPr>
        <w:t xml:space="preserve">Appendices</w:t>
      </w:r>
    </w:p>
    <w:p>
      <w:pPr>
        <w:pStyle w:val="Heading2"/>
        <w:spacing w:after="120" w:before="240"/>
      </w:pPr>
      <w:r>
        <w:rPr>
          <w:rFonts w:ascii="Times New Roman" w:cs="Times New Roman" w:eastAsia="Times New Roman" w:hAnsi="Times New Roman"/>
          <w:b/>
          <w:bCs/>
          <w:color w:val="1F3864"/>
          <w:sz w:val="24"/>
          <w:szCs w:val="24"/>
        </w:rPr>
        <w:t xml:space="preserve">Appendix A: Key Differences Between IFRS and GAAP</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following table summarizes the most significant areas of divergence between International Financial Reporting Standards (IFRS) and United States Generally Accepted Accounting Principles (GAAP) as they affect the preparation and interpretation of financial statements.</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bCs/>
          <w:i w:val="false"/>
          <w:iCs w:val="false"/>
          <w:sz w:val="24"/>
          <w:szCs w:val="24"/>
        </w:rPr>
        <w:t xml:space="preserve">Area of Difference | IFRS Treatment | GAAP Treatment</w:t>
      </w:r>
    </w:p>
    <w:p>
      <w:pPr>
        <w:spacing w:line="480" w:lineRule="auto"/>
        <w:jc w:val="both"/>
      </w:pPr>
      <w:r>
        <w:rPr>
          <w:rFonts w:ascii="Times New Roman" w:cs="Times New Roman" w:eastAsia="Times New Roman" w:hAnsi="Times New Roman"/>
          <w:b w:val="false"/>
          <w:bCs w:val="false"/>
          <w:i w:val="false"/>
          <w:iCs w:val="false"/>
          <w:sz w:val="24"/>
          <w:szCs w:val="24"/>
        </w:rPr>
        <w:t xml:space="preserve">Inventory Valuation | FIFO or Weighted Average Cost permitted; LIFO prohibited | FIFO, LIFO, and Weighted Average Cost all permitted</w:t>
      </w:r>
    </w:p>
    <w:p>
      <w:pPr>
        <w:spacing w:line="480" w:lineRule="auto"/>
        <w:jc w:val="both"/>
      </w:pPr>
      <w:r>
        <w:rPr>
          <w:rFonts w:ascii="Times New Roman" w:cs="Times New Roman" w:eastAsia="Times New Roman" w:hAnsi="Times New Roman"/>
          <w:b w:val="false"/>
          <w:bCs w:val="false"/>
          <w:i w:val="false"/>
          <w:iCs w:val="false"/>
          <w:sz w:val="24"/>
          <w:szCs w:val="24"/>
        </w:rPr>
        <w:t xml:space="preserve">Development Costs | Capitalized when criteria met (IAS 38) | Expensed as incurred (ASC 730, with limited exceptions)</w:t>
      </w:r>
    </w:p>
    <w:p>
      <w:pPr>
        <w:spacing w:line="480" w:lineRule="auto"/>
        <w:jc w:val="both"/>
      </w:pPr>
      <w:r>
        <w:rPr>
          <w:rFonts w:ascii="Times New Roman" w:cs="Times New Roman" w:eastAsia="Times New Roman" w:hAnsi="Times New Roman"/>
          <w:b w:val="false"/>
          <w:bCs w:val="false"/>
          <w:i w:val="false"/>
          <w:iCs w:val="false"/>
          <w:sz w:val="24"/>
          <w:szCs w:val="24"/>
        </w:rPr>
        <w:t xml:space="preserve">Revaluation of Fixed Assets | Permitted under IAS 16 revaluation model | Not permitted; historical cost model only</w:t>
      </w:r>
    </w:p>
    <w:p>
      <w:pPr>
        <w:spacing w:line="480" w:lineRule="auto"/>
        <w:jc w:val="both"/>
      </w:pPr>
      <w:r>
        <w:rPr>
          <w:rFonts w:ascii="Times New Roman" w:cs="Times New Roman" w:eastAsia="Times New Roman" w:hAnsi="Times New Roman"/>
          <w:b w:val="false"/>
          <w:bCs w:val="false"/>
          <w:i w:val="false"/>
          <w:iCs w:val="false"/>
          <w:sz w:val="24"/>
          <w:szCs w:val="24"/>
        </w:rPr>
        <w:t xml:space="preserve">Lease Accounting | All leases on balance sheet under IFRS 16 | Similar under ASC 842, with minor differences in classification</w:t>
      </w:r>
    </w:p>
    <w:p>
      <w:pPr>
        <w:spacing w:line="480" w:lineRule="auto"/>
        <w:jc w:val="both"/>
      </w:pPr>
      <w:r>
        <w:rPr>
          <w:rFonts w:ascii="Times New Roman" w:cs="Times New Roman" w:eastAsia="Times New Roman" w:hAnsi="Times New Roman"/>
          <w:b w:val="false"/>
          <w:bCs w:val="false"/>
          <w:i w:val="false"/>
          <w:iCs w:val="false"/>
          <w:sz w:val="24"/>
          <w:szCs w:val="24"/>
        </w:rPr>
        <w:t xml:space="preserve">Goodwill | Annual impairment test; no amortization (IFRS 3) | Annual impairment test; no amortization (ASC 350)</w:t>
      </w:r>
    </w:p>
    <w:p>
      <w:pPr>
        <w:spacing w:line="480" w:lineRule="auto"/>
        <w:jc w:val="both"/>
      </w:pPr>
      <w:r>
        <w:rPr>
          <w:rFonts w:ascii="Times New Roman" w:cs="Times New Roman" w:eastAsia="Times New Roman" w:hAnsi="Times New Roman"/>
          <w:b w:val="false"/>
          <w:bCs w:val="false"/>
          <w:i w:val="false"/>
          <w:iCs w:val="false"/>
          <w:sz w:val="24"/>
          <w:szCs w:val="24"/>
        </w:rPr>
        <w:t xml:space="preserve">Extraordinary Items | Not permitted | Not permitted (eliminated by ASU 2015-01)</w:t>
      </w:r>
    </w:p>
    <w:p>
      <w:pPr>
        <w:spacing w:line="480" w:lineRule="auto"/>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color w:val="1F3864"/>
          <w:sz w:val="24"/>
          <w:szCs w:val="24"/>
        </w:rPr>
        <w:t xml:space="preserve">Appendix B: Financial Statement Interrelationship — Illustrative Example</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The following example illustrates the direct linkage between the three primary financial statements for a simplified hypothetical company.</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Year-End Balance Sheet Extracts: Opening retained earnings of USD 50,000 + Net income per income statement of USD 30,000 - Dividends declared of USD 10,000 = Closing retained earnings of USD 70,000.</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Cash Flow Reconciliation: Net income of USD 30,000 + Depreciation (non-cash) of USD 5,000 - Increase in accounts receivable of USD 8,000 = Net cash from operations of USD 27,000.</w:t>
      </w:r>
    </w:p>
    <w:p>
      <w:pPr>
        <w:spacing w:line="480" w:lineRule="auto"/>
      </w:pPr>
      <w:r>
        <w:rPr>
          <w:rFonts w:ascii="Times New Roman" w:cs="Times New Roman" w:eastAsia="Times New Roman" w:hAnsi="Times New Roman"/>
          <w:sz w:val="24"/>
          <w:szCs w:val="24"/>
        </w:rPr>
        <w:t xml:space="preserve"/>
      </w:r>
    </w:p>
    <w:p>
      <w:pPr>
        <w:spacing w:line="480" w:lineRule="auto"/>
        <w:jc w:val="both"/>
      </w:pPr>
      <w:r>
        <w:rPr>
          <w:rFonts w:ascii="Times New Roman" w:cs="Times New Roman" w:eastAsia="Times New Roman" w:hAnsi="Times New Roman"/>
          <w:b w:val="false"/>
          <w:bCs w:val="false"/>
          <w:i w:val="false"/>
          <w:iCs w:val="false"/>
          <w:sz w:val="24"/>
          <w:szCs w:val="24"/>
        </w:rPr>
        <w:t xml:space="preserve">This simple example demonstrates how the income statement's net income figure flows into the balance sheet's retained earnings, while the statement of cash flows begins with that same net income and adjusts it for non-cash items and working capital changes to arrive at the actual cash generated by the business.</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80" w:before="360"/>
      <w:outlineLvl w:val="0"/>
    </w:pPr>
    <w:rPr>
      <w:rFonts w:ascii="Times New Roman" w:cs="Times New Roman" w:eastAsia="Times New Roman" w:hAnsi="Times New Roman"/>
      <w:b/>
      <w:bCs/>
      <w:color w:val="1F3864"/>
      <w:sz w:val="28"/>
      <w:szCs w:val="28"/>
    </w:rPr>
  </w:style>
  <w:style w:type="paragraph" w:styleId="Heading2">
    <w:name w:val="Heading 2"/>
    <w:basedOn w:val="Normal"/>
    <w:next w:val="Normal"/>
    <w:qFormat/>
    <w:pPr>
      <w:spacing w:after="120" w:before="240"/>
      <w:outlineLvl w:val="1"/>
    </w:pPr>
    <w:rPr>
      <w:rFonts w:ascii="Times New Roman" w:cs="Times New Roman" w:eastAsia="Times New Roman" w:hAnsi="Times New Roman"/>
      <w:b/>
      <w:bCs/>
      <w:color w:val="1F3864"/>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1eae34b73767612d6ff9db6d35e67a5eab6b3350.jp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2026-04-01T18:55:24.717Z</dcterms:created>
  <dcterms:modified xsi:type="dcterms:W3CDTF">2026-04-01T18:55:24.718Z</dcterms:modified>
</cp:coreProperties>
</file>

<file path=docProps/custom.xml><?xml version="1.0" encoding="utf-8"?>
<Properties xmlns="http://schemas.openxmlformats.org/officeDocument/2006/custom-properties" xmlns:vt="http://schemas.openxmlformats.org/officeDocument/2006/docPropsVTypes"/>
</file>