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CBC766" w14:textId="77777777" w:rsidR="00DD6166" w:rsidRDefault="00DD6166" w:rsidP="00DD6166">
      <w:pPr>
        <w:rPr>
          <w:rFonts w:ascii="Times New Roman" w:hAnsi="Times New Roman" w:cs="Times New Roman"/>
          <w:sz w:val="24"/>
          <w:szCs w:val="24"/>
        </w:rPr>
      </w:pPr>
      <w:r w:rsidRPr="00DD6166">
        <w:rPr>
          <w:rFonts w:ascii="Times New Roman" w:hAnsi="Times New Roman" w:cs="Times New Roman"/>
          <w:sz w:val="24"/>
          <w:szCs w:val="24"/>
        </w:rPr>
        <w:t xml:space="preserve">Opera&amp;ons Management in Hospitality </w:t>
      </w:r>
    </w:p>
    <w:p w14:paraId="274CFF2C" w14:textId="77777777" w:rsidR="00DD6166" w:rsidRDefault="00DD6166" w:rsidP="00DD6166">
      <w:pPr>
        <w:rPr>
          <w:rFonts w:ascii="Times New Roman" w:hAnsi="Times New Roman" w:cs="Times New Roman"/>
          <w:sz w:val="24"/>
          <w:szCs w:val="24"/>
        </w:rPr>
      </w:pPr>
      <w:r w:rsidRPr="00DD6166">
        <w:rPr>
          <w:rFonts w:ascii="Times New Roman" w:hAnsi="Times New Roman" w:cs="Times New Roman"/>
          <w:sz w:val="24"/>
          <w:szCs w:val="24"/>
        </w:rPr>
        <w:t xml:space="preserve">Assignment 12 </w:t>
      </w:r>
    </w:p>
    <w:p w14:paraId="44C8C1B8" w14:textId="77777777" w:rsidR="00DD6166" w:rsidRDefault="00DD6166" w:rsidP="00DD6166">
      <w:pPr>
        <w:rPr>
          <w:rFonts w:ascii="Times New Roman" w:hAnsi="Times New Roman" w:cs="Times New Roman"/>
          <w:sz w:val="24"/>
          <w:szCs w:val="24"/>
        </w:rPr>
      </w:pPr>
      <w:r w:rsidRPr="00DD6166">
        <w:rPr>
          <w:rFonts w:ascii="Times New Roman" w:hAnsi="Times New Roman" w:cs="Times New Roman"/>
          <w:sz w:val="24"/>
          <w:szCs w:val="24"/>
        </w:rPr>
        <w:t xml:space="preserve">04.02.2026 </w:t>
      </w:r>
    </w:p>
    <w:p w14:paraId="1E620AA4" w14:textId="2336A73F" w:rsidR="00DD6166" w:rsidRDefault="00DD6166" w:rsidP="00DD6166">
      <w:pPr>
        <w:rPr>
          <w:rFonts w:ascii="Times New Roman" w:hAnsi="Times New Roman" w:cs="Times New Roman"/>
          <w:sz w:val="24"/>
          <w:szCs w:val="24"/>
        </w:rPr>
      </w:pPr>
      <w:r w:rsidRPr="00DD6166">
        <w:rPr>
          <w:rFonts w:ascii="Times New Roman" w:hAnsi="Times New Roman" w:cs="Times New Roman"/>
          <w:sz w:val="24"/>
          <w:szCs w:val="24"/>
        </w:rPr>
        <w:t xml:space="preserve">Student </w:t>
      </w:r>
      <w:r w:rsidRPr="00DD6166">
        <w:rPr>
          <w:rFonts w:ascii="Times New Roman" w:hAnsi="Times New Roman" w:cs="Times New Roman"/>
          <w:sz w:val="24"/>
          <w:szCs w:val="24"/>
        </w:rPr>
        <w:t>name</w:t>
      </w:r>
      <w:r>
        <w:rPr>
          <w:rFonts w:ascii="Times New Roman" w:hAnsi="Times New Roman" w:cs="Times New Roman"/>
          <w:sz w:val="24"/>
          <w:szCs w:val="24"/>
        </w:rPr>
        <w:t>: - Rajat Rana</w:t>
      </w:r>
    </w:p>
    <w:p w14:paraId="4FD66941" w14:textId="58C84BC9" w:rsidR="00DD6166" w:rsidRPr="00DD6166" w:rsidRDefault="00DD6166" w:rsidP="00DD6166">
      <w:pPr>
        <w:rPr>
          <w:rFonts w:ascii="Times New Roman" w:hAnsi="Times New Roman" w:cs="Times New Roman"/>
          <w:sz w:val="24"/>
          <w:szCs w:val="24"/>
        </w:rPr>
      </w:pPr>
      <w:r w:rsidRPr="00DD6166">
        <w:rPr>
          <w:rFonts w:ascii="Times New Roman" w:hAnsi="Times New Roman" w:cs="Times New Roman"/>
          <w:sz w:val="24"/>
          <w:szCs w:val="24"/>
        </w:rPr>
        <w:t xml:space="preserve"> Student ID </w:t>
      </w:r>
      <w:r w:rsidRPr="00DD6166">
        <w:rPr>
          <w:rFonts w:ascii="Times New Roman" w:hAnsi="Times New Roman" w:cs="Times New Roman"/>
          <w:sz w:val="24"/>
          <w:szCs w:val="24"/>
        </w:rPr>
        <w:t>number</w:t>
      </w:r>
      <w:r>
        <w:rPr>
          <w:rFonts w:ascii="Times New Roman" w:hAnsi="Times New Roman" w:cs="Times New Roman"/>
          <w:sz w:val="24"/>
          <w:szCs w:val="24"/>
        </w:rPr>
        <w:t>: -DE240025</w:t>
      </w:r>
    </w:p>
    <w:p w14:paraId="1D9D8B32" w14:textId="77777777" w:rsidR="00DD6166" w:rsidRDefault="00DD6166" w:rsidP="00DD6166">
      <w:pPr>
        <w:rPr>
          <w:rFonts w:ascii="Times New Roman" w:hAnsi="Times New Roman" w:cs="Times New Roman"/>
          <w:sz w:val="24"/>
          <w:szCs w:val="24"/>
          <w:lang w:val="en-IN"/>
        </w:rPr>
      </w:pPr>
    </w:p>
    <w:p w14:paraId="38A1B7C4" w14:textId="77777777" w:rsidR="00DD6166" w:rsidRDefault="00DD6166" w:rsidP="00DD6166">
      <w:pPr>
        <w:rPr>
          <w:rFonts w:ascii="Times New Roman" w:hAnsi="Times New Roman" w:cs="Times New Roman"/>
          <w:sz w:val="24"/>
          <w:szCs w:val="24"/>
          <w:lang w:val="en-IN"/>
        </w:rPr>
      </w:pPr>
    </w:p>
    <w:p w14:paraId="1F093D09" w14:textId="77777777" w:rsidR="00DD6166" w:rsidRDefault="00DD6166" w:rsidP="00DD6166">
      <w:pPr>
        <w:rPr>
          <w:rFonts w:ascii="Times New Roman" w:hAnsi="Times New Roman" w:cs="Times New Roman"/>
          <w:sz w:val="24"/>
          <w:szCs w:val="24"/>
          <w:lang w:val="en-IN"/>
        </w:rPr>
      </w:pPr>
    </w:p>
    <w:p w14:paraId="73A99C46" w14:textId="2F13A0B6" w:rsidR="00DD6166" w:rsidRPr="00DD6166" w:rsidRDefault="00DD6166" w:rsidP="00DD6166">
      <w:pPr>
        <w:rPr>
          <w:rFonts w:ascii="Times New Roman" w:hAnsi="Times New Roman" w:cs="Times New Roman"/>
          <w:sz w:val="24"/>
          <w:szCs w:val="24"/>
          <w:lang w:val="en-IN"/>
        </w:rPr>
      </w:pPr>
      <w:r w:rsidRPr="00DD6166">
        <w:rPr>
          <w:rFonts w:ascii="Times New Roman" w:hAnsi="Times New Roman" w:cs="Times New Roman"/>
          <w:sz w:val="24"/>
          <w:szCs w:val="24"/>
          <w:lang w:val="en-IN"/>
        </w:rPr>
        <w:t>Non-Pricing Revenue Management Tools in Hotels: Maximizing Revenue Without Changing Room Rates</w:t>
      </w:r>
    </w:p>
    <w:p w14:paraId="4CDD1A7F" w14:textId="77777777" w:rsidR="00DD6166" w:rsidRPr="00DD6166" w:rsidRDefault="00DD6166" w:rsidP="00DD6166">
      <w:pPr>
        <w:rPr>
          <w:rFonts w:ascii="Times New Roman" w:hAnsi="Times New Roman" w:cs="Times New Roman"/>
          <w:sz w:val="24"/>
          <w:szCs w:val="24"/>
          <w:lang w:val="en-IN"/>
        </w:rPr>
      </w:pPr>
      <w:r w:rsidRPr="00DD6166">
        <w:rPr>
          <w:rFonts w:ascii="Times New Roman" w:hAnsi="Times New Roman" w:cs="Times New Roman"/>
          <w:sz w:val="24"/>
          <w:szCs w:val="24"/>
          <w:lang w:val="en-IN"/>
        </w:rPr>
        <w:t>Introduction</w:t>
      </w:r>
    </w:p>
    <w:p w14:paraId="594E57B9" w14:textId="77777777" w:rsidR="00DD6166" w:rsidRPr="00DD6166" w:rsidRDefault="00DD6166" w:rsidP="00DD6166">
      <w:pPr>
        <w:rPr>
          <w:rFonts w:ascii="Times New Roman" w:hAnsi="Times New Roman" w:cs="Times New Roman"/>
          <w:sz w:val="24"/>
          <w:szCs w:val="24"/>
          <w:lang w:val="en-IN"/>
        </w:rPr>
      </w:pPr>
      <w:r w:rsidRPr="00DD6166">
        <w:rPr>
          <w:rFonts w:ascii="Times New Roman" w:hAnsi="Times New Roman" w:cs="Times New Roman"/>
          <w:sz w:val="24"/>
          <w:szCs w:val="24"/>
          <w:lang w:val="en-IN"/>
        </w:rPr>
        <w:t>Revenue management (RM) in the hospitality industry extends beyond dynamic pricing to encompass non-pricing tools that optimize revenue streams without altering base room rates. These strategies focus on inventory control, distribution efficiency, ancillary services, and operational enhancements, driving metrics like RevPAR (revenue per available room), occupancy rates, and guest spend. By leveraging data analytics and technology, hotels can achieve 10-35% RevPAR uplifts, as seen in implementations using revenue management systems (RMS).</w:t>
      </w:r>
    </w:p>
    <w:p w14:paraId="2D882907" w14:textId="77777777" w:rsidR="00DD6166" w:rsidRPr="00DD6166" w:rsidRDefault="00DD6166" w:rsidP="00DD6166">
      <w:pPr>
        <w:rPr>
          <w:rFonts w:ascii="Times New Roman" w:hAnsi="Times New Roman" w:cs="Times New Roman"/>
          <w:sz w:val="24"/>
          <w:szCs w:val="24"/>
          <w:lang w:val="en-IN"/>
        </w:rPr>
      </w:pPr>
      <w:r w:rsidRPr="00DD6166">
        <w:rPr>
          <w:rFonts w:ascii="Times New Roman" w:hAnsi="Times New Roman" w:cs="Times New Roman"/>
          <w:sz w:val="24"/>
          <w:szCs w:val="24"/>
          <w:lang w:val="en-IN"/>
        </w:rPr>
        <w:t>Key Non-Pricing Tools and Their Mechanisms</w:t>
      </w:r>
    </w:p>
    <w:p w14:paraId="5B9ABCB2" w14:textId="77777777" w:rsidR="00DD6166" w:rsidRPr="00DD6166" w:rsidRDefault="00DD6166" w:rsidP="00DD6166">
      <w:pPr>
        <w:rPr>
          <w:rFonts w:ascii="Times New Roman" w:hAnsi="Times New Roman" w:cs="Times New Roman"/>
          <w:sz w:val="24"/>
          <w:szCs w:val="24"/>
          <w:lang w:val="en-IN"/>
        </w:rPr>
      </w:pPr>
      <w:r w:rsidRPr="00DD6166">
        <w:rPr>
          <w:rFonts w:ascii="Times New Roman" w:hAnsi="Times New Roman" w:cs="Times New Roman"/>
          <w:sz w:val="24"/>
          <w:szCs w:val="24"/>
          <w:lang w:val="en-IN"/>
        </w:rPr>
        <w:t>1. Inventory and Capacity Controls</w:t>
      </w:r>
    </w:p>
    <w:p w14:paraId="5A45D99F" w14:textId="77777777" w:rsidR="00DD6166" w:rsidRPr="00DD6166" w:rsidRDefault="00DD6166" w:rsidP="00DD6166">
      <w:pPr>
        <w:rPr>
          <w:rFonts w:ascii="Times New Roman" w:hAnsi="Times New Roman" w:cs="Times New Roman"/>
          <w:sz w:val="24"/>
          <w:szCs w:val="24"/>
          <w:lang w:val="en-IN"/>
        </w:rPr>
      </w:pPr>
      <w:r w:rsidRPr="00DD6166">
        <w:rPr>
          <w:rFonts w:ascii="Times New Roman" w:hAnsi="Times New Roman" w:cs="Times New Roman"/>
          <w:sz w:val="24"/>
          <w:szCs w:val="24"/>
          <w:lang w:val="en-IN"/>
        </w:rPr>
        <w:t>Core non-pricing tactics include overbooking (selling more rooms than available to account for 10-20% no-shows), minimum length-of-stay (MLOS) restrictions, and closed-to-arrival (CTA) rules. MLOS prevents short stays that block high-demand nights, while CTA blocks arrivals on specific days to protect peak inventory. These tools, often automated in RMS like IDeaS G3 or Duetto GameChanger, forecast demand via AI to maximize occupancy without discounts.</w:t>
      </w:r>
    </w:p>
    <w:p w14:paraId="44BA8440" w14:textId="77777777" w:rsidR="00DD6166" w:rsidRPr="00DD6166" w:rsidRDefault="00DD6166" w:rsidP="00DD6166">
      <w:pPr>
        <w:rPr>
          <w:rFonts w:ascii="Times New Roman" w:hAnsi="Times New Roman" w:cs="Times New Roman"/>
          <w:sz w:val="24"/>
          <w:szCs w:val="24"/>
          <w:lang w:val="en-IN"/>
        </w:rPr>
      </w:pPr>
      <w:r w:rsidRPr="00DD6166">
        <w:rPr>
          <w:rFonts w:ascii="Times New Roman" w:hAnsi="Times New Roman" w:cs="Times New Roman"/>
          <w:sz w:val="24"/>
          <w:szCs w:val="24"/>
          <w:lang w:val="en-IN"/>
        </w:rPr>
        <w:t>2. Distribution Channel Management</w:t>
      </w:r>
    </w:p>
    <w:p w14:paraId="42705CC6" w14:textId="77777777" w:rsidR="00DD6166" w:rsidRPr="00DD6166" w:rsidRDefault="00DD6166" w:rsidP="00DD6166">
      <w:pPr>
        <w:rPr>
          <w:rFonts w:ascii="Times New Roman" w:hAnsi="Times New Roman" w:cs="Times New Roman"/>
          <w:sz w:val="24"/>
          <w:szCs w:val="24"/>
          <w:lang w:val="en-IN"/>
        </w:rPr>
      </w:pPr>
      <w:r w:rsidRPr="00DD6166">
        <w:rPr>
          <w:rFonts w:ascii="Times New Roman" w:hAnsi="Times New Roman" w:cs="Times New Roman"/>
          <w:sz w:val="24"/>
          <w:szCs w:val="24"/>
          <w:lang w:val="en-IN"/>
        </w:rPr>
        <w:t>Channel managers (e.g., Cloudbeds or RateGain) allocate inventory across OTAs, wholesalers, and direct sites, prioritizing low-commission direct bookings. During high demand, hotels fence OTA inventory with restrictions like non-refundable policies, reducing commissions (15-25%) and boosting net revenue. This shifts volume to profitable channels, indirectly lifting ADR.</w:t>
      </w:r>
    </w:p>
    <w:p w14:paraId="6BA3E361" w14:textId="77777777" w:rsidR="00DD6166" w:rsidRPr="00DD6166" w:rsidRDefault="00DD6166" w:rsidP="00DD6166">
      <w:pPr>
        <w:rPr>
          <w:rFonts w:ascii="Times New Roman" w:hAnsi="Times New Roman" w:cs="Times New Roman"/>
          <w:sz w:val="24"/>
          <w:szCs w:val="24"/>
          <w:lang w:val="en-IN"/>
        </w:rPr>
      </w:pPr>
      <w:r w:rsidRPr="00DD6166">
        <w:rPr>
          <w:rFonts w:ascii="Times New Roman" w:hAnsi="Times New Roman" w:cs="Times New Roman"/>
          <w:sz w:val="24"/>
          <w:szCs w:val="24"/>
          <w:lang w:val="en-IN"/>
        </w:rPr>
        <w:lastRenderedPageBreak/>
        <w:t>3. Ancillary Revenue Generation</w:t>
      </w:r>
    </w:p>
    <w:p w14:paraId="0956FD13" w14:textId="77777777" w:rsidR="00DD6166" w:rsidRPr="00DD6166" w:rsidRDefault="00DD6166" w:rsidP="00DD6166">
      <w:pPr>
        <w:rPr>
          <w:rFonts w:ascii="Times New Roman" w:hAnsi="Times New Roman" w:cs="Times New Roman"/>
          <w:sz w:val="24"/>
          <w:szCs w:val="24"/>
          <w:lang w:val="en-IN"/>
        </w:rPr>
      </w:pPr>
      <w:r w:rsidRPr="00DD6166">
        <w:rPr>
          <w:rFonts w:ascii="Times New Roman" w:hAnsi="Times New Roman" w:cs="Times New Roman"/>
          <w:sz w:val="24"/>
          <w:szCs w:val="24"/>
          <w:lang w:val="en-IN"/>
        </w:rPr>
        <w:t>Ancillary streams—spa, dining, parking, upgrades—can contribute 20-40% of total revenue. Strategies include pre-arrival upsell emails (boosting upgrades 40-60%), dynamic pricing for non-room services (e.g., premium parking via AI), and bundled packages like "spa weekends." Automation tools like Canary Technologies personalize offers, increasing per-guest spend by 25-40% without room rate changes.</w:t>
      </w:r>
    </w:p>
    <w:p w14:paraId="693766B1" w14:textId="77777777" w:rsidR="00DD6166" w:rsidRPr="00DD6166" w:rsidRDefault="00DD6166" w:rsidP="00DD6166">
      <w:pPr>
        <w:rPr>
          <w:rFonts w:ascii="Times New Roman" w:hAnsi="Times New Roman" w:cs="Times New Roman"/>
          <w:sz w:val="24"/>
          <w:szCs w:val="24"/>
          <w:lang w:val="en-IN"/>
        </w:rPr>
      </w:pPr>
      <w:r w:rsidRPr="00DD6166">
        <w:rPr>
          <w:rFonts w:ascii="Times New Roman" w:hAnsi="Times New Roman" w:cs="Times New Roman"/>
          <w:sz w:val="24"/>
          <w:szCs w:val="24"/>
          <w:lang w:val="en-IN"/>
        </w:rPr>
        <w:t>4. Operational and Technology Enablers</w:t>
      </w:r>
    </w:p>
    <w:p w14:paraId="0D6B7543" w14:textId="77777777" w:rsidR="00DD6166" w:rsidRPr="00DD6166" w:rsidRDefault="00DD6166" w:rsidP="00DD6166">
      <w:pPr>
        <w:rPr>
          <w:rFonts w:ascii="Times New Roman" w:hAnsi="Times New Roman" w:cs="Times New Roman"/>
          <w:sz w:val="24"/>
          <w:szCs w:val="24"/>
          <w:lang w:val="en-IN"/>
        </w:rPr>
      </w:pPr>
      <w:r w:rsidRPr="00DD6166">
        <w:rPr>
          <w:rFonts w:ascii="Times New Roman" w:hAnsi="Times New Roman" w:cs="Times New Roman"/>
          <w:sz w:val="24"/>
          <w:szCs w:val="24"/>
          <w:lang w:val="en-IN"/>
        </w:rPr>
        <w:t>PMS-CRS integrations (e.g., Atomize with PMS) enable real-time data for faster housekeeping, mobile check-ins, and energy management, cutting costs and enabling fee-based early arrivals. Loyalty programs incentivize direct bookings with free Wi-Fi or flexible policies, while competitor analytics from OTA Insight inform inventory decisions.</w:t>
      </w:r>
    </w:p>
    <w:p w14:paraId="6E7E4076" w14:textId="77777777" w:rsidR="00DD6166" w:rsidRPr="00DD6166" w:rsidRDefault="00DD6166" w:rsidP="00DD6166">
      <w:pPr>
        <w:rPr>
          <w:rFonts w:ascii="Times New Roman" w:hAnsi="Times New Roman" w:cs="Times New Roman"/>
          <w:sz w:val="24"/>
          <w:szCs w:val="24"/>
          <w:lang w:val="en-IN"/>
        </w:rPr>
      </w:pPr>
      <w:r w:rsidRPr="00DD6166">
        <w:rPr>
          <w:rFonts w:ascii="Times New Roman" w:hAnsi="Times New Roman" w:cs="Times New Roman"/>
          <w:sz w:val="24"/>
          <w:szCs w:val="24"/>
          <w:lang w:val="en-IN"/>
        </w:rPr>
        <w:t>Real-World Impact and Evidence</w:t>
      </w:r>
    </w:p>
    <w:p w14:paraId="7C7BE6C0" w14:textId="77777777" w:rsidR="00DD6166" w:rsidRPr="00DD6166" w:rsidRDefault="00DD6166" w:rsidP="00DD6166">
      <w:pPr>
        <w:rPr>
          <w:rFonts w:ascii="Times New Roman" w:hAnsi="Times New Roman" w:cs="Times New Roman"/>
          <w:sz w:val="24"/>
          <w:szCs w:val="24"/>
          <w:lang w:val="en-IN"/>
        </w:rPr>
      </w:pPr>
      <w:r w:rsidRPr="00DD6166">
        <w:rPr>
          <w:rFonts w:ascii="Times New Roman" w:hAnsi="Times New Roman" w:cs="Times New Roman"/>
          <w:sz w:val="24"/>
          <w:szCs w:val="24"/>
          <w:lang w:val="en-IN"/>
        </w:rPr>
        <w:t>Studies on Malaysian hotels confirm non-pricing tools like inventory controls and channel optimization significantly enhance RM performance.[ from prior] Hotels using AI-driven ancillaries report 150-200% ancillary revenue growth and 17% overall uplift. In oversupplied markets, these tactics sustain profits by focusing on efficiency.</w:t>
      </w:r>
    </w:p>
    <w:p w14:paraId="38504591" w14:textId="77777777" w:rsidR="00DD6166" w:rsidRPr="00DD6166" w:rsidRDefault="00DD6166" w:rsidP="00DD6166">
      <w:pPr>
        <w:rPr>
          <w:rFonts w:ascii="Times New Roman" w:hAnsi="Times New Roman" w:cs="Times New Roman"/>
          <w:sz w:val="24"/>
          <w:szCs w:val="24"/>
          <w:lang w:val="en-IN"/>
        </w:rPr>
      </w:pPr>
      <w:r w:rsidRPr="00DD6166">
        <w:rPr>
          <w:rFonts w:ascii="Times New Roman" w:hAnsi="Times New Roman" w:cs="Times New Roman"/>
          <w:sz w:val="24"/>
          <w:szCs w:val="24"/>
          <w:lang w:val="en-IN"/>
        </w:rPr>
        <w:t>Challenges and Best Practices</w:t>
      </w:r>
    </w:p>
    <w:p w14:paraId="7A89A237" w14:textId="77777777" w:rsidR="00DD6166" w:rsidRPr="00DD6166" w:rsidRDefault="00DD6166" w:rsidP="00DD6166">
      <w:pPr>
        <w:rPr>
          <w:rFonts w:ascii="Times New Roman" w:hAnsi="Times New Roman" w:cs="Times New Roman"/>
          <w:sz w:val="24"/>
          <w:szCs w:val="24"/>
          <w:lang w:val="en-IN"/>
        </w:rPr>
      </w:pPr>
      <w:r w:rsidRPr="00DD6166">
        <w:rPr>
          <w:rFonts w:ascii="Times New Roman" w:hAnsi="Times New Roman" w:cs="Times New Roman"/>
          <w:sz w:val="24"/>
          <w:szCs w:val="24"/>
          <w:lang w:val="en-IN"/>
        </w:rPr>
        <w:t>Implementation requires staff training, data quality, and integration. Start small: pilot packages, monitor KPIs via RMS dashboards, and iterate based on guest feedback.</w:t>
      </w:r>
    </w:p>
    <w:p w14:paraId="0D211052" w14:textId="77777777" w:rsidR="00DD6166" w:rsidRPr="00DD6166" w:rsidRDefault="00DD6166" w:rsidP="00DD6166">
      <w:pPr>
        <w:rPr>
          <w:rFonts w:ascii="Times New Roman" w:hAnsi="Times New Roman" w:cs="Times New Roman"/>
          <w:sz w:val="24"/>
          <w:szCs w:val="24"/>
          <w:lang w:val="en-IN"/>
        </w:rPr>
      </w:pPr>
      <w:r w:rsidRPr="00DD6166">
        <w:rPr>
          <w:rFonts w:ascii="Times New Roman" w:hAnsi="Times New Roman" w:cs="Times New Roman"/>
          <w:sz w:val="24"/>
          <w:szCs w:val="24"/>
          <w:lang w:val="en-IN"/>
        </w:rPr>
        <w:t>Conclusion</w:t>
      </w:r>
    </w:p>
    <w:p w14:paraId="487BC27A" w14:textId="77777777" w:rsidR="00DD6166" w:rsidRPr="00DD6166" w:rsidRDefault="00DD6166" w:rsidP="00DD6166">
      <w:pPr>
        <w:rPr>
          <w:rFonts w:ascii="Times New Roman" w:hAnsi="Times New Roman" w:cs="Times New Roman"/>
          <w:sz w:val="24"/>
          <w:szCs w:val="24"/>
          <w:lang w:val="en-IN"/>
        </w:rPr>
      </w:pPr>
      <w:r w:rsidRPr="00DD6166">
        <w:rPr>
          <w:rFonts w:ascii="Times New Roman" w:hAnsi="Times New Roman" w:cs="Times New Roman"/>
          <w:sz w:val="24"/>
          <w:szCs w:val="24"/>
          <w:lang w:val="en-IN"/>
        </w:rPr>
        <w:t>Non-pricing RM tools empower hotels to monetize assets holistically, ensuring revenue growth amid competitive pressures. Integrated tech adoption is key for sustained success.</w:t>
      </w:r>
    </w:p>
    <w:p w14:paraId="3F281FC4" w14:textId="77777777" w:rsidR="001F4A50" w:rsidRDefault="001F4A50"/>
    <w:sectPr w:rsidR="001F4A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4B203F"/>
    <w:multiLevelType w:val="hybridMultilevel"/>
    <w:tmpl w:val="A8846F3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6FBC57AF"/>
    <w:multiLevelType w:val="hybridMultilevel"/>
    <w:tmpl w:val="2FFA00A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085298614">
    <w:abstractNumId w:val="1"/>
  </w:num>
  <w:num w:numId="2" w16cid:durableId="6304079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DD6166"/>
    <w:rsid w:val="001B6A19"/>
    <w:rsid w:val="001F4A50"/>
    <w:rsid w:val="008228BB"/>
    <w:rsid w:val="00DD61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997F4"/>
  <w15:chartTrackingRefBased/>
  <w15:docId w15:val="{32B90B92-0ADE-4399-83F4-6DC79330B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6166"/>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DD6166"/>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DD6166"/>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DD6166"/>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DD6166"/>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DD616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616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616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616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6166"/>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DD6166"/>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DD6166"/>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DD6166"/>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DD6166"/>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DD616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616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616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6166"/>
    <w:rPr>
      <w:rFonts w:eastAsiaTheme="majorEastAsia" w:cstheme="majorBidi"/>
      <w:color w:val="272727" w:themeColor="text1" w:themeTint="D8"/>
    </w:rPr>
  </w:style>
  <w:style w:type="paragraph" w:styleId="Title">
    <w:name w:val="Title"/>
    <w:basedOn w:val="Normal"/>
    <w:next w:val="Normal"/>
    <w:link w:val="TitleChar"/>
    <w:uiPriority w:val="10"/>
    <w:qFormat/>
    <w:rsid w:val="00DD61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616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616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616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616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D6166"/>
    <w:rPr>
      <w:i/>
      <w:iCs/>
      <w:color w:val="404040" w:themeColor="text1" w:themeTint="BF"/>
    </w:rPr>
  </w:style>
  <w:style w:type="paragraph" w:styleId="ListParagraph">
    <w:name w:val="List Paragraph"/>
    <w:basedOn w:val="Normal"/>
    <w:uiPriority w:val="34"/>
    <w:qFormat/>
    <w:rsid w:val="00DD6166"/>
    <w:pPr>
      <w:ind w:left="720"/>
      <w:contextualSpacing/>
    </w:pPr>
  </w:style>
  <w:style w:type="character" w:styleId="IntenseEmphasis">
    <w:name w:val="Intense Emphasis"/>
    <w:basedOn w:val="DefaultParagraphFont"/>
    <w:uiPriority w:val="21"/>
    <w:qFormat/>
    <w:rsid w:val="00DD6166"/>
    <w:rPr>
      <w:i/>
      <w:iCs/>
      <w:color w:val="365F91" w:themeColor="accent1" w:themeShade="BF"/>
    </w:rPr>
  </w:style>
  <w:style w:type="paragraph" w:styleId="IntenseQuote">
    <w:name w:val="Intense Quote"/>
    <w:basedOn w:val="Normal"/>
    <w:next w:val="Normal"/>
    <w:link w:val="IntenseQuoteChar"/>
    <w:uiPriority w:val="30"/>
    <w:qFormat/>
    <w:rsid w:val="00DD6166"/>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DD6166"/>
    <w:rPr>
      <w:i/>
      <w:iCs/>
      <w:color w:val="365F91" w:themeColor="accent1" w:themeShade="BF"/>
    </w:rPr>
  </w:style>
  <w:style w:type="character" w:styleId="IntenseReference">
    <w:name w:val="Intense Reference"/>
    <w:basedOn w:val="DefaultParagraphFont"/>
    <w:uiPriority w:val="32"/>
    <w:qFormat/>
    <w:rsid w:val="00DD6166"/>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490</Words>
  <Characters>2796</Characters>
  <Application>Microsoft Office Word</Application>
  <DocSecurity>0</DocSecurity>
  <Lines>23</Lines>
  <Paragraphs>6</Paragraphs>
  <ScaleCrop>false</ScaleCrop>
  <Company/>
  <LinksUpToDate>false</LinksUpToDate>
  <CharactersWithSpaces>3280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Sanjiv Sangwan</dc:creator>
  <cp:keywords/>
  <dc:description/>
  <cp:lastModifiedBy>Sanjiv Sangwan</cp:lastModifiedBy>
  <cp:revision>1</cp:revision>
  <dcterms:created xsi:type="dcterms:W3CDTF">2026-04-14T18:33:00Z</dcterms:created>
  <dcterms:modified xsi:type="dcterms:W3CDTF">2026-04-14T18:37:00Z</dcterms:modified>
</cp:coreProperties>
</file>