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36F3B995" w14:textId="77777777" w:rsidR="00224657" w:rsidRDefault="00224657" w:rsidP="00F61E85">
      <w:pPr>
        <w:pStyle w:val="ListParagraph"/>
        <w:spacing w:line="276" w:lineRule="auto"/>
        <w:ind w:left="0"/>
        <w:rPr>
          <w:lang w:val="en-US"/>
        </w:rPr>
      </w:pPr>
    </w:p>
    <w:p w14:paraId="65EFB45E" w14:textId="77777777" w:rsidR="00DF7E49" w:rsidRPr="00DF7E49" w:rsidRDefault="00DF7E49" w:rsidP="00DF7E49">
      <w:pPr>
        <w:pStyle w:val="ListParagraph"/>
        <w:spacing w:line="276" w:lineRule="auto"/>
        <w:rPr>
          <w:b/>
          <w:bCs/>
          <w:lang w:val="en-GB"/>
        </w:rPr>
      </w:pPr>
      <w:r w:rsidRPr="00DF7E49">
        <w:rPr>
          <w:b/>
          <w:bCs/>
          <w:lang w:val="en-GB"/>
        </w:rPr>
        <w:lastRenderedPageBreak/>
        <w:t>Stakeholder</w:t>
      </w:r>
    </w:p>
    <w:p w14:paraId="37E77734" w14:textId="77777777" w:rsidR="00DF7E49" w:rsidRPr="00DF7E49" w:rsidRDefault="00DF7E49" w:rsidP="00DF7E49">
      <w:pPr>
        <w:pStyle w:val="ListParagraph"/>
        <w:spacing w:line="276" w:lineRule="auto"/>
        <w:rPr>
          <w:lang w:val="en-GB"/>
        </w:rPr>
      </w:pPr>
      <w:r w:rsidRPr="00DF7E49">
        <w:rPr>
          <w:lang w:val="en-GB"/>
        </w:rPr>
        <w:t>A stakeholder is any person, group, or organization that affects, is affected by, or has an interest in a heritage site and its management. In cultural heritage management, stakeholders may include local communities, government agencies, conservation professionals, tourists, businesses, non-governmental organizations (NGOs), and international bodies. Stakeholders often hold different values and expectations regarding a heritage site, which can influence management decisions. Effective heritage management requires balancing these diverse interests to ensure conservation, sustainable use, and community benefit. Modern heritage practice increasingly promotes stakeholder engagement because heritage is understood as both a cultural asset and a social resource that contributes to identity, education, and economic development.</w:t>
      </w:r>
    </w:p>
    <w:p w14:paraId="45D4E5CC" w14:textId="77777777" w:rsidR="00DF7E49" w:rsidRPr="00DF7E49" w:rsidRDefault="00DF7E49" w:rsidP="00DF7E49">
      <w:pPr>
        <w:pStyle w:val="ListParagraph"/>
        <w:spacing w:line="276" w:lineRule="auto"/>
        <w:rPr>
          <w:b/>
          <w:bCs/>
          <w:lang w:val="en-GB"/>
        </w:rPr>
      </w:pPr>
      <w:r w:rsidRPr="00DF7E49">
        <w:rPr>
          <w:b/>
          <w:bCs/>
          <w:lang w:val="en-GB"/>
        </w:rPr>
        <w:t>Rights Holder</w:t>
      </w:r>
    </w:p>
    <w:p w14:paraId="1380B022" w14:textId="77777777" w:rsidR="00DF7E49" w:rsidRPr="00DF7E49" w:rsidRDefault="00DF7E49" w:rsidP="00DF7E49">
      <w:pPr>
        <w:pStyle w:val="ListParagraph"/>
        <w:spacing w:line="276" w:lineRule="auto"/>
        <w:rPr>
          <w:lang w:val="en-GB"/>
        </w:rPr>
      </w:pPr>
      <w:r w:rsidRPr="00DF7E49">
        <w:rPr>
          <w:lang w:val="en-GB"/>
        </w:rPr>
        <w:t>A rights holder is an individual or group possessing recognized legal, customary, cultural, or human rights related to a heritage resource. While all rights holders are stakeholders, not all stakeholders are rights holders. Indigenous peoples, traditional communities, religious groups, and local custodians are often considered rights holders because they maintain historical, spiritual, or cultural relationships with heritage places. Contemporary heritage policies emphasize respecting the rights of these groups, including their rights to participate in decision-making, access cultural resources, and maintain traditional knowledge systems. Recognizing rights holders helps ensure that heritage management supports social justice, cultural continuity, and community empowerment rather than focusing solely on physical conservation.</w:t>
      </w:r>
    </w:p>
    <w:p w14:paraId="4AF1C6D7" w14:textId="77777777" w:rsidR="00DF7E49" w:rsidRPr="00DF7E49" w:rsidRDefault="00DF7E49" w:rsidP="00DF7E49">
      <w:pPr>
        <w:pStyle w:val="ListParagraph"/>
        <w:spacing w:line="276" w:lineRule="auto"/>
        <w:rPr>
          <w:b/>
          <w:bCs/>
          <w:lang w:val="en-GB"/>
        </w:rPr>
      </w:pPr>
      <w:r w:rsidRPr="00DF7E49">
        <w:rPr>
          <w:b/>
          <w:bCs/>
          <w:lang w:val="en-GB"/>
        </w:rPr>
        <w:t>People-</w:t>
      </w:r>
      <w:proofErr w:type="spellStart"/>
      <w:r w:rsidRPr="00DF7E49">
        <w:rPr>
          <w:b/>
          <w:bCs/>
          <w:lang w:val="en-GB"/>
        </w:rPr>
        <w:t>Centered</w:t>
      </w:r>
      <w:proofErr w:type="spellEnd"/>
      <w:r w:rsidRPr="00DF7E49">
        <w:rPr>
          <w:b/>
          <w:bCs/>
          <w:lang w:val="en-GB"/>
        </w:rPr>
        <w:t xml:space="preserve"> Heritage Management</w:t>
      </w:r>
    </w:p>
    <w:p w14:paraId="386612AD" w14:textId="77777777" w:rsidR="00DF7E49" w:rsidRPr="00DF7E49" w:rsidRDefault="00DF7E49" w:rsidP="00DF7E49">
      <w:pPr>
        <w:pStyle w:val="ListParagraph"/>
        <w:spacing w:line="276" w:lineRule="auto"/>
        <w:rPr>
          <w:lang w:val="en-GB"/>
        </w:rPr>
      </w:pPr>
      <w:r w:rsidRPr="00DF7E49">
        <w:rPr>
          <w:lang w:val="en-GB"/>
        </w:rPr>
        <w:t>People-</w:t>
      </w:r>
      <w:proofErr w:type="spellStart"/>
      <w:r w:rsidRPr="00DF7E49">
        <w:rPr>
          <w:lang w:val="en-GB"/>
        </w:rPr>
        <w:t>centered</w:t>
      </w:r>
      <w:proofErr w:type="spellEnd"/>
      <w:r w:rsidRPr="00DF7E49">
        <w:rPr>
          <w:lang w:val="en-GB"/>
        </w:rPr>
        <w:t xml:space="preserve"> heritage management is an approach that places people, communities, and rights holders at the core of heritage conservation processes. Rather than focusing exclusively on preserving monuments or artifacts, it recognizes that heritage derives significance from the meanings, values, and identities people attach to it. This approach encourages community participation, local knowledge integration, shared decision-making, and equitable distribution of benefits arising from heritage conservation. UNESCO and ICCROM have strongly promoted people-</w:t>
      </w:r>
      <w:proofErr w:type="spellStart"/>
      <w:r w:rsidRPr="00DF7E49">
        <w:rPr>
          <w:lang w:val="en-GB"/>
        </w:rPr>
        <w:t>centered</w:t>
      </w:r>
      <w:proofErr w:type="spellEnd"/>
      <w:r w:rsidRPr="00DF7E49">
        <w:rPr>
          <w:lang w:val="en-GB"/>
        </w:rPr>
        <w:t xml:space="preserve"> approaches because they contribute to sustainable development, social inclusion, cultural diversity, and long-term conservation outcomes. Heritage is therefore viewed not only as something to be protected but also as a resource that supports community well-being.</w:t>
      </w:r>
    </w:p>
    <w:p w14:paraId="3EE75841" w14:textId="77777777" w:rsidR="00DF7E49" w:rsidRPr="00DF7E49" w:rsidRDefault="00DF7E49" w:rsidP="00DF7E49">
      <w:pPr>
        <w:pStyle w:val="ListParagraph"/>
        <w:spacing w:line="276" w:lineRule="auto"/>
        <w:rPr>
          <w:b/>
          <w:bCs/>
          <w:lang w:val="en-GB"/>
        </w:rPr>
      </w:pPr>
      <w:r w:rsidRPr="00DF7E49">
        <w:rPr>
          <w:b/>
          <w:bCs/>
          <w:lang w:val="en-GB"/>
        </w:rPr>
        <w:t>Capacity Building</w:t>
      </w:r>
    </w:p>
    <w:p w14:paraId="4C31948C" w14:textId="77777777" w:rsidR="00DF7E49" w:rsidRPr="00DF7E49" w:rsidRDefault="00DF7E49" w:rsidP="00DF7E49">
      <w:pPr>
        <w:pStyle w:val="ListParagraph"/>
        <w:spacing w:line="276" w:lineRule="auto"/>
        <w:rPr>
          <w:lang w:val="en-GB"/>
        </w:rPr>
      </w:pPr>
      <w:r w:rsidRPr="00DF7E49">
        <w:rPr>
          <w:lang w:val="en-GB"/>
        </w:rPr>
        <w:t xml:space="preserve">Capacity building refers to the development of knowledge, skills, institutional structures, and resources necessary for effective heritage management. It includes professional training, community education, policy development, technical assistance, and strengthening governance systems. Capacity building enables heritage professionals, local communities, and decision-makers to participate </w:t>
      </w:r>
      <w:r w:rsidRPr="00DF7E49">
        <w:rPr>
          <w:lang w:val="en-GB"/>
        </w:rPr>
        <w:lastRenderedPageBreak/>
        <w:t>meaningfully in conservation and management activities. In heritage contexts, capacity building is essential because conservation challenges increasingly require interdisciplinary expertise, stakeholder collaboration, and adaptive management strategies. By enhancing individual and institutional capabilities, capacity building contributes to sustainable conservation practices and ensures that heritage resources can be effectively protected and managed over time.</w:t>
      </w:r>
    </w:p>
    <w:p w14:paraId="251C9E05" w14:textId="1A66BDCC" w:rsidR="00DF7E49" w:rsidRPr="00DF7E49" w:rsidRDefault="00DF7E49" w:rsidP="00DF7E49">
      <w:pPr>
        <w:pStyle w:val="ListParagraph"/>
        <w:spacing w:line="276" w:lineRule="auto"/>
        <w:rPr>
          <w:lang w:val="en-GB"/>
        </w:rPr>
      </w:pPr>
    </w:p>
    <w:p w14:paraId="55E6F384" w14:textId="77777777" w:rsidR="00DF7E49" w:rsidRPr="00DF7E49" w:rsidRDefault="00DF7E49" w:rsidP="00DF7E49">
      <w:pPr>
        <w:pStyle w:val="ListParagraph"/>
        <w:spacing w:line="276" w:lineRule="auto"/>
        <w:rPr>
          <w:b/>
          <w:bCs/>
          <w:lang w:val="en-GB"/>
        </w:rPr>
      </w:pPr>
      <w:r w:rsidRPr="00DF7E49">
        <w:rPr>
          <w:b/>
          <w:bCs/>
          <w:lang w:val="en-GB"/>
        </w:rPr>
        <w:t>2. Heritage Site Analysis: Qutub Minar, Delhi, India</w:t>
      </w:r>
    </w:p>
    <w:p w14:paraId="1818F6A8" w14:textId="77777777" w:rsidR="00DF7E49" w:rsidRPr="00DF7E49" w:rsidRDefault="00DF7E49" w:rsidP="00DF7E49">
      <w:pPr>
        <w:pStyle w:val="ListParagraph"/>
        <w:spacing w:line="276" w:lineRule="auto"/>
        <w:rPr>
          <w:lang w:val="en-GB"/>
        </w:rPr>
      </w:pPr>
      <w:r w:rsidRPr="00DF7E49">
        <w:rPr>
          <w:lang w:val="en-GB"/>
        </w:rPr>
        <w:t xml:space="preserve">The </w:t>
      </w:r>
      <w:r w:rsidRPr="00DF7E49">
        <w:rPr>
          <w:b/>
          <w:bCs/>
          <w:lang w:val="en-GB"/>
        </w:rPr>
        <w:t>Qutub Minar</w:t>
      </w:r>
      <w:r w:rsidRPr="00DF7E49">
        <w:rPr>
          <w:lang w:val="en-GB"/>
        </w:rPr>
        <w:t xml:space="preserve"> is one of India's most important UNESCO World Heritage Sites and provides an excellent example of a predominantly </w:t>
      </w:r>
      <w:r w:rsidRPr="00DF7E49">
        <w:rPr>
          <w:b/>
          <w:bCs/>
          <w:lang w:val="en-GB"/>
        </w:rPr>
        <w:t>values-based heritage management approach</w:t>
      </w:r>
      <w:r w:rsidRPr="00DF7E49">
        <w:rPr>
          <w:lang w:val="en-GB"/>
        </w:rPr>
        <w:t>.</w:t>
      </w:r>
    </w:p>
    <w:p w14:paraId="10BB4D7F" w14:textId="77777777" w:rsidR="00DF7E49" w:rsidRPr="00DF7E49" w:rsidRDefault="00DF7E49" w:rsidP="00DF7E49">
      <w:pPr>
        <w:pStyle w:val="ListParagraph"/>
        <w:spacing w:line="276" w:lineRule="auto"/>
        <w:rPr>
          <w:b/>
          <w:bCs/>
          <w:lang w:val="en-GB"/>
        </w:rPr>
      </w:pPr>
      <w:r w:rsidRPr="00DF7E49">
        <w:rPr>
          <w:b/>
          <w:bCs/>
          <w:lang w:val="en-GB"/>
        </w:rPr>
        <w:t>Values-Based Management</w:t>
      </w:r>
    </w:p>
    <w:p w14:paraId="7C98B908" w14:textId="77777777" w:rsidR="00DF7E49" w:rsidRPr="00DF7E49" w:rsidRDefault="00DF7E49" w:rsidP="00DF7E49">
      <w:pPr>
        <w:pStyle w:val="ListParagraph"/>
        <w:spacing w:line="276" w:lineRule="auto"/>
        <w:rPr>
          <w:lang w:val="en-GB"/>
        </w:rPr>
      </w:pPr>
      <w:r w:rsidRPr="00DF7E49">
        <w:rPr>
          <w:lang w:val="en-GB"/>
        </w:rPr>
        <w:t>The management of Qutub Minar emphasizes preserving the site's historical, architectural, archaeological, and cultural values. Conservation efforts focus on maintaining the authenticity and integrity of the minaret and surrounding monuments. Visitor regulations, structural monitoring, restoration projects, and archaeological research are all designed to protect the heritage values that justify its World Heritage status. The site's significance is assessed through multiple dimensions, including historical importance, artistic achievement, and cultural identity.</w:t>
      </w:r>
    </w:p>
    <w:p w14:paraId="09FF5515" w14:textId="77777777" w:rsidR="00DF7E49" w:rsidRPr="00DF7E49" w:rsidRDefault="00DF7E49" w:rsidP="00DF7E49">
      <w:pPr>
        <w:pStyle w:val="ListParagraph"/>
        <w:spacing w:line="276" w:lineRule="auto"/>
        <w:rPr>
          <w:b/>
          <w:bCs/>
          <w:lang w:val="en-GB"/>
        </w:rPr>
      </w:pPr>
      <w:r w:rsidRPr="00DF7E49">
        <w:rPr>
          <w:b/>
          <w:bCs/>
          <w:lang w:val="en-GB"/>
        </w:rPr>
        <w:t>Expert-</w:t>
      </w:r>
      <w:proofErr w:type="spellStart"/>
      <w:r w:rsidRPr="00DF7E49">
        <w:rPr>
          <w:b/>
          <w:bCs/>
          <w:lang w:val="en-GB"/>
        </w:rPr>
        <w:t>Centered</w:t>
      </w:r>
      <w:proofErr w:type="spellEnd"/>
      <w:r w:rsidRPr="00DF7E49">
        <w:rPr>
          <w:b/>
          <w:bCs/>
          <w:lang w:val="en-GB"/>
        </w:rPr>
        <w:t xml:space="preserve"> Features</w:t>
      </w:r>
    </w:p>
    <w:p w14:paraId="236FACC5" w14:textId="77777777" w:rsidR="00DF7E49" w:rsidRPr="00DF7E49" w:rsidRDefault="00DF7E49" w:rsidP="00DF7E49">
      <w:pPr>
        <w:pStyle w:val="ListParagraph"/>
        <w:spacing w:line="276" w:lineRule="auto"/>
        <w:rPr>
          <w:lang w:val="en-GB"/>
        </w:rPr>
      </w:pPr>
      <w:r w:rsidRPr="00DF7E49">
        <w:rPr>
          <w:lang w:val="en-GB"/>
        </w:rPr>
        <w:t>Qutub Minar also demonstrates strong expert-</w:t>
      </w:r>
      <w:proofErr w:type="spellStart"/>
      <w:r w:rsidRPr="00DF7E49">
        <w:rPr>
          <w:lang w:val="en-GB"/>
        </w:rPr>
        <w:t>centered</w:t>
      </w:r>
      <w:proofErr w:type="spellEnd"/>
      <w:r w:rsidRPr="00DF7E49">
        <w:rPr>
          <w:lang w:val="en-GB"/>
        </w:rPr>
        <w:t xml:space="preserve"> characteristics. Conservation planning and restoration decisions are primarily undertaken by heritage professionals within the </w:t>
      </w:r>
      <w:r w:rsidRPr="00DF7E49">
        <w:rPr>
          <w:b/>
          <w:bCs/>
          <w:lang w:val="en-GB"/>
        </w:rPr>
        <w:t>Archaeological Survey of India</w:t>
      </w:r>
      <w:r w:rsidRPr="00DF7E49">
        <w:rPr>
          <w:lang w:val="en-GB"/>
        </w:rPr>
        <w:t>. Archaeologists, architects, engineers, and conservation scientists conduct technical assessments and determine appropriate interventions. Scientific expertise and legal frameworks largely guide management decisions, leaving limited direct influence for local communities in technical conservation matters.</w:t>
      </w:r>
    </w:p>
    <w:p w14:paraId="0E43C681" w14:textId="77777777" w:rsidR="00DF7E49" w:rsidRPr="00DF7E49" w:rsidRDefault="00DF7E49" w:rsidP="00DF7E49">
      <w:pPr>
        <w:pStyle w:val="ListParagraph"/>
        <w:spacing w:line="276" w:lineRule="auto"/>
        <w:rPr>
          <w:b/>
          <w:bCs/>
          <w:lang w:val="en-GB"/>
        </w:rPr>
      </w:pPr>
      <w:r w:rsidRPr="00DF7E49">
        <w:rPr>
          <w:b/>
          <w:bCs/>
          <w:lang w:val="en-GB"/>
        </w:rPr>
        <w:t>People-</w:t>
      </w:r>
      <w:proofErr w:type="spellStart"/>
      <w:r w:rsidRPr="00DF7E49">
        <w:rPr>
          <w:b/>
          <w:bCs/>
          <w:lang w:val="en-GB"/>
        </w:rPr>
        <w:t>Centered</w:t>
      </w:r>
      <w:proofErr w:type="spellEnd"/>
      <w:r w:rsidRPr="00DF7E49">
        <w:rPr>
          <w:b/>
          <w:bCs/>
          <w:lang w:val="en-GB"/>
        </w:rPr>
        <w:t xml:space="preserve"> Elements</w:t>
      </w:r>
    </w:p>
    <w:p w14:paraId="5922FA89" w14:textId="77777777" w:rsidR="00DF7E49" w:rsidRPr="00DF7E49" w:rsidRDefault="00DF7E49" w:rsidP="00DF7E49">
      <w:pPr>
        <w:pStyle w:val="ListParagraph"/>
        <w:spacing w:line="276" w:lineRule="auto"/>
        <w:rPr>
          <w:lang w:val="en-GB"/>
        </w:rPr>
      </w:pPr>
      <w:r w:rsidRPr="00DF7E49">
        <w:rPr>
          <w:lang w:val="en-GB"/>
        </w:rPr>
        <w:t>People-</w:t>
      </w:r>
      <w:proofErr w:type="spellStart"/>
      <w:r w:rsidRPr="00DF7E49">
        <w:rPr>
          <w:lang w:val="en-GB"/>
        </w:rPr>
        <w:t>centered</w:t>
      </w:r>
      <w:proofErr w:type="spellEnd"/>
      <w:r w:rsidRPr="00DF7E49">
        <w:rPr>
          <w:lang w:val="en-GB"/>
        </w:rPr>
        <w:t xml:space="preserve"> elements are visible through educational programs, tourism opportunities, and public interpretation initiatives. </w:t>
      </w:r>
      <w:proofErr w:type="gramStart"/>
      <w:r w:rsidRPr="00DF7E49">
        <w:rPr>
          <w:lang w:val="en-GB"/>
        </w:rPr>
        <w:t>Local residents</w:t>
      </w:r>
      <w:proofErr w:type="gramEnd"/>
      <w:r w:rsidRPr="00DF7E49">
        <w:rPr>
          <w:lang w:val="en-GB"/>
        </w:rPr>
        <w:t>, guides, vendors, and tourism-related businesses benefit economically from the site's popularity. Visitor facilities and heritage awareness activities also help strengthen public appreciation of cultural heritage. However, local communities generally participate more as beneficiaries than as active decision-makers in site governance.</w:t>
      </w:r>
    </w:p>
    <w:p w14:paraId="2DF23209" w14:textId="77777777" w:rsidR="00DF7E49" w:rsidRPr="00DF7E49" w:rsidRDefault="00DF7E49" w:rsidP="00DF7E49">
      <w:pPr>
        <w:pStyle w:val="ListParagraph"/>
        <w:spacing w:line="276" w:lineRule="auto"/>
        <w:rPr>
          <w:b/>
          <w:bCs/>
          <w:lang w:val="en-GB"/>
        </w:rPr>
      </w:pPr>
      <w:r w:rsidRPr="00DF7E49">
        <w:rPr>
          <w:b/>
          <w:bCs/>
          <w:lang w:val="en-GB"/>
        </w:rPr>
        <w:t>Overall Assessment</w:t>
      </w:r>
    </w:p>
    <w:p w14:paraId="3F765C0F" w14:textId="77777777" w:rsidR="00DF7E49" w:rsidRPr="00DF7E49" w:rsidRDefault="00DF7E49" w:rsidP="00DF7E49">
      <w:pPr>
        <w:pStyle w:val="ListParagraph"/>
        <w:spacing w:line="276" w:lineRule="auto"/>
        <w:rPr>
          <w:lang w:val="en-GB"/>
        </w:rPr>
      </w:pPr>
      <w:r w:rsidRPr="00DF7E49">
        <w:rPr>
          <w:lang w:val="en-GB"/>
        </w:rPr>
        <w:t xml:space="preserve">Overall, Qutub Minar is best categorized as a </w:t>
      </w:r>
      <w:r w:rsidRPr="00DF7E49">
        <w:rPr>
          <w:b/>
          <w:bCs/>
          <w:lang w:val="en-GB"/>
        </w:rPr>
        <w:t>values-based heritage management model with strong expert-</w:t>
      </w:r>
      <w:proofErr w:type="spellStart"/>
      <w:r w:rsidRPr="00DF7E49">
        <w:rPr>
          <w:b/>
          <w:bCs/>
          <w:lang w:val="en-GB"/>
        </w:rPr>
        <w:t>centered</w:t>
      </w:r>
      <w:proofErr w:type="spellEnd"/>
      <w:r w:rsidRPr="00DF7E49">
        <w:rPr>
          <w:b/>
          <w:bCs/>
          <w:lang w:val="en-GB"/>
        </w:rPr>
        <w:t xml:space="preserve"> influences</w:t>
      </w:r>
      <w:r w:rsidRPr="00DF7E49">
        <w:rPr>
          <w:lang w:val="en-GB"/>
        </w:rPr>
        <w:t>. Conservation priorities focus on preserving the site's outstanding cultural significance, while people-</w:t>
      </w:r>
      <w:proofErr w:type="spellStart"/>
      <w:r w:rsidRPr="00DF7E49">
        <w:rPr>
          <w:lang w:val="en-GB"/>
        </w:rPr>
        <w:t>centered</w:t>
      </w:r>
      <w:proofErr w:type="spellEnd"/>
      <w:r w:rsidRPr="00DF7E49">
        <w:rPr>
          <w:lang w:val="en-GB"/>
        </w:rPr>
        <w:t xml:space="preserve"> initiatives primarily support education, tourism, and public engagement rather than </w:t>
      </w:r>
      <w:r w:rsidRPr="00DF7E49">
        <w:rPr>
          <w:lang w:val="en-GB"/>
        </w:rPr>
        <w:lastRenderedPageBreak/>
        <w:t>shared governance. The site illustrates how heritage management increasingly seeks to balance expert knowledge, cultural values, and community benefits.</w:t>
      </w:r>
    </w:p>
    <w:p w14:paraId="3AB68EA8" w14:textId="44556093" w:rsidR="00DF7E49" w:rsidRPr="00DF7E49" w:rsidRDefault="00DF7E49" w:rsidP="00DF7E49">
      <w:pPr>
        <w:pStyle w:val="ListParagraph"/>
        <w:spacing w:line="276" w:lineRule="auto"/>
        <w:rPr>
          <w:lang w:val="en-GB"/>
        </w:rPr>
      </w:pPr>
    </w:p>
    <w:p w14:paraId="088B8965" w14:textId="77777777" w:rsidR="00DF7E49" w:rsidRPr="00DF7E49" w:rsidRDefault="00DF7E49" w:rsidP="00DF7E49">
      <w:pPr>
        <w:pStyle w:val="ListParagraph"/>
        <w:spacing w:line="276" w:lineRule="auto"/>
        <w:rPr>
          <w:b/>
          <w:bCs/>
          <w:lang w:val="en-GB"/>
        </w:rPr>
      </w:pPr>
      <w:r w:rsidRPr="00DF7E49">
        <w:rPr>
          <w:b/>
          <w:bCs/>
          <w:lang w:val="en-GB"/>
        </w:rPr>
        <w:t>References</w:t>
      </w:r>
    </w:p>
    <w:p w14:paraId="6C228A4E" w14:textId="77777777" w:rsidR="00DF7E49" w:rsidRPr="00DF7E49" w:rsidRDefault="00DF7E49" w:rsidP="00DF7E49">
      <w:pPr>
        <w:pStyle w:val="ListParagraph"/>
        <w:spacing w:line="276" w:lineRule="auto"/>
        <w:rPr>
          <w:lang w:val="en-GB"/>
        </w:rPr>
      </w:pPr>
      <w:proofErr w:type="spellStart"/>
      <w:r w:rsidRPr="00DF7E49">
        <w:rPr>
          <w:lang w:val="en-GB"/>
        </w:rPr>
        <w:t>Avrami</w:t>
      </w:r>
      <w:proofErr w:type="spellEnd"/>
      <w:r w:rsidRPr="00DF7E49">
        <w:rPr>
          <w:lang w:val="en-GB"/>
        </w:rPr>
        <w:t xml:space="preserve">, E., Mason, R., &amp; de la Torre, M. (2000). </w:t>
      </w:r>
      <w:r w:rsidRPr="00DF7E49">
        <w:rPr>
          <w:i/>
          <w:iCs/>
          <w:lang w:val="en-GB"/>
        </w:rPr>
        <w:t>Values and Heritage Conservation</w:t>
      </w:r>
      <w:r w:rsidRPr="00DF7E49">
        <w:rPr>
          <w:lang w:val="en-GB"/>
        </w:rPr>
        <w:t>. Los Angeles: Getty Conservation Institute. Google Scholar.</w:t>
      </w:r>
    </w:p>
    <w:p w14:paraId="0420CF65" w14:textId="77777777" w:rsidR="00DF7E49" w:rsidRPr="00DF7E49" w:rsidRDefault="00DF7E49" w:rsidP="00DF7E49">
      <w:pPr>
        <w:pStyle w:val="ListParagraph"/>
        <w:spacing w:line="276" w:lineRule="auto"/>
        <w:rPr>
          <w:lang w:val="en-GB"/>
        </w:rPr>
      </w:pPr>
      <w:r w:rsidRPr="00DF7E49">
        <w:rPr>
          <w:lang w:val="en-GB"/>
        </w:rPr>
        <w:t xml:space="preserve">Smith, L. (2006). </w:t>
      </w:r>
      <w:r w:rsidRPr="00DF7E49">
        <w:rPr>
          <w:i/>
          <w:iCs/>
          <w:lang w:val="en-GB"/>
        </w:rPr>
        <w:t>Uses of Heritage</w:t>
      </w:r>
      <w:r w:rsidRPr="00DF7E49">
        <w:rPr>
          <w:lang w:val="en-GB"/>
        </w:rPr>
        <w:t xml:space="preserve">. Routledge. DOI: </w:t>
      </w:r>
      <w:r w:rsidRPr="00DF7E49">
        <w:rPr>
          <w:b/>
          <w:bCs/>
          <w:lang w:val="en-GB"/>
        </w:rPr>
        <w:t>10.4324/9780203602263</w:t>
      </w:r>
    </w:p>
    <w:p w14:paraId="79C10F4F" w14:textId="77777777" w:rsidR="00DF7E49" w:rsidRPr="00DF7E49" w:rsidRDefault="00DF7E49" w:rsidP="00DF7E49">
      <w:pPr>
        <w:pStyle w:val="ListParagraph"/>
        <w:spacing w:line="276" w:lineRule="auto"/>
        <w:rPr>
          <w:lang w:val="en-GB"/>
        </w:rPr>
      </w:pPr>
      <w:r w:rsidRPr="00DF7E49">
        <w:rPr>
          <w:lang w:val="en-GB"/>
        </w:rPr>
        <w:t xml:space="preserve">Poulios, I. (2014). “Discussing Strategy in Heritage Conservation: Living Heritage Approach as an Example of Strategic Innovation.” </w:t>
      </w:r>
      <w:r w:rsidRPr="00DF7E49">
        <w:rPr>
          <w:i/>
          <w:iCs/>
          <w:lang w:val="en-GB"/>
        </w:rPr>
        <w:t>Journal of Cultural Heritage Management and Sustainable Development</w:t>
      </w:r>
      <w:r w:rsidRPr="00DF7E49">
        <w:rPr>
          <w:lang w:val="en-GB"/>
        </w:rPr>
        <w:t xml:space="preserve">, 4(1), 16–34. DOI: </w:t>
      </w:r>
      <w:r w:rsidRPr="00DF7E49">
        <w:rPr>
          <w:b/>
          <w:bCs/>
          <w:lang w:val="en-GB"/>
        </w:rPr>
        <w:t>10.1108/JCHMSD-10-2012-0058</w:t>
      </w:r>
    </w:p>
    <w:p w14:paraId="7E753DAF" w14:textId="77777777" w:rsidR="00DF7E49" w:rsidRPr="00DF7E49" w:rsidRDefault="00DF7E49" w:rsidP="00DF7E49">
      <w:pPr>
        <w:pStyle w:val="ListParagraph"/>
        <w:spacing w:line="276" w:lineRule="auto"/>
        <w:rPr>
          <w:lang w:val="en-GB"/>
        </w:rPr>
      </w:pPr>
      <w:proofErr w:type="spellStart"/>
      <w:r w:rsidRPr="00DF7E49">
        <w:rPr>
          <w:lang w:val="en-GB"/>
        </w:rPr>
        <w:t>Chirikure</w:t>
      </w:r>
      <w:proofErr w:type="spellEnd"/>
      <w:r w:rsidRPr="00DF7E49">
        <w:rPr>
          <w:lang w:val="en-GB"/>
        </w:rPr>
        <w:t xml:space="preserve">, S., Manyanga, M., Ndoro, W., &amp; </w:t>
      </w:r>
      <w:proofErr w:type="spellStart"/>
      <w:r w:rsidRPr="00DF7E49">
        <w:rPr>
          <w:lang w:val="en-GB"/>
        </w:rPr>
        <w:t>Pwiti</w:t>
      </w:r>
      <w:proofErr w:type="spellEnd"/>
      <w:r w:rsidRPr="00DF7E49">
        <w:rPr>
          <w:lang w:val="en-GB"/>
        </w:rPr>
        <w:t xml:space="preserve">, G. (2010). “Unfulfilled Promises? Heritage Management and Community Participation in Sub-Saharan Africa.” </w:t>
      </w:r>
      <w:r w:rsidRPr="00DF7E49">
        <w:rPr>
          <w:i/>
          <w:iCs/>
          <w:lang w:val="en-GB"/>
        </w:rPr>
        <w:t>Current Anthropology</w:t>
      </w:r>
      <w:r w:rsidRPr="00DF7E49">
        <w:rPr>
          <w:lang w:val="en-GB"/>
        </w:rPr>
        <w:t xml:space="preserve">, 51(3), 467–485. DOI: </w:t>
      </w:r>
      <w:r w:rsidRPr="00DF7E49">
        <w:rPr>
          <w:b/>
          <w:bCs/>
          <w:lang w:val="en-GB"/>
        </w:rPr>
        <w:t>10.1086/653837</w:t>
      </w:r>
    </w:p>
    <w:p w14:paraId="72CC69AB" w14:textId="77777777" w:rsidR="00DF7E49" w:rsidRPr="00DF7E49" w:rsidRDefault="00DF7E49" w:rsidP="00DF7E49">
      <w:pPr>
        <w:pStyle w:val="ListParagraph"/>
        <w:spacing w:line="276" w:lineRule="auto"/>
        <w:rPr>
          <w:lang w:val="en-GB"/>
        </w:rPr>
      </w:pPr>
      <w:proofErr w:type="spellStart"/>
      <w:r w:rsidRPr="00DF7E49">
        <w:rPr>
          <w:lang w:val="en-GB"/>
        </w:rPr>
        <w:t>Bandarin</w:t>
      </w:r>
      <w:proofErr w:type="spellEnd"/>
      <w:r w:rsidRPr="00DF7E49">
        <w:rPr>
          <w:lang w:val="en-GB"/>
        </w:rPr>
        <w:t xml:space="preserve">, F., &amp; van </w:t>
      </w:r>
      <w:proofErr w:type="spellStart"/>
      <w:r w:rsidRPr="00DF7E49">
        <w:rPr>
          <w:lang w:val="en-GB"/>
        </w:rPr>
        <w:t>Oers</w:t>
      </w:r>
      <w:proofErr w:type="spellEnd"/>
      <w:r w:rsidRPr="00DF7E49">
        <w:rPr>
          <w:lang w:val="en-GB"/>
        </w:rPr>
        <w:t xml:space="preserve">, R. (2012). </w:t>
      </w:r>
      <w:r w:rsidRPr="00DF7E49">
        <w:rPr>
          <w:i/>
          <w:iCs/>
          <w:lang w:val="en-GB"/>
        </w:rPr>
        <w:t>The Historic Urban Landscape: Managing Heritage in an Urban Century</w:t>
      </w:r>
      <w:r w:rsidRPr="00DF7E49">
        <w:rPr>
          <w:lang w:val="en-GB"/>
        </w:rPr>
        <w:t xml:space="preserve">. Wiley-Blackwell. DOI: </w:t>
      </w:r>
      <w:r w:rsidRPr="00DF7E49">
        <w:rPr>
          <w:b/>
          <w:bCs/>
          <w:lang w:val="en-GB"/>
        </w:rPr>
        <w:t>10.1002/9781119968115</w:t>
      </w:r>
    </w:p>
    <w:p w14:paraId="26FEB225" w14:textId="77777777" w:rsidR="00DF7E49" w:rsidRPr="00DF7E49" w:rsidRDefault="00DF7E49" w:rsidP="00DF7E49">
      <w:pPr>
        <w:pStyle w:val="ListParagraph"/>
        <w:spacing w:line="276" w:lineRule="auto"/>
        <w:rPr>
          <w:lang w:val="en-GB"/>
        </w:rPr>
      </w:pPr>
      <w:r w:rsidRPr="00DF7E49">
        <w:rPr>
          <w:lang w:val="en-GB"/>
        </w:rPr>
        <w:t xml:space="preserve">Wijesuriya, G., Thompson, J., &amp; Young, C. (2013). </w:t>
      </w:r>
      <w:r w:rsidRPr="00DF7E49">
        <w:rPr>
          <w:i/>
          <w:iCs/>
          <w:lang w:val="en-GB"/>
        </w:rPr>
        <w:t>Managing Cultural World Heritage</w:t>
      </w:r>
      <w:r w:rsidRPr="00DF7E49">
        <w:rPr>
          <w:lang w:val="en-GB"/>
        </w:rPr>
        <w:t>. UNESCO World Heritage Centre. Google Scholar.</w:t>
      </w:r>
    </w:p>
    <w:p w14:paraId="1404F402" w14:textId="77777777" w:rsidR="00DF7E49" w:rsidRPr="00DF7E49" w:rsidRDefault="00DF7E49" w:rsidP="00DF7E49">
      <w:pPr>
        <w:pStyle w:val="ListParagraph"/>
        <w:spacing w:line="276" w:lineRule="auto"/>
        <w:rPr>
          <w:lang w:val="en-GB"/>
        </w:rPr>
      </w:pPr>
      <w:r w:rsidRPr="00DF7E49">
        <w:rPr>
          <w:lang w:val="en-GB"/>
        </w:rPr>
        <w:t xml:space="preserve">Logan, W., Nic Craith, M., &amp; </w:t>
      </w:r>
      <w:proofErr w:type="spellStart"/>
      <w:r w:rsidRPr="00DF7E49">
        <w:rPr>
          <w:lang w:val="en-GB"/>
        </w:rPr>
        <w:t>Kockel</w:t>
      </w:r>
      <w:proofErr w:type="spellEnd"/>
      <w:r w:rsidRPr="00DF7E49">
        <w:rPr>
          <w:lang w:val="en-GB"/>
        </w:rPr>
        <w:t xml:space="preserve">, U. (2015). </w:t>
      </w:r>
      <w:r w:rsidRPr="00DF7E49">
        <w:rPr>
          <w:i/>
          <w:iCs/>
          <w:lang w:val="en-GB"/>
        </w:rPr>
        <w:t>A Companion to Heritage Studies</w:t>
      </w:r>
      <w:r w:rsidRPr="00DF7E49">
        <w:rPr>
          <w:lang w:val="en-GB"/>
        </w:rPr>
        <w:t xml:space="preserve">. Wiley Blackwell. DOI: </w:t>
      </w:r>
      <w:r w:rsidRPr="00DF7E49">
        <w:rPr>
          <w:b/>
          <w:bCs/>
          <w:lang w:val="en-GB"/>
        </w:rPr>
        <w:t>10.1002/9781118486634</w:t>
      </w:r>
    </w:p>
    <w:p w14:paraId="1D11BDE8" w14:textId="77777777" w:rsidR="00DF7E49" w:rsidRPr="00DF7E49" w:rsidRDefault="00DF7E49" w:rsidP="00DF7E49">
      <w:pPr>
        <w:pStyle w:val="ListParagraph"/>
        <w:spacing w:line="276" w:lineRule="auto"/>
        <w:rPr>
          <w:lang w:val="en-GB"/>
        </w:rPr>
      </w:pPr>
      <w:r w:rsidRPr="00DF7E49">
        <w:rPr>
          <w:lang w:val="en-GB"/>
        </w:rPr>
        <w:t xml:space="preserve">UNESCO. (2015). </w:t>
      </w:r>
      <w:r w:rsidRPr="00DF7E49">
        <w:rPr>
          <w:i/>
          <w:iCs/>
          <w:lang w:val="en-GB"/>
        </w:rPr>
        <w:t>Policy for the Integration of a Sustainable Development Perspective into the Processes of the World Heritage Convention</w:t>
      </w:r>
      <w:r w:rsidRPr="00DF7E49">
        <w:rPr>
          <w:lang w:val="en-GB"/>
        </w:rPr>
        <w:t>. Google Scholar.</w:t>
      </w:r>
    </w:p>
    <w:p w14:paraId="51771667" w14:textId="77777777" w:rsidR="00DF7E49" w:rsidRPr="00232559" w:rsidRDefault="00DF7E49" w:rsidP="00F61E85">
      <w:pPr>
        <w:pStyle w:val="ListParagraph"/>
        <w:spacing w:line="276" w:lineRule="auto"/>
        <w:ind w:left="0"/>
        <w:rPr>
          <w:lang w:val="en-US"/>
        </w:rPr>
      </w:pPr>
    </w:p>
    <w:sectPr w:rsidR="00DF7E49"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A564DE9-8D1C-4922-A07F-7E69E29DD696}"/>
    <w:embedBold r:id="rId2" w:fontKey="{3D587312-16EA-4160-8800-6B377D94F467}"/>
    <w:embedItalic r:id="rId3" w:fontKey="{966ADF26-230A-441A-ABFC-C32699E6FC0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533E99F-13E3-47E7-B416-FCA426C91B78}"/>
  </w:font>
  <w:font w:name="Calibri Light">
    <w:panose1 w:val="020F0302020204030204"/>
    <w:charset w:val="00"/>
    <w:family w:val="swiss"/>
    <w:pitch w:val="variable"/>
    <w:sig w:usb0="E4002EFF" w:usb1="C000247B" w:usb2="00000009" w:usb3="00000000" w:csb0="000001FF" w:csb1="00000000"/>
    <w:embedRegular r:id="rId5" w:fontKey="{2EE93F35-44FC-4533-A874-F381F3D933A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2"/>
  </w:num>
  <w:num w:numId="2" w16cid:durableId="1882092387">
    <w:abstractNumId w:val="16"/>
  </w:num>
  <w:num w:numId="3" w16cid:durableId="1544052912">
    <w:abstractNumId w:val="0"/>
  </w:num>
  <w:num w:numId="4" w16cid:durableId="746540664">
    <w:abstractNumId w:val="1"/>
  </w:num>
  <w:num w:numId="5" w16cid:durableId="1108088842">
    <w:abstractNumId w:val="4"/>
  </w:num>
  <w:num w:numId="6" w16cid:durableId="1713579031">
    <w:abstractNumId w:val="15"/>
  </w:num>
  <w:num w:numId="7" w16cid:durableId="612253008">
    <w:abstractNumId w:val="14"/>
  </w:num>
  <w:num w:numId="8" w16cid:durableId="314267375">
    <w:abstractNumId w:val="11"/>
  </w:num>
  <w:num w:numId="9" w16cid:durableId="327443921">
    <w:abstractNumId w:val="12"/>
  </w:num>
  <w:num w:numId="10" w16cid:durableId="1481845840">
    <w:abstractNumId w:val="8"/>
  </w:num>
  <w:num w:numId="11" w16cid:durableId="1209099905">
    <w:abstractNumId w:val="7"/>
  </w:num>
  <w:num w:numId="12" w16cid:durableId="350495173">
    <w:abstractNumId w:val="6"/>
  </w:num>
  <w:num w:numId="13" w16cid:durableId="133064909">
    <w:abstractNumId w:val="10"/>
  </w:num>
  <w:num w:numId="14" w16cid:durableId="121389507">
    <w:abstractNumId w:val="9"/>
  </w:num>
  <w:num w:numId="15" w16cid:durableId="544491566">
    <w:abstractNumId w:val="5"/>
  </w:num>
  <w:num w:numId="16" w16cid:durableId="1903364063">
    <w:abstractNumId w:val="13"/>
  </w:num>
  <w:num w:numId="17" w16cid:durableId="1279871215">
    <w:abstractNumId w:val="3"/>
  </w:num>
  <w:num w:numId="18" w16cid:durableId="3684597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26865"/>
    <w:rsid w:val="00477CAA"/>
    <w:rsid w:val="00502E29"/>
    <w:rsid w:val="005E1FD5"/>
    <w:rsid w:val="005E458B"/>
    <w:rsid w:val="00672345"/>
    <w:rsid w:val="00705037"/>
    <w:rsid w:val="00786BC0"/>
    <w:rsid w:val="007A44D2"/>
    <w:rsid w:val="007C7917"/>
    <w:rsid w:val="00844EC2"/>
    <w:rsid w:val="008516FE"/>
    <w:rsid w:val="00942251"/>
    <w:rsid w:val="009C1D0A"/>
    <w:rsid w:val="00A044F7"/>
    <w:rsid w:val="00A057BE"/>
    <w:rsid w:val="00A8150E"/>
    <w:rsid w:val="00B20343"/>
    <w:rsid w:val="00B37BB0"/>
    <w:rsid w:val="00B85EA7"/>
    <w:rsid w:val="00BE65DD"/>
    <w:rsid w:val="00C612A4"/>
    <w:rsid w:val="00C80777"/>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1111</Words>
  <Characters>6337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2026-06-23T07:31:00Z</dcterms:created>
  <dcterms:modified xsi:type="dcterms:W3CDTF">2026-06-23T07:31:00Z</dcterms:modified>
</cp:coreProperties>
</file>