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10A2" w:rsidRDefault="008B10A2" w:rsidP="00CC1C19">
      <w:pPr>
        <w:spacing w:after="2880"/>
      </w:pPr>
    </w:p>
    <w:p w:rsidR="008B10A2" w:rsidRDefault="000F69A3" w:rsidP="00CC1C19">
      <w:pPr>
        <w:spacing w:after="240"/>
        <w:jc w:val="center"/>
      </w:pPr>
      <w:r>
        <w:rPr>
          <w:b/>
          <w:bCs/>
          <w:sz w:val="28"/>
          <w:szCs w:val="28"/>
        </w:rPr>
        <w:t>ETHICAL DECISION-MAKING IN HEALTHCARE PRACTICE</w:t>
      </w:r>
    </w:p>
    <w:p w:rsidR="008B10A2" w:rsidRDefault="008B10A2" w:rsidP="00CC1C19">
      <w:pPr>
        <w:spacing w:after="480"/>
      </w:pPr>
    </w:p>
    <w:p w:rsidR="008B10A2" w:rsidRDefault="000F69A3" w:rsidP="00CC1C19">
      <w:pPr>
        <w:spacing w:after="240"/>
        <w:jc w:val="center"/>
      </w:pPr>
      <w:r>
        <w:t>M10 – Applied Ethics and Bioethics</w:t>
      </w:r>
    </w:p>
    <w:p w:rsidR="008B10A2" w:rsidRDefault="000F69A3" w:rsidP="00CC1C19">
      <w:pPr>
        <w:spacing w:after="240"/>
        <w:jc w:val="center"/>
      </w:pPr>
      <w:r>
        <w:t>Option 1: Ethical Decision-Making in Healthcare Practice</w:t>
      </w:r>
    </w:p>
    <w:p w:rsidR="008B10A2" w:rsidRDefault="008B10A2" w:rsidP="00CC1C19">
      <w:pPr>
        <w:spacing w:after="1440"/>
      </w:pPr>
    </w:p>
    <w:p w:rsidR="008B10A2" w:rsidRDefault="000F69A3" w:rsidP="00CC1C19">
      <w:pPr>
        <w:spacing w:after="240"/>
        <w:jc w:val="center"/>
      </w:pPr>
      <w:r>
        <w:t>Submitted in Partial Fulfillment of the Requirements</w:t>
      </w:r>
    </w:p>
    <w:p w:rsidR="008B10A2" w:rsidRDefault="000F69A3" w:rsidP="00CC1C19">
      <w:pPr>
        <w:spacing w:after="240"/>
        <w:jc w:val="center"/>
      </w:pPr>
      <w:proofErr w:type="gramStart"/>
      <w:r>
        <w:t>for</w:t>
      </w:r>
      <w:proofErr w:type="gramEnd"/>
      <w:r>
        <w:t xml:space="preserve"> the Module in Applied Ethics and Bioethics</w:t>
      </w:r>
    </w:p>
    <w:p w:rsidR="008B10A2" w:rsidRDefault="008B10A2" w:rsidP="00CC1C19">
      <w:pPr>
        <w:spacing w:after="1440"/>
      </w:pPr>
    </w:p>
    <w:p w:rsidR="008B10A2" w:rsidRDefault="000F69A3" w:rsidP="00CC1C19">
      <w:pPr>
        <w:spacing w:after="240"/>
        <w:jc w:val="center"/>
      </w:pPr>
      <w:r>
        <w:t>Submission Date: 24th May 2026</w:t>
      </w:r>
    </w:p>
    <w:p w:rsidR="008B10A2" w:rsidRDefault="008B10A2" w:rsidP="00CC1C19">
      <w:pPr>
        <w:sectPr w:rsidR="008B10A2">
          <w:pgSz w:w="12240" w:h="15840"/>
          <w:pgMar w:top="1440" w:right="1440" w:bottom="1440" w:left="1440" w:header="708" w:footer="708" w:gutter="0"/>
          <w:cols w:space="720"/>
          <w:docGrid w:linePitch="360"/>
        </w:sectPr>
      </w:pPr>
    </w:p>
    <w:sdt>
      <w:sdtPr>
        <w:rPr>
          <w:rFonts w:ascii="Times New Roman" w:eastAsia="Times New Roman" w:hAnsi="Times New Roman" w:cs="Times New Roman"/>
          <w:color w:val="auto"/>
          <w:sz w:val="24"/>
          <w:szCs w:val="24"/>
        </w:rPr>
        <w:id w:val="-152292292"/>
        <w:docPartObj>
          <w:docPartGallery w:val="Table of Contents"/>
          <w:docPartUnique/>
        </w:docPartObj>
      </w:sdtPr>
      <w:sdtEndPr>
        <w:rPr>
          <w:b/>
          <w:bCs/>
          <w:noProof/>
        </w:rPr>
      </w:sdtEndPr>
      <w:sdtContent>
        <w:p w:rsidR="00CC1C19" w:rsidRPr="00CC1C19" w:rsidRDefault="00CC1C19" w:rsidP="00CC1C19">
          <w:pPr>
            <w:pStyle w:val="TOCHeading"/>
            <w:spacing w:line="480" w:lineRule="auto"/>
            <w:rPr>
              <w:rFonts w:ascii="Arial" w:hAnsi="Arial" w:cs="Arial"/>
              <w:b/>
              <w:color w:val="auto"/>
            </w:rPr>
          </w:pPr>
          <w:r w:rsidRPr="00CC1C19">
            <w:rPr>
              <w:rFonts w:ascii="Arial" w:hAnsi="Arial" w:cs="Arial"/>
              <w:b/>
              <w:color w:val="auto"/>
            </w:rPr>
            <w:t>Table of Content</w:t>
          </w:r>
          <w:bookmarkStart w:id="0" w:name="_GoBack"/>
          <w:bookmarkEnd w:id="0"/>
          <w:r w:rsidRPr="00CC1C19">
            <w:rPr>
              <w:rFonts w:ascii="Arial" w:hAnsi="Arial" w:cs="Arial"/>
              <w:b/>
              <w:color w:val="auto"/>
            </w:rPr>
            <w:t>s</w:t>
          </w:r>
        </w:p>
        <w:p w:rsidR="000F0830" w:rsidRDefault="00CC1C19">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30190315" w:history="1">
            <w:r w:rsidR="000F0830" w:rsidRPr="007A0020">
              <w:rPr>
                <w:rStyle w:val="Hyperlink"/>
                <w:noProof/>
              </w:rPr>
              <w:t>Abstract</w:t>
            </w:r>
            <w:r w:rsidR="000F0830">
              <w:rPr>
                <w:noProof/>
                <w:webHidden/>
              </w:rPr>
              <w:tab/>
            </w:r>
            <w:r w:rsidR="000F0830">
              <w:rPr>
                <w:noProof/>
                <w:webHidden/>
              </w:rPr>
              <w:fldChar w:fldCharType="begin"/>
            </w:r>
            <w:r w:rsidR="000F0830">
              <w:rPr>
                <w:noProof/>
                <w:webHidden/>
              </w:rPr>
              <w:instrText xml:space="preserve"> PAGEREF _Toc230190315 \h </w:instrText>
            </w:r>
            <w:r w:rsidR="000F0830">
              <w:rPr>
                <w:noProof/>
                <w:webHidden/>
              </w:rPr>
            </w:r>
            <w:r w:rsidR="000F0830">
              <w:rPr>
                <w:noProof/>
                <w:webHidden/>
              </w:rPr>
              <w:fldChar w:fldCharType="separate"/>
            </w:r>
            <w:r w:rsidR="000F0830">
              <w:rPr>
                <w:noProof/>
                <w:webHidden/>
              </w:rPr>
              <w:t>4</w:t>
            </w:r>
            <w:r w:rsidR="000F0830">
              <w:rPr>
                <w:noProof/>
                <w:webHidden/>
              </w:rPr>
              <w:fldChar w:fldCharType="end"/>
            </w:r>
          </w:hyperlink>
        </w:p>
        <w:p w:rsidR="000F0830" w:rsidRDefault="000F0830">
          <w:pPr>
            <w:pStyle w:val="TOC1"/>
            <w:tabs>
              <w:tab w:val="right" w:leader="dot" w:pos="9350"/>
            </w:tabs>
            <w:rPr>
              <w:rFonts w:asciiTheme="minorHAnsi" w:eastAsiaTheme="minorEastAsia" w:hAnsiTheme="minorHAnsi" w:cstheme="minorBidi"/>
              <w:noProof/>
              <w:sz w:val="22"/>
              <w:szCs w:val="22"/>
            </w:rPr>
          </w:pPr>
          <w:hyperlink w:anchor="_Toc230190316" w:history="1">
            <w:r w:rsidRPr="007A0020">
              <w:rPr>
                <w:rStyle w:val="Hyperlink"/>
                <w:noProof/>
              </w:rPr>
              <w:t>1. Introduction</w:t>
            </w:r>
            <w:r>
              <w:rPr>
                <w:noProof/>
                <w:webHidden/>
              </w:rPr>
              <w:tab/>
            </w:r>
            <w:r>
              <w:rPr>
                <w:noProof/>
                <w:webHidden/>
              </w:rPr>
              <w:fldChar w:fldCharType="begin"/>
            </w:r>
            <w:r>
              <w:rPr>
                <w:noProof/>
                <w:webHidden/>
              </w:rPr>
              <w:instrText xml:space="preserve"> PAGEREF _Toc230190316 \h </w:instrText>
            </w:r>
            <w:r>
              <w:rPr>
                <w:noProof/>
                <w:webHidden/>
              </w:rPr>
            </w:r>
            <w:r>
              <w:rPr>
                <w:noProof/>
                <w:webHidden/>
              </w:rPr>
              <w:fldChar w:fldCharType="separate"/>
            </w:r>
            <w:r>
              <w:rPr>
                <w:noProof/>
                <w:webHidden/>
              </w:rPr>
              <w:t>5</w:t>
            </w:r>
            <w:r>
              <w:rPr>
                <w:noProof/>
                <w:webHidden/>
              </w:rPr>
              <w:fldChar w:fldCharType="end"/>
            </w:r>
          </w:hyperlink>
        </w:p>
        <w:p w:rsidR="000F0830" w:rsidRDefault="000F0830">
          <w:pPr>
            <w:pStyle w:val="TOC1"/>
            <w:tabs>
              <w:tab w:val="right" w:leader="dot" w:pos="9350"/>
            </w:tabs>
            <w:rPr>
              <w:rFonts w:asciiTheme="minorHAnsi" w:eastAsiaTheme="minorEastAsia" w:hAnsiTheme="minorHAnsi" w:cstheme="minorBidi"/>
              <w:noProof/>
              <w:sz w:val="22"/>
              <w:szCs w:val="22"/>
            </w:rPr>
          </w:pPr>
          <w:hyperlink w:anchor="_Toc230190317" w:history="1">
            <w:r w:rsidRPr="007A0020">
              <w:rPr>
                <w:rStyle w:val="Hyperlink"/>
                <w:noProof/>
              </w:rPr>
              <w:t>2. Literature Review</w:t>
            </w:r>
            <w:r>
              <w:rPr>
                <w:noProof/>
                <w:webHidden/>
              </w:rPr>
              <w:tab/>
            </w:r>
            <w:r>
              <w:rPr>
                <w:noProof/>
                <w:webHidden/>
              </w:rPr>
              <w:fldChar w:fldCharType="begin"/>
            </w:r>
            <w:r>
              <w:rPr>
                <w:noProof/>
                <w:webHidden/>
              </w:rPr>
              <w:instrText xml:space="preserve"> PAGEREF _Toc230190317 \h </w:instrText>
            </w:r>
            <w:r>
              <w:rPr>
                <w:noProof/>
                <w:webHidden/>
              </w:rPr>
            </w:r>
            <w:r>
              <w:rPr>
                <w:noProof/>
                <w:webHidden/>
              </w:rPr>
              <w:fldChar w:fldCharType="separate"/>
            </w:r>
            <w:r>
              <w:rPr>
                <w:noProof/>
                <w:webHidden/>
              </w:rPr>
              <w:t>6</w:t>
            </w:r>
            <w:r>
              <w:rPr>
                <w:noProof/>
                <w:webHidden/>
              </w:rPr>
              <w:fldChar w:fldCharType="end"/>
            </w:r>
          </w:hyperlink>
        </w:p>
        <w:p w:rsidR="000F0830" w:rsidRDefault="000F0830">
          <w:pPr>
            <w:pStyle w:val="TOC2"/>
            <w:tabs>
              <w:tab w:val="right" w:leader="dot" w:pos="9350"/>
            </w:tabs>
            <w:rPr>
              <w:rFonts w:asciiTheme="minorHAnsi" w:eastAsiaTheme="minorEastAsia" w:hAnsiTheme="minorHAnsi" w:cstheme="minorBidi"/>
              <w:noProof/>
              <w:sz w:val="22"/>
              <w:szCs w:val="22"/>
            </w:rPr>
          </w:pPr>
          <w:hyperlink w:anchor="_Toc230190318" w:history="1">
            <w:r w:rsidRPr="007A0020">
              <w:rPr>
                <w:rStyle w:val="Hyperlink"/>
                <w:noProof/>
              </w:rPr>
              <w:t>2.1 Foundational Ethical Frameworks</w:t>
            </w:r>
            <w:r>
              <w:rPr>
                <w:noProof/>
                <w:webHidden/>
              </w:rPr>
              <w:tab/>
            </w:r>
            <w:r>
              <w:rPr>
                <w:noProof/>
                <w:webHidden/>
              </w:rPr>
              <w:fldChar w:fldCharType="begin"/>
            </w:r>
            <w:r>
              <w:rPr>
                <w:noProof/>
                <w:webHidden/>
              </w:rPr>
              <w:instrText xml:space="preserve"> PAGEREF _Toc230190318 \h </w:instrText>
            </w:r>
            <w:r>
              <w:rPr>
                <w:noProof/>
                <w:webHidden/>
              </w:rPr>
            </w:r>
            <w:r>
              <w:rPr>
                <w:noProof/>
                <w:webHidden/>
              </w:rPr>
              <w:fldChar w:fldCharType="separate"/>
            </w:r>
            <w:r>
              <w:rPr>
                <w:noProof/>
                <w:webHidden/>
              </w:rPr>
              <w:t>6</w:t>
            </w:r>
            <w:r>
              <w:rPr>
                <w:noProof/>
                <w:webHidden/>
              </w:rPr>
              <w:fldChar w:fldCharType="end"/>
            </w:r>
          </w:hyperlink>
        </w:p>
        <w:p w:rsidR="000F0830" w:rsidRDefault="000F0830">
          <w:pPr>
            <w:pStyle w:val="TOC2"/>
            <w:tabs>
              <w:tab w:val="right" w:leader="dot" w:pos="9350"/>
            </w:tabs>
            <w:rPr>
              <w:rFonts w:asciiTheme="minorHAnsi" w:eastAsiaTheme="minorEastAsia" w:hAnsiTheme="minorHAnsi" w:cstheme="minorBidi"/>
              <w:noProof/>
              <w:sz w:val="22"/>
              <w:szCs w:val="22"/>
            </w:rPr>
          </w:pPr>
          <w:hyperlink w:anchor="_Toc230190319" w:history="1">
            <w:r w:rsidRPr="007A0020">
              <w:rPr>
                <w:rStyle w:val="Hyperlink"/>
                <w:noProof/>
              </w:rPr>
              <w:t>2.2 Informed Consent and Autonomy</w:t>
            </w:r>
            <w:r>
              <w:rPr>
                <w:noProof/>
                <w:webHidden/>
              </w:rPr>
              <w:tab/>
            </w:r>
            <w:r>
              <w:rPr>
                <w:noProof/>
                <w:webHidden/>
              </w:rPr>
              <w:fldChar w:fldCharType="begin"/>
            </w:r>
            <w:r>
              <w:rPr>
                <w:noProof/>
                <w:webHidden/>
              </w:rPr>
              <w:instrText xml:space="preserve"> PAGEREF _Toc230190319 \h </w:instrText>
            </w:r>
            <w:r>
              <w:rPr>
                <w:noProof/>
                <w:webHidden/>
              </w:rPr>
            </w:r>
            <w:r>
              <w:rPr>
                <w:noProof/>
                <w:webHidden/>
              </w:rPr>
              <w:fldChar w:fldCharType="separate"/>
            </w:r>
            <w:r>
              <w:rPr>
                <w:noProof/>
                <w:webHidden/>
              </w:rPr>
              <w:t>7</w:t>
            </w:r>
            <w:r>
              <w:rPr>
                <w:noProof/>
                <w:webHidden/>
              </w:rPr>
              <w:fldChar w:fldCharType="end"/>
            </w:r>
          </w:hyperlink>
        </w:p>
        <w:p w:rsidR="000F0830" w:rsidRDefault="000F0830">
          <w:pPr>
            <w:pStyle w:val="TOC2"/>
            <w:tabs>
              <w:tab w:val="right" w:leader="dot" w:pos="9350"/>
            </w:tabs>
            <w:rPr>
              <w:rFonts w:asciiTheme="minorHAnsi" w:eastAsiaTheme="minorEastAsia" w:hAnsiTheme="minorHAnsi" w:cstheme="minorBidi"/>
              <w:noProof/>
              <w:sz w:val="22"/>
              <w:szCs w:val="22"/>
            </w:rPr>
          </w:pPr>
          <w:hyperlink w:anchor="_Toc230190320" w:history="1">
            <w:r w:rsidRPr="007A0020">
              <w:rPr>
                <w:rStyle w:val="Hyperlink"/>
                <w:noProof/>
              </w:rPr>
              <w:t>2.3 Confidentiality and Professional Responsibility</w:t>
            </w:r>
            <w:r>
              <w:rPr>
                <w:noProof/>
                <w:webHidden/>
              </w:rPr>
              <w:tab/>
            </w:r>
            <w:r>
              <w:rPr>
                <w:noProof/>
                <w:webHidden/>
              </w:rPr>
              <w:fldChar w:fldCharType="begin"/>
            </w:r>
            <w:r>
              <w:rPr>
                <w:noProof/>
                <w:webHidden/>
              </w:rPr>
              <w:instrText xml:space="preserve"> PAGEREF _Toc230190320 \h </w:instrText>
            </w:r>
            <w:r>
              <w:rPr>
                <w:noProof/>
                <w:webHidden/>
              </w:rPr>
            </w:r>
            <w:r>
              <w:rPr>
                <w:noProof/>
                <w:webHidden/>
              </w:rPr>
              <w:fldChar w:fldCharType="separate"/>
            </w:r>
            <w:r>
              <w:rPr>
                <w:noProof/>
                <w:webHidden/>
              </w:rPr>
              <w:t>8</w:t>
            </w:r>
            <w:r>
              <w:rPr>
                <w:noProof/>
                <w:webHidden/>
              </w:rPr>
              <w:fldChar w:fldCharType="end"/>
            </w:r>
          </w:hyperlink>
        </w:p>
        <w:p w:rsidR="000F0830" w:rsidRDefault="000F0830">
          <w:pPr>
            <w:pStyle w:val="TOC2"/>
            <w:tabs>
              <w:tab w:val="right" w:leader="dot" w:pos="9350"/>
            </w:tabs>
            <w:rPr>
              <w:rFonts w:asciiTheme="minorHAnsi" w:eastAsiaTheme="minorEastAsia" w:hAnsiTheme="minorHAnsi" w:cstheme="minorBidi"/>
              <w:noProof/>
              <w:sz w:val="22"/>
              <w:szCs w:val="22"/>
            </w:rPr>
          </w:pPr>
          <w:hyperlink w:anchor="_Toc230190321" w:history="1">
            <w:r w:rsidRPr="007A0020">
              <w:rPr>
                <w:rStyle w:val="Hyperlink"/>
                <w:noProof/>
              </w:rPr>
              <w:t>2.4 Ethical Dilemmas in End-of-Life Care</w:t>
            </w:r>
            <w:r>
              <w:rPr>
                <w:noProof/>
                <w:webHidden/>
              </w:rPr>
              <w:tab/>
            </w:r>
            <w:r>
              <w:rPr>
                <w:noProof/>
                <w:webHidden/>
              </w:rPr>
              <w:fldChar w:fldCharType="begin"/>
            </w:r>
            <w:r>
              <w:rPr>
                <w:noProof/>
                <w:webHidden/>
              </w:rPr>
              <w:instrText xml:space="preserve"> PAGEREF _Toc230190321 \h </w:instrText>
            </w:r>
            <w:r>
              <w:rPr>
                <w:noProof/>
                <w:webHidden/>
              </w:rPr>
            </w:r>
            <w:r>
              <w:rPr>
                <w:noProof/>
                <w:webHidden/>
              </w:rPr>
              <w:fldChar w:fldCharType="separate"/>
            </w:r>
            <w:r>
              <w:rPr>
                <w:noProof/>
                <w:webHidden/>
              </w:rPr>
              <w:t>8</w:t>
            </w:r>
            <w:r>
              <w:rPr>
                <w:noProof/>
                <w:webHidden/>
              </w:rPr>
              <w:fldChar w:fldCharType="end"/>
            </w:r>
          </w:hyperlink>
        </w:p>
        <w:p w:rsidR="000F0830" w:rsidRDefault="000F0830">
          <w:pPr>
            <w:pStyle w:val="TOC1"/>
            <w:tabs>
              <w:tab w:val="right" w:leader="dot" w:pos="9350"/>
            </w:tabs>
            <w:rPr>
              <w:rFonts w:asciiTheme="minorHAnsi" w:eastAsiaTheme="minorEastAsia" w:hAnsiTheme="minorHAnsi" w:cstheme="minorBidi"/>
              <w:noProof/>
              <w:sz w:val="22"/>
              <w:szCs w:val="22"/>
            </w:rPr>
          </w:pPr>
          <w:hyperlink w:anchor="_Toc230190322" w:history="1">
            <w:r w:rsidRPr="007A0020">
              <w:rPr>
                <w:rStyle w:val="Hyperlink"/>
                <w:noProof/>
              </w:rPr>
              <w:t>3. Methodology</w:t>
            </w:r>
            <w:r>
              <w:rPr>
                <w:noProof/>
                <w:webHidden/>
              </w:rPr>
              <w:tab/>
            </w:r>
            <w:r>
              <w:rPr>
                <w:noProof/>
                <w:webHidden/>
              </w:rPr>
              <w:fldChar w:fldCharType="begin"/>
            </w:r>
            <w:r>
              <w:rPr>
                <w:noProof/>
                <w:webHidden/>
              </w:rPr>
              <w:instrText xml:space="preserve"> PAGEREF _Toc230190322 \h </w:instrText>
            </w:r>
            <w:r>
              <w:rPr>
                <w:noProof/>
                <w:webHidden/>
              </w:rPr>
            </w:r>
            <w:r>
              <w:rPr>
                <w:noProof/>
                <w:webHidden/>
              </w:rPr>
              <w:fldChar w:fldCharType="separate"/>
            </w:r>
            <w:r>
              <w:rPr>
                <w:noProof/>
                <w:webHidden/>
              </w:rPr>
              <w:t>10</w:t>
            </w:r>
            <w:r>
              <w:rPr>
                <w:noProof/>
                <w:webHidden/>
              </w:rPr>
              <w:fldChar w:fldCharType="end"/>
            </w:r>
          </w:hyperlink>
        </w:p>
        <w:p w:rsidR="000F0830" w:rsidRDefault="000F0830">
          <w:pPr>
            <w:pStyle w:val="TOC2"/>
            <w:tabs>
              <w:tab w:val="right" w:leader="dot" w:pos="9350"/>
            </w:tabs>
            <w:rPr>
              <w:rFonts w:asciiTheme="minorHAnsi" w:eastAsiaTheme="minorEastAsia" w:hAnsiTheme="minorHAnsi" w:cstheme="minorBidi"/>
              <w:noProof/>
              <w:sz w:val="22"/>
              <w:szCs w:val="22"/>
            </w:rPr>
          </w:pPr>
          <w:hyperlink w:anchor="_Toc230190323" w:history="1">
            <w:r w:rsidRPr="007A0020">
              <w:rPr>
                <w:rStyle w:val="Hyperlink"/>
                <w:noProof/>
              </w:rPr>
              <w:t>3.1 Search Strategy</w:t>
            </w:r>
            <w:r>
              <w:rPr>
                <w:noProof/>
                <w:webHidden/>
              </w:rPr>
              <w:tab/>
            </w:r>
            <w:r>
              <w:rPr>
                <w:noProof/>
                <w:webHidden/>
              </w:rPr>
              <w:fldChar w:fldCharType="begin"/>
            </w:r>
            <w:r>
              <w:rPr>
                <w:noProof/>
                <w:webHidden/>
              </w:rPr>
              <w:instrText xml:space="preserve"> PAGEREF _Toc230190323 \h </w:instrText>
            </w:r>
            <w:r>
              <w:rPr>
                <w:noProof/>
                <w:webHidden/>
              </w:rPr>
            </w:r>
            <w:r>
              <w:rPr>
                <w:noProof/>
                <w:webHidden/>
              </w:rPr>
              <w:fldChar w:fldCharType="separate"/>
            </w:r>
            <w:r>
              <w:rPr>
                <w:noProof/>
                <w:webHidden/>
              </w:rPr>
              <w:t>10</w:t>
            </w:r>
            <w:r>
              <w:rPr>
                <w:noProof/>
                <w:webHidden/>
              </w:rPr>
              <w:fldChar w:fldCharType="end"/>
            </w:r>
          </w:hyperlink>
        </w:p>
        <w:p w:rsidR="000F0830" w:rsidRDefault="000F0830">
          <w:pPr>
            <w:pStyle w:val="TOC2"/>
            <w:tabs>
              <w:tab w:val="right" w:leader="dot" w:pos="9350"/>
            </w:tabs>
            <w:rPr>
              <w:rFonts w:asciiTheme="minorHAnsi" w:eastAsiaTheme="minorEastAsia" w:hAnsiTheme="minorHAnsi" w:cstheme="minorBidi"/>
              <w:noProof/>
              <w:sz w:val="22"/>
              <w:szCs w:val="22"/>
            </w:rPr>
          </w:pPr>
          <w:hyperlink w:anchor="_Toc230190324" w:history="1">
            <w:r w:rsidRPr="007A0020">
              <w:rPr>
                <w:rStyle w:val="Hyperlink"/>
                <w:noProof/>
              </w:rPr>
              <w:t>3.2 Inclusion and Exclusion Criteria</w:t>
            </w:r>
            <w:r>
              <w:rPr>
                <w:noProof/>
                <w:webHidden/>
              </w:rPr>
              <w:tab/>
            </w:r>
            <w:r>
              <w:rPr>
                <w:noProof/>
                <w:webHidden/>
              </w:rPr>
              <w:fldChar w:fldCharType="begin"/>
            </w:r>
            <w:r>
              <w:rPr>
                <w:noProof/>
                <w:webHidden/>
              </w:rPr>
              <w:instrText xml:space="preserve"> PAGEREF _Toc230190324 \h </w:instrText>
            </w:r>
            <w:r>
              <w:rPr>
                <w:noProof/>
                <w:webHidden/>
              </w:rPr>
            </w:r>
            <w:r>
              <w:rPr>
                <w:noProof/>
                <w:webHidden/>
              </w:rPr>
              <w:fldChar w:fldCharType="separate"/>
            </w:r>
            <w:r>
              <w:rPr>
                <w:noProof/>
                <w:webHidden/>
              </w:rPr>
              <w:t>10</w:t>
            </w:r>
            <w:r>
              <w:rPr>
                <w:noProof/>
                <w:webHidden/>
              </w:rPr>
              <w:fldChar w:fldCharType="end"/>
            </w:r>
          </w:hyperlink>
        </w:p>
        <w:p w:rsidR="000F0830" w:rsidRDefault="000F0830">
          <w:pPr>
            <w:pStyle w:val="TOC2"/>
            <w:tabs>
              <w:tab w:val="right" w:leader="dot" w:pos="9350"/>
            </w:tabs>
            <w:rPr>
              <w:rFonts w:asciiTheme="minorHAnsi" w:eastAsiaTheme="minorEastAsia" w:hAnsiTheme="minorHAnsi" w:cstheme="minorBidi"/>
              <w:noProof/>
              <w:sz w:val="22"/>
              <w:szCs w:val="22"/>
            </w:rPr>
          </w:pPr>
          <w:hyperlink w:anchor="_Toc230190325" w:history="1">
            <w:r w:rsidRPr="007A0020">
              <w:rPr>
                <w:rStyle w:val="Hyperlink"/>
                <w:noProof/>
              </w:rPr>
              <w:t>3.3 Case Analysis</w:t>
            </w:r>
            <w:r>
              <w:rPr>
                <w:noProof/>
                <w:webHidden/>
              </w:rPr>
              <w:tab/>
            </w:r>
            <w:r>
              <w:rPr>
                <w:noProof/>
                <w:webHidden/>
              </w:rPr>
              <w:fldChar w:fldCharType="begin"/>
            </w:r>
            <w:r>
              <w:rPr>
                <w:noProof/>
                <w:webHidden/>
              </w:rPr>
              <w:instrText xml:space="preserve"> PAGEREF _Toc230190325 \h </w:instrText>
            </w:r>
            <w:r>
              <w:rPr>
                <w:noProof/>
                <w:webHidden/>
              </w:rPr>
            </w:r>
            <w:r>
              <w:rPr>
                <w:noProof/>
                <w:webHidden/>
              </w:rPr>
              <w:fldChar w:fldCharType="separate"/>
            </w:r>
            <w:r>
              <w:rPr>
                <w:noProof/>
                <w:webHidden/>
              </w:rPr>
              <w:t>10</w:t>
            </w:r>
            <w:r>
              <w:rPr>
                <w:noProof/>
                <w:webHidden/>
              </w:rPr>
              <w:fldChar w:fldCharType="end"/>
            </w:r>
          </w:hyperlink>
        </w:p>
        <w:p w:rsidR="000F0830" w:rsidRDefault="000F0830">
          <w:pPr>
            <w:pStyle w:val="TOC2"/>
            <w:tabs>
              <w:tab w:val="right" w:leader="dot" w:pos="9350"/>
            </w:tabs>
            <w:rPr>
              <w:rFonts w:asciiTheme="minorHAnsi" w:eastAsiaTheme="minorEastAsia" w:hAnsiTheme="minorHAnsi" w:cstheme="minorBidi"/>
              <w:noProof/>
              <w:sz w:val="22"/>
              <w:szCs w:val="22"/>
            </w:rPr>
          </w:pPr>
          <w:hyperlink w:anchor="_Toc230190326" w:history="1">
            <w:r w:rsidRPr="007A0020">
              <w:rPr>
                <w:rStyle w:val="Hyperlink"/>
                <w:noProof/>
              </w:rPr>
              <w:t>3.4 Limitations</w:t>
            </w:r>
            <w:r>
              <w:rPr>
                <w:noProof/>
                <w:webHidden/>
              </w:rPr>
              <w:tab/>
            </w:r>
            <w:r>
              <w:rPr>
                <w:noProof/>
                <w:webHidden/>
              </w:rPr>
              <w:fldChar w:fldCharType="begin"/>
            </w:r>
            <w:r>
              <w:rPr>
                <w:noProof/>
                <w:webHidden/>
              </w:rPr>
              <w:instrText xml:space="preserve"> PAGEREF _Toc230190326 \h </w:instrText>
            </w:r>
            <w:r>
              <w:rPr>
                <w:noProof/>
                <w:webHidden/>
              </w:rPr>
            </w:r>
            <w:r>
              <w:rPr>
                <w:noProof/>
                <w:webHidden/>
              </w:rPr>
              <w:fldChar w:fldCharType="separate"/>
            </w:r>
            <w:r>
              <w:rPr>
                <w:noProof/>
                <w:webHidden/>
              </w:rPr>
              <w:t>11</w:t>
            </w:r>
            <w:r>
              <w:rPr>
                <w:noProof/>
                <w:webHidden/>
              </w:rPr>
              <w:fldChar w:fldCharType="end"/>
            </w:r>
          </w:hyperlink>
        </w:p>
        <w:p w:rsidR="000F0830" w:rsidRDefault="000F0830">
          <w:pPr>
            <w:pStyle w:val="TOC1"/>
            <w:tabs>
              <w:tab w:val="right" w:leader="dot" w:pos="9350"/>
            </w:tabs>
            <w:rPr>
              <w:rFonts w:asciiTheme="minorHAnsi" w:eastAsiaTheme="minorEastAsia" w:hAnsiTheme="minorHAnsi" w:cstheme="minorBidi"/>
              <w:noProof/>
              <w:sz w:val="22"/>
              <w:szCs w:val="22"/>
            </w:rPr>
          </w:pPr>
          <w:hyperlink w:anchor="_Toc230190327" w:history="1">
            <w:r w:rsidRPr="007A0020">
              <w:rPr>
                <w:rStyle w:val="Hyperlink"/>
                <w:noProof/>
              </w:rPr>
              <w:t>4. Findings</w:t>
            </w:r>
            <w:r>
              <w:rPr>
                <w:noProof/>
                <w:webHidden/>
              </w:rPr>
              <w:tab/>
            </w:r>
            <w:r>
              <w:rPr>
                <w:noProof/>
                <w:webHidden/>
              </w:rPr>
              <w:fldChar w:fldCharType="begin"/>
            </w:r>
            <w:r>
              <w:rPr>
                <w:noProof/>
                <w:webHidden/>
              </w:rPr>
              <w:instrText xml:space="preserve"> PAGEREF _Toc230190327 \h </w:instrText>
            </w:r>
            <w:r>
              <w:rPr>
                <w:noProof/>
                <w:webHidden/>
              </w:rPr>
            </w:r>
            <w:r>
              <w:rPr>
                <w:noProof/>
                <w:webHidden/>
              </w:rPr>
              <w:fldChar w:fldCharType="separate"/>
            </w:r>
            <w:r>
              <w:rPr>
                <w:noProof/>
                <w:webHidden/>
              </w:rPr>
              <w:t>12</w:t>
            </w:r>
            <w:r>
              <w:rPr>
                <w:noProof/>
                <w:webHidden/>
              </w:rPr>
              <w:fldChar w:fldCharType="end"/>
            </w:r>
          </w:hyperlink>
        </w:p>
        <w:p w:rsidR="000F0830" w:rsidRDefault="000F0830">
          <w:pPr>
            <w:pStyle w:val="TOC2"/>
            <w:tabs>
              <w:tab w:val="right" w:leader="dot" w:pos="9350"/>
            </w:tabs>
            <w:rPr>
              <w:rFonts w:asciiTheme="minorHAnsi" w:eastAsiaTheme="minorEastAsia" w:hAnsiTheme="minorHAnsi" w:cstheme="minorBidi"/>
              <w:noProof/>
              <w:sz w:val="22"/>
              <w:szCs w:val="22"/>
            </w:rPr>
          </w:pPr>
          <w:hyperlink w:anchor="_Toc230190328" w:history="1">
            <w:r w:rsidRPr="007A0020">
              <w:rPr>
                <w:rStyle w:val="Hyperlink"/>
                <w:noProof/>
              </w:rPr>
              <w:t>4.1 Autonomy and Informed Consent</w:t>
            </w:r>
            <w:r>
              <w:rPr>
                <w:noProof/>
                <w:webHidden/>
              </w:rPr>
              <w:tab/>
            </w:r>
            <w:r>
              <w:rPr>
                <w:noProof/>
                <w:webHidden/>
              </w:rPr>
              <w:fldChar w:fldCharType="begin"/>
            </w:r>
            <w:r>
              <w:rPr>
                <w:noProof/>
                <w:webHidden/>
              </w:rPr>
              <w:instrText xml:space="preserve"> PAGEREF _Toc230190328 \h </w:instrText>
            </w:r>
            <w:r>
              <w:rPr>
                <w:noProof/>
                <w:webHidden/>
              </w:rPr>
            </w:r>
            <w:r>
              <w:rPr>
                <w:noProof/>
                <w:webHidden/>
              </w:rPr>
              <w:fldChar w:fldCharType="separate"/>
            </w:r>
            <w:r>
              <w:rPr>
                <w:noProof/>
                <w:webHidden/>
              </w:rPr>
              <w:t>12</w:t>
            </w:r>
            <w:r>
              <w:rPr>
                <w:noProof/>
                <w:webHidden/>
              </w:rPr>
              <w:fldChar w:fldCharType="end"/>
            </w:r>
          </w:hyperlink>
        </w:p>
        <w:p w:rsidR="000F0830" w:rsidRDefault="000F0830">
          <w:pPr>
            <w:pStyle w:val="TOC2"/>
            <w:tabs>
              <w:tab w:val="right" w:leader="dot" w:pos="9350"/>
            </w:tabs>
            <w:rPr>
              <w:rFonts w:asciiTheme="minorHAnsi" w:eastAsiaTheme="minorEastAsia" w:hAnsiTheme="minorHAnsi" w:cstheme="minorBidi"/>
              <w:noProof/>
              <w:sz w:val="22"/>
              <w:szCs w:val="22"/>
            </w:rPr>
          </w:pPr>
          <w:hyperlink w:anchor="_Toc230190329" w:history="1">
            <w:r w:rsidRPr="007A0020">
              <w:rPr>
                <w:rStyle w:val="Hyperlink"/>
                <w:noProof/>
              </w:rPr>
              <w:t>4.2 Beneficence and Non-Maleficence</w:t>
            </w:r>
            <w:r>
              <w:rPr>
                <w:noProof/>
                <w:webHidden/>
              </w:rPr>
              <w:tab/>
            </w:r>
            <w:r>
              <w:rPr>
                <w:noProof/>
                <w:webHidden/>
              </w:rPr>
              <w:fldChar w:fldCharType="begin"/>
            </w:r>
            <w:r>
              <w:rPr>
                <w:noProof/>
                <w:webHidden/>
              </w:rPr>
              <w:instrText xml:space="preserve"> PAGEREF _Toc230190329 \h </w:instrText>
            </w:r>
            <w:r>
              <w:rPr>
                <w:noProof/>
                <w:webHidden/>
              </w:rPr>
            </w:r>
            <w:r>
              <w:rPr>
                <w:noProof/>
                <w:webHidden/>
              </w:rPr>
              <w:fldChar w:fldCharType="separate"/>
            </w:r>
            <w:r>
              <w:rPr>
                <w:noProof/>
                <w:webHidden/>
              </w:rPr>
              <w:t>13</w:t>
            </w:r>
            <w:r>
              <w:rPr>
                <w:noProof/>
                <w:webHidden/>
              </w:rPr>
              <w:fldChar w:fldCharType="end"/>
            </w:r>
          </w:hyperlink>
        </w:p>
        <w:p w:rsidR="000F0830" w:rsidRDefault="000F0830">
          <w:pPr>
            <w:pStyle w:val="TOC2"/>
            <w:tabs>
              <w:tab w:val="right" w:leader="dot" w:pos="9350"/>
            </w:tabs>
            <w:rPr>
              <w:rFonts w:asciiTheme="minorHAnsi" w:eastAsiaTheme="minorEastAsia" w:hAnsiTheme="minorHAnsi" w:cstheme="minorBidi"/>
              <w:noProof/>
              <w:sz w:val="22"/>
              <w:szCs w:val="22"/>
            </w:rPr>
          </w:pPr>
          <w:hyperlink w:anchor="_Toc230190330" w:history="1">
            <w:r w:rsidRPr="007A0020">
              <w:rPr>
                <w:rStyle w:val="Hyperlink"/>
                <w:noProof/>
              </w:rPr>
              <w:t>4.3 Justice in Healthcare</w:t>
            </w:r>
            <w:r>
              <w:rPr>
                <w:noProof/>
                <w:webHidden/>
              </w:rPr>
              <w:tab/>
            </w:r>
            <w:r>
              <w:rPr>
                <w:noProof/>
                <w:webHidden/>
              </w:rPr>
              <w:fldChar w:fldCharType="begin"/>
            </w:r>
            <w:r>
              <w:rPr>
                <w:noProof/>
                <w:webHidden/>
              </w:rPr>
              <w:instrText xml:space="preserve"> PAGEREF _Toc230190330 \h </w:instrText>
            </w:r>
            <w:r>
              <w:rPr>
                <w:noProof/>
                <w:webHidden/>
              </w:rPr>
            </w:r>
            <w:r>
              <w:rPr>
                <w:noProof/>
                <w:webHidden/>
              </w:rPr>
              <w:fldChar w:fldCharType="separate"/>
            </w:r>
            <w:r>
              <w:rPr>
                <w:noProof/>
                <w:webHidden/>
              </w:rPr>
              <w:t>14</w:t>
            </w:r>
            <w:r>
              <w:rPr>
                <w:noProof/>
                <w:webHidden/>
              </w:rPr>
              <w:fldChar w:fldCharType="end"/>
            </w:r>
          </w:hyperlink>
        </w:p>
        <w:p w:rsidR="000F0830" w:rsidRDefault="000F0830">
          <w:pPr>
            <w:pStyle w:val="TOC2"/>
            <w:tabs>
              <w:tab w:val="right" w:leader="dot" w:pos="9350"/>
            </w:tabs>
            <w:rPr>
              <w:rFonts w:asciiTheme="minorHAnsi" w:eastAsiaTheme="minorEastAsia" w:hAnsiTheme="minorHAnsi" w:cstheme="minorBidi"/>
              <w:noProof/>
              <w:sz w:val="22"/>
              <w:szCs w:val="22"/>
            </w:rPr>
          </w:pPr>
          <w:hyperlink w:anchor="_Toc230190331" w:history="1">
            <w:r w:rsidRPr="007A0020">
              <w:rPr>
                <w:rStyle w:val="Hyperlink"/>
                <w:noProof/>
              </w:rPr>
              <w:t>4.4 Confidentiality and Professional Responsibility</w:t>
            </w:r>
            <w:r>
              <w:rPr>
                <w:noProof/>
                <w:webHidden/>
              </w:rPr>
              <w:tab/>
            </w:r>
            <w:r>
              <w:rPr>
                <w:noProof/>
                <w:webHidden/>
              </w:rPr>
              <w:fldChar w:fldCharType="begin"/>
            </w:r>
            <w:r>
              <w:rPr>
                <w:noProof/>
                <w:webHidden/>
              </w:rPr>
              <w:instrText xml:space="preserve"> PAGEREF _Toc230190331 \h </w:instrText>
            </w:r>
            <w:r>
              <w:rPr>
                <w:noProof/>
                <w:webHidden/>
              </w:rPr>
            </w:r>
            <w:r>
              <w:rPr>
                <w:noProof/>
                <w:webHidden/>
              </w:rPr>
              <w:fldChar w:fldCharType="separate"/>
            </w:r>
            <w:r>
              <w:rPr>
                <w:noProof/>
                <w:webHidden/>
              </w:rPr>
              <w:t>15</w:t>
            </w:r>
            <w:r>
              <w:rPr>
                <w:noProof/>
                <w:webHidden/>
              </w:rPr>
              <w:fldChar w:fldCharType="end"/>
            </w:r>
          </w:hyperlink>
        </w:p>
        <w:p w:rsidR="000F0830" w:rsidRDefault="000F0830">
          <w:pPr>
            <w:pStyle w:val="TOC1"/>
            <w:tabs>
              <w:tab w:val="right" w:leader="dot" w:pos="9350"/>
            </w:tabs>
            <w:rPr>
              <w:rFonts w:asciiTheme="minorHAnsi" w:eastAsiaTheme="minorEastAsia" w:hAnsiTheme="minorHAnsi" w:cstheme="minorBidi"/>
              <w:noProof/>
              <w:sz w:val="22"/>
              <w:szCs w:val="22"/>
            </w:rPr>
          </w:pPr>
          <w:hyperlink w:anchor="_Toc230190332" w:history="1">
            <w:r w:rsidRPr="007A0020">
              <w:rPr>
                <w:rStyle w:val="Hyperlink"/>
                <w:noProof/>
              </w:rPr>
              <w:t>5. Discussion</w:t>
            </w:r>
            <w:r>
              <w:rPr>
                <w:noProof/>
                <w:webHidden/>
              </w:rPr>
              <w:tab/>
            </w:r>
            <w:r>
              <w:rPr>
                <w:noProof/>
                <w:webHidden/>
              </w:rPr>
              <w:fldChar w:fldCharType="begin"/>
            </w:r>
            <w:r>
              <w:rPr>
                <w:noProof/>
                <w:webHidden/>
              </w:rPr>
              <w:instrText xml:space="preserve"> PAGEREF _Toc230190332 \h </w:instrText>
            </w:r>
            <w:r>
              <w:rPr>
                <w:noProof/>
                <w:webHidden/>
              </w:rPr>
            </w:r>
            <w:r>
              <w:rPr>
                <w:noProof/>
                <w:webHidden/>
              </w:rPr>
              <w:fldChar w:fldCharType="separate"/>
            </w:r>
            <w:r>
              <w:rPr>
                <w:noProof/>
                <w:webHidden/>
              </w:rPr>
              <w:t>19</w:t>
            </w:r>
            <w:r>
              <w:rPr>
                <w:noProof/>
                <w:webHidden/>
              </w:rPr>
              <w:fldChar w:fldCharType="end"/>
            </w:r>
          </w:hyperlink>
        </w:p>
        <w:p w:rsidR="000F0830" w:rsidRDefault="000F0830">
          <w:pPr>
            <w:pStyle w:val="TOC2"/>
            <w:tabs>
              <w:tab w:val="right" w:leader="dot" w:pos="9350"/>
            </w:tabs>
            <w:rPr>
              <w:rFonts w:asciiTheme="minorHAnsi" w:eastAsiaTheme="minorEastAsia" w:hAnsiTheme="minorHAnsi" w:cstheme="minorBidi"/>
              <w:noProof/>
              <w:sz w:val="22"/>
              <w:szCs w:val="22"/>
            </w:rPr>
          </w:pPr>
          <w:hyperlink w:anchor="_Toc230190333" w:history="1">
            <w:r w:rsidRPr="007A0020">
              <w:rPr>
                <w:rStyle w:val="Hyperlink"/>
                <w:noProof/>
              </w:rPr>
              <w:t>5.1 The Challenge of Principle Conflict</w:t>
            </w:r>
            <w:r>
              <w:rPr>
                <w:noProof/>
                <w:webHidden/>
              </w:rPr>
              <w:tab/>
            </w:r>
            <w:r>
              <w:rPr>
                <w:noProof/>
                <w:webHidden/>
              </w:rPr>
              <w:fldChar w:fldCharType="begin"/>
            </w:r>
            <w:r>
              <w:rPr>
                <w:noProof/>
                <w:webHidden/>
              </w:rPr>
              <w:instrText xml:space="preserve"> PAGEREF _Toc230190333 \h </w:instrText>
            </w:r>
            <w:r>
              <w:rPr>
                <w:noProof/>
                <w:webHidden/>
              </w:rPr>
            </w:r>
            <w:r>
              <w:rPr>
                <w:noProof/>
                <w:webHidden/>
              </w:rPr>
              <w:fldChar w:fldCharType="separate"/>
            </w:r>
            <w:r>
              <w:rPr>
                <w:noProof/>
                <w:webHidden/>
              </w:rPr>
              <w:t>19</w:t>
            </w:r>
            <w:r>
              <w:rPr>
                <w:noProof/>
                <w:webHidden/>
              </w:rPr>
              <w:fldChar w:fldCharType="end"/>
            </w:r>
          </w:hyperlink>
        </w:p>
        <w:p w:rsidR="000F0830" w:rsidRDefault="000F0830">
          <w:pPr>
            <w:pStyle w:val="TOC2"/>
            <w:tabs>
              <w:tab w:val="right" w:leader="dot" w:pos="9350"/>
            </w:tabs>
            <w:rPr>
              <w:rFonts w:asciiTheme="minorHAnsi" w:eastAsiaTheme="minorEastAsia" w:hAnsiTheme="minorHAnsi" w:cstheme="minorBidi"/>
              <w:noProof/>
              <w:sz w:val="22"/>
              <w:szCs w:val="22"/>
            </w:rPr>
          </w:pPr>
          <w:hyperlink w:anchor="_Toc230190334" w:history="1">
            <w:r w:rsidRPr="007A0020">
              <w:rPr>
                <w:rStyle w:val="Hyperlink"/>
                <w:noProof/>
              </w:rPr>
              <w:t>5.2 The Role of Institutional Mechanisms</w:t>
            </w:r>
            <w:r>
              <w:rPr>
                <w:noProof/>
                <w:webHidden/>
              </w:rPr>
              <w:tab/>
            </w:r>
            <w:r>
              <w:rPr>
                <w:noProof/>
                <w:webHidden/>
              </w:rPr>
              <w:fldChar w:fldCharType="begin"/>
            </w:r>
            <w:r>
              <w:rPr>
                <w:noProof/>
                <w:webHidden/>
              </w:rPr>
              <w:instrText xml:space="preserve"> PAGEREF _Toc230190334 \h </w:instrText>
            </w:r>
            <w:r>
              <w:rPr>
                <w:noProof/>
                <w:webHidden/>
              </w:rPr>
            </w:r>
            <w:r>
              <w:rPr>
                <w:noProof/>
                <w:webHidden/>
              </w:rPr>
              <w:fldChar w:fldCharType="separate"/>
            </w:r>
            <w:r>
              <w:rPr>
                <w:noProof/>
                <w:webHidden/>
              </w:rPr>
              <w:t>20</w:t>
            </w:r>
            <w:r>
              <w:rPr>
                <w:noProof/>
                <w:webHidden/>
              </w:rPr>
              <w:fldChar w:fldCharType="end"/>
            </w:r>
          </w:hyperlink>
        </w:p>
        <w:p w:rsidR="000F0830" w:rsidRDefault="000F0830">
          <w:pPr>
            <w:pStyle w:val="TOC2"/>
            <w:tabs>
              <w:tab w:val="right" w:leader="dot" w:pos="9350"/>
            </w:tabs>
            <w:rPr>
              <w:rFonts w:asciiTheme="minorHAnsi" w:eastAsiaTheme="minorEastAsia" w:hAnsiTheme="minorHAnsi" w:cstheme="minorBidi"/>
              <w:noProof/>
              <w:sz w:val="22"/>
              <w:szCs w:val="22"/>
            </w:rPr>
          </w:pPr>
          <w:hyperlink w:anchor="_Toc230190335" w:history="1">
            <w:r w:rsidRPr="007A0020">
              <w:rPr>
                <w:rStyle w:val="Hyperlink"/>
                <w:noProof/>
              </w:rPr>
              <w:t>5.3 Communication and Ethical Practice</w:t>
            </w:r>
            <w:r>
              <w:rPr>
                <w:noProof/>
                <w:webHidden/>
              </w:rPr>
              <w:tab/>
            </w:r>
            <w:r>
              <w:rPr>
                <w:noProof/>
                <w:webHidden/>
              </w:rPr>
              <w:fldChar w:fldCharType="begin"/>
            </w:r>
            <w:r>
              <w:rPr>
                <w:noProof/>
                <w:webHidden/>
              </w:rPr>
              <w:instrText xml:space="preserve"> PAGEREF _Toc230190335 \h </w:instrText>
            </w:r>
            <w:r>
              <w:rPr>
                <w:noProof/>
                <w:webHidden/>
              </w:rPr>
            </w:r>
            <w:r>
              <w:rPr>
                <w:noProof/>
                <w:webHidden/>
              </w:rPr>
              <w:fldChar w:fldCharType="separate"/>
            </w:r>
            <w:r>
              <w:rPr>
                <w:noProof/>
                <w:webHidden/>
              </w:rPr>
              <w:t>21</w:t>
            </w:r>
            <w:r>
              <w:rPr>
                <w:noProof/>
                <w:webHidden/>
              </w:rPr>
              <w:fldChar w:fldCharType="end"/>
            </w:r>
          </w:hyperlink>
        </w:p>
        <w:p w:rsidR="000F0830" w:rsidRDefault="000F0830">
          <w:pPr>
            <w:pStyle w:val="TOC2"/>
            <w:tabs>
              <w:tab w:val="right" w:leader="dot" w:pos="9350"/>
            </w:tabs>
            <w:rPr>
              <w:rFonts w:asciiTheme="minorHAnsi" w:eastAsiaTheme="minorEastAsia" w:hAnsiTheme="minorHAnsi" w:cstheme="minorBidi"/>
              <w:noProof/>
              <w:sz w:val="22"/>
              <w:szCs w:val="22"/>
            </w:rPr>
          </w:pPr>
          <w:hyperlink w:anchor="_Toc230190336" w:history="1">
            <w:r w:rsidRPr="007A0020">
              <w:rPr>
                <w:rStyle w:val="Hyperlink"/>
                <w:noProof/>
              </w:rPr>
              <w:t>5.4 Moral Distress and Professional Wellbeing</w:t>
            </w:r>
            <w:r>
              <w:rPr>
                <w:noProof/>
                <w:webHidden/>
              </w:rPr>
              <w:tab/>
            </w:r>
            <w:r>
              <w:rPr>
                <w:noProof/>
                <w:webHidden/>
              </w:rPr>
              <w:fldChar w:fldCharType="begin"/>
            </w:r>
            <w:r>
              <w:rPr>
                <w:noProof/>
                <w:webHidden/>
              </w:rPr>
              <w:instrText xml:space="preserve"> PAGEREF _Toc230190336 \h </w:instrText>
            </w:r>
            <w:r>
              <w:rPr>
                <w:noProof/>
                <w:webHidden/>
              </w:rPr>
            </w:r>
            <w:r>
              <w:rPr>
                <w:noProof/>
                <w:webHidden/>
              </w:rPr>
              <w:fldChar w:fldCharType="separate"/>
            </w:r>
            <w:r>
              <w:rPr>
                <w:noProof/>
                <w:webHidden/>
              </w:rPr>
              <w:t>21</w:t>
            </w:r>
            <w:r>
              <w:rPr>
                <w:noProof/>
                <w:webHidden/>
              </w:rPr>
              <w:fldChar w:fldCharType="end"/>
            </w:r>
          </w:hyperlink>
        </w:p>
        <w:p w:rsidR="000F0830" w:rsidRDefault="000F0830">
          <w:pPr>
            <w:pStyle w:val="TOC2"/>
            <w:tabs>
              <w:tab w:val="right" w:leader="dot" w:pos="9350"/>
            </w:tabs>
            <w:rPr>
              <w:rFonts w:asciiTheme="minorHAnsi" w:eastAsiaTheme="minorEastAsia" w:hAnsiTheme="minorHAnsi" w:cstheme="minorBidi"/>
              <w:noProof/>
              <w:sz w:val="22"/>
              <w:szCs w:val="22"/>
            </w:rPr>
          </w:pPr>
          <w:hyperlink w:anchor="_Toc230190337" w:history="1">
            <w:r w:rsidRPr="007A0020">
              <w:rPr>
                <w:rStyle w:val="Hyperlink"/>
                <w:noProof/>
              </w:rPr>
              <w:t>5.5 Recommendations</w:t>
            </w:r>
            <w:r>
              <w:rPr>
                <w:noProof/>
                <w:webHidden/>
              </w:rPr>
              <w:tab/>
            </w:r>
            <w:r>
              <w:rPr>
                <w:noProof/>
                <w:webHidden/>
              </w:rPr>
              <w:fldChar w:fldCharType="begin"/>
            </w:r>
            <w:r>
              <w:rPr>
                <w:noProof/>
                <w:webHidden/>
              </w:rPr>
              <w:instrText xml:space="preserve"> PAGEREF _Toc230190337 \h </w:instrText>
            </w:r>
            <w:r>
              <w:rPr>
                <w:noProof/>
                <w:webHidden/>
              </w:rPr>
            </w:r>
            <w:r>
              <w:rPr>
                <w:noProof/>
                <w:webHidden/>
              </w:rPr>
              <w:fldChar w:fldCharType="separate"/>
            </w:r>
            <w:r>
              <w:rPr>
                <w:noProof/>
                <w:webHidden/>
              </w:rPr>
              <w:t>22</w:t>
            </w:r>
            <w:r>
              <w:rPr>
                <w:noProof/>
                <w:webHidden/>
              </w:rPr>
              <w:fldChar w:fldCharType="end"/>
            </w:r>
          </w:hyperlink>
        </w:p>
        <w:p w:rsidR="000F0830" w:rsidRDefault="000F0830">
          <w:pPr>
            <w:pStyle w:val="TOC1"/>
            <w:tabs>
              <w:tab w:val="right" w:leader="dot" w:pos="9350"/>
            </w:tabs>
            <w:rPr>
              <w:rFonts w:asciiTheme="minorHAnsi" w:eastAsiaTheme="minorEastAsia" w:hAnsiTheme="minorHAnsi" w:cstheme="minorBidi"/>
              <w:noProof/>
              <w:sz w:val="22"/>
              <w:szCs w:val="22"/>
            </w:rPr>
          </w:pPr>
          <w:hyperlink w:anchor="_Toc230190338" w:history="1">
            <w:r w:rsidRPr="007A0020">
              <w:rPr>
                <w:rStyle w:val="Hyperlink"/>
                <w:noProof/>
              </w:rPr>
              <w:t>6. Conclusion</w:t>
            </w:r>
            <w:r>
              <w:rPr>
                <w:noProof/>
                <w:webHidden/>
              </w:rPr>
              <w:tab/>
            </w:r>
            <w:r>
              <w:rPr>
                <w:noProof/>
                <w:webHidden/>
              </w:rPr>
              <w:fldChar w:fldCharType="begin"/>
            </w:r>
            <w:r>
              <w:rPr>
                <w:noProof/>
                <w:webHidden/>
              </w:rPr>
              <w:instrText xml:space="preserve"> PAGEREF _Toc230190338 \h </w:instrText>
            </w:r>
            <w:r>
              <w:rPr>
                <w:noProof/>
                <w:webHidden/>
              </w:rPr>
            </w:r>
            <w:r>
              <w:rPr>
                <w:noProof/>
                <w:webHidden/>
              </w:rPr>
              <w:fldChar w:fldCharType="separate"/>
            </w:r>
            <w:r>
              <w:rPr>
                <w:noProof/>
                <w:webHidden/>
              </w:rPr>
              <w:t>24</w:t>
            </w:r>
            <w:r>
              <w:rPr>
                <w:noProof/>
                <w:webHidden/>
              </w:rPr>
              <w:fldChar w:fldCharType="end"/>
            </w:r>
          </w:hyperlink>
        </w:p>
        <w:p w:rsidR="000F0830" w:rsidRDefault="000F0830">
          <w:pPr>
            <w:pStyle w:val="TOC1"/>
            <w:tabs>
              <w:tab w:val="right" w:leader="dot" w:pos="9350"/>
            </w:tabs>
            <w:rPr>
              <w:rFonts w:asciiTheme="minorHAnsi" w:eastAsiaTheme="minorEastAsia" w:hAnsiTheme="minorHAnsi" w:cstheme="minorBidi"/>
              <w:noProof/>
              <w:sz w:val="22"/>
              <w:szCs w:val="22"/>
            </w:rPr>
          </w:pPr>
          <w:hyperlink w:anchor="_Toc230190339" w:history="1">
            <w:r w:rsidRPr="007A0020">
              <w:rPr>
                <w:rStyle w:val="Hyperlink"/>
                <w:noProof/>
              </w:rPr>
              <w:t>References</w:t>
            </w:r>
            <w:r>
              <w:rPr>
                <w:noProof/>
                <w:webHidden/>
              </w:rPr>
              <w:tab/>
            </w:r>
            <w:r>
              <w:rPr>
                <w:noProof/>
                <w:webHidden/>
              </w:rPr>
              <w:fldChar w:fldCharType="begin"/>
            </w:r>
            <w:r>
              <w:rPr>
                <w:noProof/>
                <w:webHidden/>
              </w:rPr>
              <w:instrText xml:space="preserve"> PAGEREF _Toc230190339 \h </w:instrText>
            </w:r>
            <w:r>
              <w:rPr>
                <w:noProof/>
                <w:webHidden/>
              </w:rPr>
            </w:r>
            <w:r>
              <w:rPr>
                <w:noProof/>
                <w:webHidden/>
              </w:rPr>
              <w:fldChar w:fldCharType="separate"/>
            </w:r>
            <w:r>
              <w:rPr>
                <w:noProof/>
                <w:webHidden/>
              </w:rPr>
              <w:t>26</w:t>
            </w:r>
            <w:r>
              <w:rPr>
                <w:noProof/>
                <w:webHidden/>
              </w:rPr>
              <w:fldChar w:fldCharType="end"/>
            </w:r>
          </w:hyperlink>
        </w:p>
        <w:p w:rsidR="000F0830" w:rsidRDefault="000F0830">
          <w:pPr>
            <w:pStyle w:val="TOC1"/>
            <w:tabs>
              <w:tab w:val="right" w:leader="dot" w:pos="9350"/>
            </w:tabs>
            <w:rPr>
              <w:rFonts w:asciiTheme="minorHAnsi" w:eastAsiaTheme="minorEastAsia" w:hAnsiTheme="minorHAnsi" w:cstheme="minorBidi"/>
              <w:noProof/>
              <w:sz w:val="22"/>
              <w:szCs w:val="22"/>
            </w:rPr>
          </w:pPr>
          <w:hyperlink w:anchor="_Toc230190340" w:history="1">
            <w:r w:rsidRPr="007A0020">
              <w:rPr>
                <w:rStyle w:val="Hyperlink"/>
                <w:noProof/>
              </w:rPr>
              <w:t>Appendices</w:t>
            </w:r>
            <w:r>
              <w:rPr>
                <w:noProof/>
                <w:webHidden/>
              </w:rPr>
              <w:tab/>
            </w:r>
            <w:r>
              <w:rPr>
                <w:noProof/>
                <w:webHidden/>
              </w:rPr>
              <w:fldChar w:fldCharType="begin"/>
            </w:r>
            <w:r>
              <w:rPr>
                <w:noProof/>
                <w:webHidden/>
              </w:rPr>
              <w:instrText xml:space="preserve"> PAGEREF _Toc230190340 \h </w:instrText>
            </w:r>
            <w:r>
              <w:rPr>
                <w:noProof/>
                <w:webHidden/>
              </w:rPr>
            </w:r>
            <w:r>
              <w:rPr>
                <w:noProof/>
                <w:webHidden/>
              </w:rPr>
              <w:fldChar w:fldCharType="separate"/>
            </w:r>
            <w:r>
              <w:rPr>
                <w:noProof/>
                <w:webHidden/>
              </w:rPr>
              <w:t>30</w:t>
            </w:r>
            <w:r>
              <w:rPr>
                <w:noProof/>
                <w:webHidden/>
              </w:rPr>
              <w:fldChar w:fldCharType="end"/>
            </w:r>
          </w:hyperlink>
        </w:p>
        <w:p w:rsidR="000F0830" w:rsidRDefault="000F0830">
          <w:pPr>
            <w:pStyle w:val="TOC2"/>
            <w:tabs>
              <w:tab w:val="right" w:leader="dot" w:pos="9350"/>
            </w:tabs>
            <w:rPr>
              <w:rFonts w:asciiTheme="minorHAnsi" w:eastAsiaTheme="minorEastAsia" w:hAnsiTheme="minorHAnsi" w:cstheme="minorBidi"/>
              <w:noProof/>
              <w:sz w:val="22"/>
              <w:szCs w:val="22"/>
            </w:rPr>
          </w:pPr>
          <w:hyperlink w:anchor="_Toc230190341" w:history="1">
            <w:r w:rsidRPr="007A0020">
              <w:rPr>
                <w:rStyle w:val="Hyperlink"/>
                <w:noProof/>
              </w:rPr>
              <w:t>Appendix A: Summary of Key Bioethical Cases</w:t>
            </w:r>
            <w:r>
              <w:rPr>
                <w:noProof/>
                <w:webHidden/>
              </w:rPr>
              <w:tab/>
            </w:r>
            <w:r>
              <w:rPr>
                <w:noProof/>
                <w:webHidden/>
              </w:rPr>
              <w:fldChar w:fldCharType="begin"/>
            </w:r>
            <w:r>
              <w:rPr>
                <w:noProof/>
                <w:webHidden/>
              </w:rPr>
              <w:instrText xml:space="preserve"> PAGEREF _Toc230190341 \h </w:instrText>
            </w:r>
            <w:r>
              <w:rPr>
                <w:noProof/>
                <w:webHidden/>
              </w:rPr>
            </w:r>
            <w:r>
              <w:rPr>
                <w:noProof/>
                <w:webHidden/>
              </w:rPr>
              <w:fldChar w:fldCharType="separate"/>
            </w:r>
            <w:r>
              <w:rPr>
                <w:noProof/>
                <w:webHidden/>
              </w:rPr>
              <w:t>30</w:t>
            </w:r>
            <w:r>
              <w:rPr>
                <w:noProof/>
                <w:webHidden/>
              </w:rPr>
              <w:fldChar w:fldCharType="end"/>
            </w:r>
          </w:hyperlink>
        </w:p>
        <w:p w:rsidR="000F0830" w:rsidRDefault="000F0830">
          <w:pPr>
            <w:pStyle w:val="TOC2"/>
            <w:tabs>
              <w:tab w:val="right" w:leader="dot" w:pos="9350"/>
            </w:tabs>
            <w:rPr>
              <w:rFonts w:asciiTheme="minorHAnsi" w:eastAsiaTheme="minorEastAsia" w:hAnsiTheme="minorHAnsi" w:cstheme="minorBidi"/>
              <w:noProof/>
              <w:sz w:val="22"/>
              <w:szCs w:val="22"/>
            </w:rPr>
          </w:pPr>
          <w:hyperlink w:anchor="_Toc230190342" w:history="1">
            <w:r w:rsidRPr="007A0020">
              <w:rPr>
                <w:rStyle w:val="Hyperlink"/>
                <w:noProof/>
              </w:rPr>
              <w:t>Appendix B: The Four Principles at a Glance</w:t>
            </w:r>
            <w:r>
              <w:rPr>
                <w:noProof/>
                <w:webHidden/>
              </w:rPr>
              <w:tab/>
            </w:r>
            <w:r>
              <w:rPr>
                <w:noProof/>
                <w:webHidden/>
              </w:rPr>
              <w:fldChar w:fldCharType="begin"/>
            </w:r>
            <w:r>
              <w:rPr>
                <w:noProof/>
                <w:webHidden/>
              </w:rPr>
              <w:instrText xml:space="preserve"> PAGEREF _Toc230190342 \h </w:instrText>
            </w:r>
            <w:r>
              <w:rPr>
                <w:noProof/>
                <w:webHidden/>
              </w:rPr>
            </w:r>
            <w:r>
              <w:rPr>
                <w:noProof/>
                <w:webHidden/>
              </w:rPr>
              <w:fldChar w:fldCharType="separate"/>
            </w:r>
            <w:r>
              <w:rPr>
                <w:noProof/>
                <w:webHidden/>
              </w:rPr>
              <w:t>30</w:t>
            </w:r>
            <w:r>
              <w:rPr>
                <w:noProof/>
                <w:webHidden/>
              </w:rPr>
              <w:fldChar w:fldCharType="end"/>
            </w:r>
          </w:hyperlink>
        </w:p>
        <w:p w:rsidR="000F0830" w:rsidRDefault="000F0830">
          <w:pPr>
            <w:pStyle w:val="TOC2"/>
            <w:tabs>
              <w:tab w:val="right" w:leader="dot" w:pos="9350"/>
            </w:tabs>
            <w:rPr>
              <w:rFonts w:asciiTheme="minorHAnsi" w:eastAsiaTheme="minorEastAsia" w:hAnsiTheme="minorHAnsi" w:cstheme="minorBidi"/>
              <w:noProof/>
              <w:sz w:val="22"/>
              <w:szCs w:val="22"/>
            </w:rPr>
          </w:pPr>
          <w:hyperlink w:anchor="_Toc230190343" w:history="1">
            <w:r w:rsidRPr="007A0020">
              <w:rPr>
                <w:rStyle w:val="Hyperlink"/>
                <w:noProof/>
              </w:rPr>
              <w:t>Appendix C: Key Ethical Frameworks</w:t>
            </w:r>
            <w:r>
              <w:rPr>
                <w:noProof/>
                <w:webHidden/>
              </w:rPr>
              <w:tab/>
            </w:r>
            <w:r>
              <w:rPr>
                <w:noProof/>
                <w:webHidden/>
              </w:rPr>
              <w:fldChar w:fldCharType="begin"/>
            </w:r>
            <w:r>
              <w:rPr>
                <w:noProof/>
                <w:webHidden/>
              </w:rPr>
              <w:instrText xml:space="preserve"> PAGEREF _Toc230190343 \h </w:instrText>
            </w:r>
            <w:r>
              <w:rPr>
                <w:noProof/>
                <w:webHidden/>
              </w:rPr>
            </w:r>
            <w:r>
              <w:rPr>
                <w:noProof/>
                <w:webHidden/>
              </w:rPr>
              <w:fldChar w:fldCharType="separate"/>
            </w:r>
            <w:r>
              <w:rPr>
                <w:noProof/>
                <w:webHidden/>
              </w:rPr>
              <w:t>31</w:t>
            </w:r>
            <w:r>
              <w:rPr>
                <w:noProof/>
                <w:webHidden/>
              </w:rPr>
              <w:fldChar w:fldCharType="end"/>
            </w:r>
          </w:hyperlink>
        </w:p>
        <w:p w:rsidR="00CC1C19" w:rsidRDefault="00CC1C19" w:rsidP="00CC1C19">
          <w:r>
            <w:rPr>
              <w:b/>
              <w:bCs/>
              <w:noProof/>
            </w:rPr>
            <w:fldChar w:fldCharType="end"/>
          </w:r>
        </w:p>
      </w:sdtContent>
    </w:sdt>
    <w:p w:rsidR="008B10A2" w:rsidRDefault="000F69A3" w:rsidP="00CC1C19">
      <w:r>
        <w:br w:type="page"/>
      </w:r>
    </w:p>
    <w:p w:rsidR="008B10A2" w:rsidRPr="00E36C1F" w:rsidRDefault="000F69A3" w:rsidP="00CC1C19">
      <w:pPr>
        <w:pStyle w:val="Heading1"/>
      </w:pPr>
      <w:bookmarkStart w:id="1" w:name="_Toc230190315"/>
      <w:r w:rsidRPr="00E36C1F">
        <w:lastRenderedPageBreak/>
        <w:t>Abstract</w:t>
      </w:r>
      <w:bookmarkEnd w:id="1"/>
    </w:p>
    <w:p w:rsidR="008B10A2" w:rsidRDefault="00E36C1F" w:rsidP="00CC1C19">
      <w:pPr>
        <w:spacing w:after="240"/>
      </w:pPr>
      <w:r>
        <w:t>Ethical decision making is fundamental to the practice of contemporary healthcare, and decision makers face a myriad of clinical and inter-personal dilemmas in every aspect of their work. Beauchamp and Childress (2019) identified four core principles of bioethics; autonomy, beneficence, non-maleficence and justice, which will be used as a lens to examine the importance of ethical decision-making in healthcare. The report examines practical examples and theoretical frameworks to examine the frequent ethical dilemmas encountered by health care workers, such as informed consent, patient confidentiality, end-of-life care, resource allocation, and professional responsibility. A systematic literature review methodology has been used, which included landmark clinical cases and peer-reviewed literature. These results suggest that ethical principles are often a source of values conflicts for healthcare professionals in their practical application, and that institutional ethics committees, laws and models of structured ethical reasoning are important factors in facilitating good decision making. The report calls for the development of ethical competence as the ability to recognize, interpret, and address ethical issues in clinical situations, not only as a professional responsibility, but also as a key part of patient-centered care. Improved ethics education and interdisciplinary working, and the use of common frameworks for ethical decision-making in healthcare settings are recommended</w:t>
      </w:r>
      <w:r w:rsidR="000F69A3">
        <w:t>.</w:t>
      </w:r>
    </w:p>
    <w:p w:rsidR="008B10A2" w:rsidRDefault="000F69A3" w:rsidP="00CC1C19">
      <w:r>
        <w:br w:type="page"/>
      </w:r>
    </w:p>
    <w:p w:rsidR="008B10A2" w:rsidRPr="00E36C1F" w:rsidRDefault="000E5AAF" w:rsidP="000E5AAF">
      <w:pPr>
        <w:pStyle w:val="Heading1"/>
      </w:pPr>
      <w:bookmarkStart w:id="2" w:name="_Toc230190316"/>
      <w:r w:rsidRPr="000E5AAF">
        <w:rPr>
          <w:bCs w:val="0"/>
        </w:rPr>
        <w:lastRenderedPageBreak/>
        <w:t>1.</w:t>
      </w:r>
      <w:r>
        <w:t xml:space="preserve"> </w:t>
      </w:r>
      <w:r w:rsidR="000F69A3" w:rsidRPr="00E36C1F">
        <w:t>Introduction</w:t>
      </w:r>
      <w:bookmarkEnd w:id="2"/>
      <w:r>
        <w:t xml:space="preserve"> </w:t>
      </w:r>
    </w:p>
    <w:p w:rsidR="00E36C1F" w:rsidRDefault="00E36C1F" w:rsidP="00CC1C19">
      <w:r>
        <w:t>Hypothetical moral scenarios are a common occurrence for healthcare practitioners. The clinical scene is rich with moral complexity, whether it's whether or not to try to resuscitate a terminally ill patient, or whether to try to resuscitate a patient who refuses to have the procedure done. Ethical decisions in healthcare are not simply a matter of technical choice, but are complex decisions based on multiple values, multiple uncertainties, and the competing interests of multiple stakeholders, such as patients, families, healthcare staff, and society.</w:t>
      </w:r>
    </w:p>
    <w:p w:rsidR="00E36C1F" w:rsidRDefault="00E36C1F" w:rsidP="00CC1C19">
      <w:r>
        <w:t>The conceptually rich language and tools of applied ethics and bioethics are fundamental to approaching these challenges and making considerate decisions. Bioethics became an official discipline in the 1960s and 1970s as a response to the controversial medical research, the technological developments like organ transplantation and the increasing patients' rights concerns (</w:t>
      </w:r>
      <w:proofErr w:type="spellStart"/>
      <w:r>
        <w:t>Jonsen</w:t>
      </w:r>
      <w:proofErr w:type="spellEnd"/>
      <w:r>
        <w:t>, 2000). Ever since, it has been a constant feature of medical education, practice and health policy.</w:t>
      </w:r>
    </w:p>
    <w:p w:rsidR="00E36C1F" w:rsidRDefault="00E36C1F" w:rsidP="00CC1C19">
      <w:r>
        <w:t>This report explores the reason why ethics is significant in the practice of health care. The main position is that ethics training is not a "side course" that can be added to clinical training, but is an integral part of good healthcare. The report continues on a theoretical level with a review of literature, an analysis of the four pillars of ethics, a review of real-world case studies and a discussion of institutional mechanisms for supporting ethical practice.</w:t>
      </w:r>
    </w:p>
    <w:p w:rsidR="008B10A2" w:rsidRDefault="00E36C1F" w:rsidP="00CC1C19">
      <w:pPr>
        <w:spacing w:after="240"/>
      </w:pPr>
      <w:r>
        <w:t>The report covers four main topics: (1) theoretical explanations of healthcare ethics; (2) typical and common ethical problems in healthcare; (3) informed consent, confidentiality and professionalism; and (4) application of healthcare ethics to real-life scenarios. It ends with actionable ideas to help improve ethics decision making in healthcare organizations</w:t>
      </w:r>
      <w:r w:rsidR="000F69A3">
        <w:t>.</w:t>
      </w:r>
    </w:p>
    <w:p w:rsidR="008B10A2" w:rsidRPr="00E36C1F" w:rsidRDefault="000E5AAF" w:rsidP="00CC1C19">
      <w:pPr>
        <w:pStyle w:val="Heading1"/>
      </w:pPr>
      <w:bookmarkStart w:id="3" w:name="_Toc230190317"/>
      <w:r>
        <w:lastRenderedPageBreak/>
        <w:t xml:space="preserve">2. </w:t>
      </w:r>
      <w:r w:rsidR="000F69A3" w:rsidRPr="00E36C1F">
        <w:t>Literature Review</w:t>
      </w:r>
      <w:bookmarkEnd w:id="3"/>
    </w:p>
    <w:p w:rsidR="008B10A2" w:rsidRDefault="00E36C1F" w:rsidP="00CC1C19">
      <w:pPr>
        <w:spacing w:after="240"/>
      </w:pPr>
      <w:r>
        <w:t>There is a vast and multidisciplinary literature on healthcare ethics that comes from the fields of philosophy, medicine, law, nursing, psychology and the social sciences. This section examines the major theoretical literature that is part of the context in which contemporary understanding of ethical decision making in clinical practice is developed</w:t>
      </w:r>
      <w:r w:rsidR="000F69A3">
        <w:t>.</w:t>
      </w:r>
    </w:p>
    <w:p w:rsidR="008B10A2" w:rsidRPr="00E36C1F" w:rsidRDefault="000F69A3" w:rsidP="00CC1C19">
      <w:pPr>
        <w:pStyle w:val="Heading2"/>
      </w:pPr>
      <w:bookmarkStart w:id="4" w:name="_Toc230190318"/>
      <w:r w:rsidRPr="00E36C1F">
        <w:t>2.1 Foundational Ethical Frameworks</w:t>
      </w:r>
      <w:bookmarkEnd w:id="4"/>
    </w:p>
    <w:p w:rsidR="00E36C1F" w:rsidRDefault="00E36C1F" w:rsidP="00CC1C19">
      <w:r>
        <w:t>Principles of Biomedical Ethics, written by Beauchamp and Childress and published in 1979 and now in its eighth edition, has been the most referenced set of ethical principles in health care. The four prima facie moral obligations that they identify are respect for autonomy, beneficence, non-maleficence, and justice (Beauchamp &amp; Childress, 2019). These are the principles that they believe can create a shared moral language in pluralistic societies, connecting different cultures and philosophies.</w:t>
      </w:r>
    </w:p>
    <w:p w:rsidR="00E36C1F" w:rsidRDefault="00E36C1F" w:rsidP="00CC1C19">
      <w:r>
        <w:t>Autonomy a term which comes from the Greek for self-law – is the right of the patient to make informed and voluntary decisions regarding their own care. As healthcare providers, we are required to do what is best for our patients by the command of beneficence. The principle of non-maleficence (</w:t>
      </w:r>
      <w:proofErr w:type="spellStart"/>
      <w:r>
        <w:t>primum</w:t>
      </w:r>
      <w:proofErr w:type="spellEnd"/>
      <w:r>
        <w:t xml:space="preserve"> non </w:t>
      </w:r>
      <w:proofErr w:type="spellStart"/>
      <w:r>
        <w:t>nocere</w:t>
      </w:r>
      <w:proofErr w:type="spellEnd"/>
      <w:r>
        <w:t>), which translates to "first do no harm," emphasizes the importance of professionals avoiding causing harm where it is not necessary. In order to be just, benefits and burdens must be fairly distributed and patients must have reasonable access to care (Beauchamp &amp; Childress, 2019).</w:t>
      </w:r>
    </w:p>
    <w:p w:rsidR="00E36C1F" w:rsidRDefault="00E36C1F" w:rsidP="00CC1C19">
      <w:proofErr w:type="spellStart"/>
      <w:r>
        <w:t>Principlist</w:t>
      </w:r>
      <w:proofErr w:type="spellEnd"/>
      <w:r>
        <w:t xml:space="preserve"> framework is the central way of discussing bioethics, but other methods have emerged. Virtue ethics focuses on the moral agent, as opposed to rules and outcomes, and was inspired by Aristotle's idea of </w:t>
      </w:r>
      <w:proofErr w:type="spellStart"/>
      <w:r>
        <w:t>eudaimonia</w:t>
      </w:r>
      <w:proofErr w:type="spellEnd"/>
      <w:r>
        <w:t xml:space="preserve">, which means flourishing. Pellegrino and </w:t>
      </w:r>
      <w:proofErr w:type="spellStart"/>
      <w:r>
        <w:t>Thomasma</w:t>
      </w:r>
      <w:proofErr w:type="spellEnd"/>
      <w:r>
        <w:t xml:space="preserve"> (1993) </w:t>
      </w:r>
      <w:r>
        <w:lastRenderedPageBreak/>
        <w:t>suggested that with the addition of good medical practice, which is grounded in the development of moral virtues such as compassion, fidelity, and practical wisdom, principled reasoning is not abolished but rather is supplemented.</w:t>
      </w:r>
    </w:p>
    <w:p w:rsidR="00E36C1F" w:rsidRDefault="00E36C1F" w:rsidP="00CC1C19">
      <w:r>
        <w:t>Case-based reasoning (</w:t>
      </w:r>
      <w:proofErr w:type="spellStart"/>
      <w:r>
        <w:t>caseduistry</w:t>
      </w:r>
      <w:proofErr w:type="spellEnd"/>
      <w:r>
        <w:t>) is another method. Casuistry is not looking at abstract principles and applying them from the top down, it is working from specific cases outwards to find analogies and precedents that shed light on new dilemmas (</w:t>
      </w:r>
      <w:proofErr w:type="spellStart"/>
      <w:r>
        <w:t>Jonsen</w:t>
      </w:r>
      <w:proofErr w:type="spellEnd"/>
      <w:r>
        <w:t xml:space="preserve"> &amp; </w:t>
      </w:r>
      <w:proofErr w:type="spellStart"/>
      <w:r>
        <w:t>Toulmin</w:t>
      </w:r>
      <w:proofErr w:type="spellEnd"/>
      <w:r>
        <w:t>, 1988). This strategy has been especially useful in clinical ethics consultation, where cases are often too complex to fit into any of the boxes.</w:t>
      </w:r>
    </w:p>
    <w:p w:rsidR="008B10A2" w:rsidRDefault="00E36C1F" w:rsidP="00CC1C19">
      <w:pPr>
        <w:spacing w:after="240"/>
      </w:pPr>
      <w:r>
        <w:t xml:space="preserve">Carol Gilligan (1982) and </w:t>
      </w:r>
      <w:proofErr w:type="spellStart"/>
      <w:r>
        <w:t>Nel</w:t>
      </w:r>
      <w:proofErr w:type="spellEnd"/>
      <w:r>
        <w:t xml:space="preserve"> </w:t>
      </w:r>
      <w:proofErr w:type="spellStart"/>
      <w:r>
        <w:t>Noddings</w:t>
      </w:r>
      <w:proofErr w:type="spellEnd"/>
      <w:r>
        <w:t xml:space="preserve"> (1984) developed care ethics which focus on relationships, context and responsiveness to particular needs as the moral basis of caring practice. It has had significant impact on nursing ethics, and in challenging individualistic understandings of autonomy which fail to see the relational aspects of patient decision-making (Tong, 1998)</w:t>
      </w:r>
      <w:r w:rsidR="000F69A3">
        <w:t>.</w:t>
      </w:r>
    </w:p>
    <w:p w:rsidR="008B10A2" w:rsidRPr="00E36C1F" w:rsidRDefault="000F69A3" w:rsidP="00CC1C19">
      <w:pPr>
        <w:pStyle w:val="Heading2"/>
      </w:pPr>
      <w:bookmarkStart w:id="5" w:name="_Toc230190319"/>
      <w:r w:rsidRPr="00E36C1F">
        <w:t>2.2 Informed Consent and Autonomy</w:t>
      </w:r>
      <w:bookmarkEnd w:id="5"/>
    </w:p>
    <w:p w:rsidR="005A6DE3" w:rsidRDefault="005A6DE3" w:rsidP="00CC1C19">
      <w:r>
        <w:t xml:space="preserve">The concept of informed consent is considered to be the legal/ethical extension of respect for autonomy. The doctrine arose from precedent-setting legal decisions like </w:t>
      </w:r>
      <w:proofErr w:type="spellStart"/>
      <w:r>
        <w:t>Schloendorff</w:t>
      </w:r>
      <w:proofErr w:type="spellEnd"/>
      <w:r>
        <w:t xml:space="preserve"> v. Society of New York Hospital (1914) when Justice Cardozo ruled that the rights of every adult person of sound mind extend to themselves, and what is done to them is not theirs to make (quoted in Berg et al., 2001). Later, these protections were extended to the research setting: in 1947, the Nuremberg Code, in 1964 the Declaration of Helsinki, and in 1979 the Belmont Report.</w:t>
      </w:r>
    </w:p>
    <w:p w:rsidR="008B10A2" w:rsidRDefault="005A6DE3" w:rsidP="00CC1C19">
      <w:pPr>
        <w:spacing w:after="240"/>
      </w:pPr>
      <w:r>
        <w:t xml:space="preserve">In an ambitious philosophical study, </w:t>
      </w:r>
      <w:proofErr w:type="spellStart"/>
      <w:r>
        <w:t>Faden</w:t>
      </w:r>
      <w:proofErr w:type="spellEnd"/>
      <w:r>
        <w:t xml:space="preserve"> and Beauchamp (1986) isolated the concepts of informed consent from that of autonomous authorization and that of merely effective consent. The four elements of valid informed consent are: relevant information must be disclosed; the patient </w:t>
      </w:r>
      <w:r>
        <w:lastRenderedPageBreak/>
        <w:t xml:space="preserve">must be able to understand the information; the patient must give free consent, without being coerced; and they must have the capacity to make a decision. There is consistent evidence that these conditions are often not fully </w:t>
      </w:r>
      <w:proofErr w:type="spellStart"/>
      <w:r>
        <w:t>realised</w:t>
      </w:r>
      <w:proofErr w:type="spellEnd"/>
      <w:r>
        <w:t xml:space="preserve"> in practice because of time constraints, health literacy issues, power differences and poor communication skills (O'Neill, 2003)</w:t>
      </w:r>
      <w:r w:rsidR="000F69A3">
        <w:t>.</w:t>
      </w:r>
    </w:p>
    <w:p w:rsidR="008B10A2" w:rsidRPr="00E36C1F" w:rsidRDefault="000F69A3" w:rsidP="00CC1C19">
      <w:pPr>
        <w:pStyle w:val="Heading2"/>
      </w:pPr>
      <w:bookmarkStart w:id="6" w:name="_Toc230190320"/>
      <w:r w:rsidRPr="00E36C1F">
        <w:t>2.3 Confidentiality and Professional Responsibility</w:t>
      </w:r>
      <w:bookmarkEnd w:id="6"/>
    </w:p>
    <w:p w:rsidR="005A6DE3" w:rsidRDefault="005A6DE3" w:rsidP="00CC1C19">
      <w:r>
        <w:t>Respect for privacy, trust in the therapeutic relationship, and utilitarian values related to social benefits of disclosure are the fundamental principles for which medical confidentiality is based. Prominent in the Hippocratic Oath are the restrictions on physicians telling others what their patients reveal, which are also outlined in the Codes of Medical Ethics of the American Medical Association and the guidelines of the UK's General Medical Council (Good Medical Practice).</w:t>
      </w:r>
    </w:p>
    <w:p w:rsidR="008B10A2" w:rsidRDefault="005A6DE3" w:rsidP="00CC1C19">
      <w:pPr>
        <w:spacing w:after="240"/>
      </w:pPr>
      <w:r>
        <w:t xml:space="preserve">But, there is no absolute confidentiality. In the historic case of </w:t>
      </w:r>
      <w:proofErr w:type="spellStart"/>
      <w:r>
        <w:t>Tarasoff</w:t>
      </w:r>
      <w:proofErr w:type="spellEnd"/>
      <w:r>
        <w:t xml:space="preserve"> v. Regents of the University of California (1976), the Supreme Court ruled that therapists must warn third parties if patients pose a “serious, foreseeable, and imminent threat” to a foreseeable person or place (</w:t>
      </w:r>
      <w:proofErr w:type="spellStart"/>
      <w:r>
        <w:t>Appelbaum</w:t>
      </w:r>
      <w:proofErr w:type="spellEnd"/>
      <w:r>
        <w:t>, 1994). The decision highlights the balance between the need for confidentiality and the need to protect, which is a point of contention in discussions of HIV disclosure, domestic violence, and communicable disease notification</w:t>
      </w:r>
      <w:r w:rsidR="000F69A3">
        <w:t>.</w:t>
      </w:r>
    </w:p>
    <w:p w:rsidR="008B10A2" w:rsidRPr="00E36C1F" w:rsidRDefault="000F69A3" w:rsidP="00CC1C19">
      <w:pPr>
        <w:pStyle w:val="Heading2"/>
      </w:pPr>
      <w:bookmarkStart w:id="7" w:name="_Toc230190321"/>
      <w:r w:rsidRPr="00E36C1F">
        <w:t>2.4 Ethical Dilemmas in End-of-Life Care</w:t>
      </w:r>
      <w:bookmarkEnd w:id="7"/>
    </w:p>
    <w:p w:rsidR="005A6DE3" w:rsidRDefault="005A6DE3" w:rsidP="00CC1C19">
      <w:r>
        <w:t xml:space="preserve">Ethics of end of life is one of the most controversial areas of bioethics. Withdrawal and withholding of treatment, DNR orders, physician-assisted dying, and palliative sedation are complex decisions that must consider patients' choices, pain and suffering, dignity and the sanctity of life, and professional ethics. The US cases of Karen Ann Quinlan in 1976, and Terri </w:t>
      </w:r>
      <w:proofErr w:type="spellStart"/>
      <w:r>
        <w:t>Schiavo</w:t>
      </w:r>
      <w:proofErr w:type="spellEnd"/>
      <w:r>
        <w:t xml:space="preserve"> in </w:t>
      </w:r>
      <w:r>
        <w:lastRenderedPageBreak/>
        <w:t xml:space="preserve">2005, raised international interest in the legal and ethical issues of surrogate decision making for the patient who lacks capacity (Caplan, McCartney, &amp; </w:t>
      </w:r>
      <w:proofErr w:type="spellStart"/>
      <w:r>
        <w:t>Sisti</w:t>
      </w:r>
      <w:proofErr w:type="spellEnd"/>
      <w:r>
        <w:t>, 2006).</w:t>
      </w:r>
    </w:p>
    <w:p w:rsidR="008B10A2" w:rsidRDefault="005A6DE3" w:rsidP="00CC1C19">
      <w:pPr>
        <w:spacing w:after="240"/>
      </w:pPr>
      <w:r>
        <w:t>Medical ethics based on double effect (Thomas Aquinas; Quill 1993) allows actions that have both good and evil consequences as long as harm is an unintended effect, but is predicted; and the good effect is proportionate to the harm. This concept is often used as an argument for the use of high dose opioid analgesics in palliative care, where the main objective is pain alleviation, not euthanasia</w:t>
      </w:r>
      <w:r w:rsidR="000F69A3">
        <w:t>.</w:t>
      </w:r>
    </w:p>
    <w:p w:rsidR="008B10A2" w:rsidRDefault="000F69A3" w:rsidP="00CC1C19">
      <w:r>
        <w:br w:type="page"/>
      </w:r>
    </w:p>
    <w:p w:rsidR="008B10A2" w:rsidRPr="00E36C1F" w:rsidRDefault="000E5AAF" w:rsidP="00CC1C19">
      <w:pPr>
        <w:pStyle w:val="Heading1"/>
      </w:pPr>
      <w:bookmarkStart w:id="8" w:name="_Toc230190322"/>
      <w:r>
        <w:lastRenderedPageBreak/>
        <w:t xml:space="preserve">3. </w:t>
      </w:r>
      <w:r w:rsidR="000F69A3" w:rsidRPr="00E36C1F">
        <w:t>Methodology</w:t>
      </w:r>
      <w:bookmarkEnd w:id="8"/>
    </w:p>
    <w:p w:rsidR="008B10A2" w:rsidRDefault="005A6DE3" w:rsidP="00CC1C19">
      <w:pPr>
        <w:spacing w:after="240"/>
      </w:pPr>
      <w:r>
        <w:t>A systematic literature review (SLR) methodology was used in this report, complemented by qualitative case analysis. The aim of this methodological approach is the synthesis of the existing literature on ethical decision making in health care and the assessment of the ethical principles in real world clinical settings</w:t>
      </w:r>
      <w:r w:rsidR="000F69A3">
        <w:t>.</w:t>
      </w:r>
    </w:p>
    <w:p w:rsidR="008B10A2" w:rsidRPr="00E36C1F" w:rsidRDefault="000F69A3" w:rsidP="00CC1C19">
      <w:pPr>
        <w:pStyle w:val="Heading2"/>
      </w:pPr>
      <w:bookmarkStart w:id="9" w:name="_Toc230190323"/>
      <w:r w:rsidRPr="00E36C1F">
        <w:t>3.1 Search Strategy</w:t>
      </w:r>
      <w:bookmarkEnd w:id="9"/>
    </w:p>
    <w:p w:rsidR="008B10A2" w:rsidRDefault="005A6DE3" w:rsidP="00CC1C19">
      <w:pPr>
        <w:spacing w:after="240"/>
      </w:pPr>
      <w:r>
        <w:t xml:space="preserve">A systematic literature search was carried out by electronic database search: PubMed, JSTOR, </w:t>
      </w:r>
      <w:proofErr w:type="spellStart"/>
      <w:r>
        <w:t>PsycINFO</w:t>
      </w:r>
      <w:proofErr w:type="spellEnd"/>
      <w:r>
        <w:t xml:space="preserve"> and Google Scholar. Combinations of the following terms were used as search terms: healthcare ethics, bioethics, clinical ethics, ethical decision-making, autonomy, informed consent, patient confidentiality, professional responsibility, non-maleficence, beneficence and justice. The search was restricted to articles written in English between 1976 and 2024 because this covered the essential texts and would also have relevance today</w:t>
      </w:r>
      <w:r w:rsidR="000F69A3">
        <w:t>.</w:t>
      </w:r>
    </w:p>
    <w:p w:rsidR="008B10A2" w:rsidRPr="00E36C1F" w:rsidRDefault="000F69A3" w:rsidP="00CC1C19">
      <w:pPr>
        <w:pStyle w:val="Heading2"/>
      </w:pPr>
      <w:bookmarkStart w:id="10" w:name="_Toc230190324"/>
      <w:r w:rsidRPr="00E36C1F">
        <w:t>3.2 Inclusion and Exclusion Criteria</w:t>
      </w:r>
      <w:bookmarkEnd w:id="10"/>
    </w:p>
    <w:p w:rsidR="008B10A2" w:rsidRDefault="005A6DE3" w:rsidP="00CC1C19">
      <w:pPr>
        <w:spacing w:after="240"/>
      </w:pPr>
      <w:r>
        <w:t>Sources were selected if they covered ethical issues in a clinical or healthcare context, included an actual dilemma or case study, were published in a peer-reviewed journal or by a reputable academic publisher, or were a groundbreaking legal case or professional code of ethics. Sources were discarded if they lacked empirical and/or case support and were only speculative, or if they were not healthcare settings</w:t>
      </w:r>
      <w:r w:rsidR="000F69A3">
        <w:t>.</w:t>
      </w:r>
    </w:p>
    <w:p w:rsidR="008B10A2" w:rsidRPr="00E36C1F" w:rsidRDefault="000F69A3" w:rsidP="00CC1C19">
      <w:pPr>
        <w:pStyle w:val="Heading2"/>
      </w:pPr>
      <w:bookmarkStart w:id="11" w:name="_Toc230190325"/>
      <w:r w:rsidRPr="00E36C1F">
        <w:t>3.3 Case Analysis</w:t>
      </w:r>
      <w:bookmarkEnd w:id="11"/>
    </w:p>
    <w:p w:rsidR="008B10A2" w:rsidRDefault="005A6DE3" w:rsidP="00CC1C19">
      <w:pPr>
        <w:spacing w:after="240"/>
      </w:pPr>
      <w:r>
        <w:lastRenderedPageBreak/>
        <w:t xml:space="preserve">The report includes a literature review of the theoretical aspects of the problem, as well as the analysis of several key clinical and legal cases to see how ethical principles are applied in practice. Cases were chosen because they had an instructive value, historical significance, and relevance to the four ethical principles that were being studied. The cases of </w:t>
      </w:r>
      <w:proofErr w:type="spellStart"/>
      <w:r>
        <w:t>Dax</w:t>
      </w:r>
      <w:proofErr w:type="spellEnd"/>
      <w:r>
        <w:t xml:space="preserve"> Cowart (autonomy and informed refusal), Terri </w:t>
      </w:r>
      <w:proofErr w:type="spellStart"/>
      <w:r>
        <w:t>Schiavo</w:t>
      </w:r>
      <w:proofErr w:type="spellEnd"/>
      <w:r>
        <w:t xml:space="preserve"> (surrogate decision-making), the Tuskegee Syphilis Study (justice and research ethics), and the </w:t>
      </w:r>
      <w:proofErr w:type="spellStart"/>
      <w:r>
        <w:t>Tarasoff</w:t>
      </w:r>
      <w:proofErr w:type="spellEnd"/>
      <w:r>
        <w:t xml:space="preserve"> case (confidentiality and duty to protect) are among these</w:t>
      </w:r>
      <w:r w:rsidR="000F69A3">
        <w:t>.</w:t>
      </w:r>
    </w:p>
    <w:p w:rsidR="008B10A2" w:rsidRPr="00E36C1F" w:rsidRDefault="000F69A3" w:rsidP="00CC1C19">
      <w:pPr>
        <w:pStyle w:val="Heading2"/>
      </w:pPr>
      <w:bookmarkStart w:id="12" w:name="_Toc230190326"/>
      <w:r w:rsidRPr="00E36C1F">
        <w:t>3.4 Limitations</w:t>
      </w:r>
      <w:bookmarkEnd w:id="12"/>
    </w:p>
    <w:p w:rsidR="008B10A2" w:rsidRDefault="005A6DE3" w:rsidP="00CC1C19">
      <w:pPr>
        <w:spacing w:after="240"/>
      </w:pPr>
      <w:r>
        <w:t>There are a number of limitations to this report. It is a literature based study, so no primary data has been used. Case studies are chosen based on relevance and significance, but are subject to editorial choice. While the ethical frameworks mentioned have prevailed in Western-biased bioethics, they may not be able to adequately represent the views of non-western traditions. Despite these restrictions, the method used is suitable for the exploratory and analytical aspects of the task</w:t>
      </w:r>
      <w:r w:rsidR="000F69A3">
        <w:t>.</w:t>
      </w:r>
    </w:p>
    <w:p w:rsidR="008B10A2" w:rsidRDefault="000F69A3" w:rsidP="00CC1C19">
      <w:r>
        <w:br w:type="page"/>
      </w:r>
    </w:p>
    <w:p w:rsidR="008B10A2" w:rsidRPr="00E36C1F" w:rsidRDefault="000E5AAF" w:rsidP="00CC1C19">
      <w:pPr>
        <w:pStyle w:val="Heading1"/>
      </w:pPr>
      <w:bookmarkStart w:id="13" w:name="_Toc230190327"/>
      <w:r>
        <w:lastRenderedPageBreak/>
        <w:t xml:space="preserve">4. </w:t>
      </w:r>
      <w:r w:rsidR="000F69A3" w:rsidRPr="00E36C1F">
        <w:t>Findings</w:t>
      </w:r>
      <w:bookmarkEnd w:id="13"/>
    </w:p>
    <w:p w:rsidR="008B10A2" w:rsidRDefault="005A6DE3" w:rsidP="00CC1C19">
      <w:pPr>
        <w:spacing w:after="240"/>
      </w:pPr>
      <w:r>
        <w:t>The results are presented in a thematic organization, based on the four main principles of bioethics, and each topic covers the theoretical groundwork, the most common clinical uses and sample case studies</w:t>
      </w:r>
      <w:r w:rsidR="000F69A3">
        <w:t>.</w:t>
      </w:r>
    </w:p>
    <w:p w:rsidR="008B10A2" w:rsidRPr="00E36C1F" w:rsidRDefault="000F69A3" w:rsidP="00CC1C19">
      <w:pPr>
        <w:pStyle w:val="Heading2"/>
      </w:pPr>
      <w:bookmarkStart w:id="14" w:name="_Toc230190328"/>
      <w:r w:rsidRPr="00E36C1F">
        <w:t>4.1 Autonomy and Informed Consent</w:t>
      </w:r>
      <w:bookmarkEnd w:id="14"/>
    </w:p>
    <w:p w:rsidR="005A6DE3" w:rsidRDefault="005A6DE3" w:rsidP="00CC1C19">
      <w:r>
        <w:t xml:space="preserve">In contemporary Western bioethics, respect for autonomy is one of the most highly valued principles and is associated with liberal political values and </w:t>
      </w:r>
      <w:proofErr w:type="spellStart"/>
      <w:r>
        <w:t>emphasising</w:t>
      </w:r>
      <w:proofErr w:type="spellEnd"/>
      <w:r>
        <w:t xml:space="preserve"> the ability to make choices. Healthcare is the most literal expression of the principle: the informed consent of patients, which means they must be given sufficient information about proposed treatments, including their risks, benefits, and alternatives, and that they understand that information and that they are consenting freely, without pressure or compulsion.</w:t>
      </w:r>
    </w:p>
    <w:p w:rsidR="005A6DE3" w:rsidRDefault="005A6DE3" w:rsidP="00CC1C19">
      <w:r>
        <w:t xml:space="preserve">As in the case of </w:t>
      </w:r>
      <w:proofErr w:type="spellStart"/>
      <w:r>
        <w:t>Dax</w:t>
      </w:r>
      <w:proofErr w:type="spellEnd"/>
      <w:r>
        <w:t xml:space="preserve"> Cowart, the balance that can be seen when there are great conflicts between patient autonomy and clinical beneficence. In 1973, </w:t>
      </w:r>
      <w:proofErr w:type="spellStart"/>
      <w:r>
        <w:t>Dax</w:t>
      </w:r>
      <w:proofErr w:type="spellEnd"/>
      <w:r>
        <w:t xml:space="preserve"> Cowart sustained severe burns in a propane gas explosion, and repeatedly and explicitly declined painful medical care, stating that he would rather die than endure more suffering. Even though he was good and consistent at refusing treatments were continued, assuming that he was going to be grateful for his life when he grew up. Cowart then went back to law school and was an advocate for patient rights, but repeatedly asserted that his autonomy had been improperly infringed upon (White &amp; </w:t>
      </w:r>
      <w:proofErr w:type="spellStart"/>
      <w:r>
        <w:t>Zimbelman</w:t>
      </w:r>
      <w:proofErr w:type="spellEnd"/>
      <w:r>
        <w:t>, 1998).</w:t>
      </w:r>
    </w:p>
    <w:p w:rsidR="005A6DE3" w:rsidRDefault="005A6DE3" w:rsidP="00CC1C19">
      <w:r>
        <w:t xml:space="preserve">A few questions for this case: When is it OK to go against a competent patient's wishes for treatment? Who is able to make decisions and how is it determined? Given the literature, it is thought that capacity assessments should be decision-specific, context-specific and not mix up </w:t>
      </w:r>
      <w:r>
        <w:lastRenderedPageBreak/>
        <w:t>mental illness with incapacity (</w:t>
      </w:r>
      <w:proofErr w:type="spellStart"/>
      <w:r>
        <w:t>Grisso</w:t>
      </w:r>
      <w:proofErr w:type="spellEnd"/>
      <w:r>
        <w:t xml:space="preserve"> &amp; </w:t>
      </w:r>
      <w:proofErr w:type="spellStart"/>
      <w:r>
        <w:t>Appelbaum</w:t>
      </w:r>
      <w:proofErr w:type="spellEnd"/>
      <w:r>
        <w:t>, 1998). One patient might not have capacity for one decision, but might have it for another decision.</w:t>
      </w:r>
    </w:p>
    <w:p w:rsidR="008B10A2" w:rsidRDefault="005A6DE3" w:rsidP="00CC1C19">
      <w:pPr>
        <w:spacing w:after="240"/>
      </w:pPr>
      <w:r>
        <w:t>Advance directives, such as living wills and durable powers of attorney for health care, bring autonomous decision making to the realm of when a patient cannot make his own decisions. Studies have shown that advance directives have the potential to enhance end-of-life care and to reflect patients' values and preferences, however, there are inconsistencies in their use; and many clinicians are not adequately trained to read advance directives that are ambiguous or outdated (</w:t>
      </w:r>
      <w:proofErr w:type="spellStart"/>
      <w:r>
        <w:t>Silveira</w:t>
      </w:r>
      <w:proofErr w:type="spellEnd"/>
      <w:r>
        <w:t xml:space="preserve">, Kim, &amp; </w:t>
      </w:r>
      <w:proofErr w:type="spellStart"/>
      <w:r>
        <w:t>Langa</w:t>
      </w:r>
      <w:proofErr w:type="spellEnd"/>
      <w:r>
        <w:t>, 2010)</w:t>
      </w:r>
      <w:r w:rsidR="000F69A3">
        <w:t>.</w:t>
      </w:r>
    </w:p>
    <w:p w:rsidR="008B10A2" w:rsidRPr="00E36C1F" w:rsidRDefault="000F69A3" w:rsidP="00CC1C19">
      <w:pPr>
        <w:pStyle w:val="Heading2"/>
      </w:pPr>
      <w:bookmarkStart w:id="15" w:name="_Toc230190329"/>
      <w:r w:rsidRPr="00E36C1F">
        <w:t>4.2 Beneficence and Non-Maleficence</w:t>
      </w:r>
      <w:bookmarkEnd w:id="15"/>
    </w:p>
    <w:p w:rsidR="005A6DE3" w:rsidRDefault="005A6DE3" w:rsidP="00CC1C19">
      <w:r>
        <w:t>Beneficence - the duty to do good for the patient - and non-maleficence - the duty to prevent harm - are closely related and often mentioned together, but they have different duties. Beneficence is a positive duty to do something good for the patient, non-maleficence is a negative duty not to do something bad to the patient.</w:t>
      </w:r>
    </w:p>
    <w:p w:rsidR="005A6DE3" w:rsidRDefault="005A6DE3" w:rsidP="00CC1C19">
      <w:r>
        <w:t>In practice, the boundaries between benefit and harm can be very hard to distinguish. All medical interventions have the potential of causing harm, and the consequences of the potential benefits and harms must be evaluated on an individual basis. Risk-benefit analysis plays a pivotal role in the clinical decision-making process, and the risk/benefit ratio depends on the risk of the disease being treated, the likelihood of benefit, and patient preferences.</w:t>
      </w:r>
    </w:p>
    <w:p w:rsidR="005A6DE3" w:rsidRDefault="005A6DE3" w:rsidP="00CC1C19">
      <w:r>
        <w:t xml:space="preserve">The concept of double effect comes into play especially in palliative care. If a terminal illness patient needs to use high dose opioids to treat intractable pain, they can also be given a secondary effect of accelerating death by reducing breathing. The moral basis for this practice is that it is intended to alleviate suffering, that the good effect of the act (pain relief) is not the bad effect of </w:t>
      </w:r>
      <w:r>
        <w:lastRenderedPageBreak/>
        <w:t xml:space="preserve">the act (death), and that the bad effect of the act is proportionate to the good effect of the act (Quill, Dresser, &amp; Brock, 1997). This line of argument has been widely followed in palliative medicine, but has been criticized for being used to </w:t>
      </w:r>
      <w:proofErr w:type="spellStart"/>
      <w:r>
        <w:t>rationalise</w:t>
      </w:r>
      <w:proofErr w:type="spellEnd"/>
      <w:r>
        <w:t xml:space="preserve"> euthanasia by the back door.</w:t>
      </w:r>
    </w:p>
    <w:p w:rsidR="008B10A2" w:rsidRDefault="005A6DE3" w:rsidP="00CC1C19">
      <w:pPr>
        <w:spacing w:after="240"/>
      </w:pPr>
      <w:r>
        <w:t xml:space="preserve">Historically, appeals to beneficence have justified medical paternalism, defined as making decisions for patients based on the assumption that the physician knows best. The Hippocratic ethos was based on the idea of physicians' authority and the lack of patient involvement in decision-making. Rather than a strong paternalistic approach, contemporary bioethics has largely embraced models of shared decision making which take account of professional knowledge and patient values (Charles, </w:t>
      </w:r>
      <w:proofErr w:type="spellStart"/>
      <w:r>
        <w:t>Gafni</w:t>
      </w:r>
      <w:proofErr w:type="spellEnd"/>
      <w:r>
        <w:t>, &amp; Whelan, 1997). In most frameworks weak paternalism is ethically acceptable, and allows intervention to prevent decisions made when the autonomy of the patient is disrupted</w:t>
      </w:r>
      <w:r w:rsidR="000F69A3">
        <w:t>.</w:t>
      </w:r>
    </w:p>
    <w:p w:rsidR="008B10A2" w:rsidRPr="00E36C1F" w:rsidRDefault="000F69A3" w:rsidP="00CC1C19">
      <w:pPr>
        <w:pStyle w:val="Heading2"/>
      </w:pPr>
      <w:bookmarkStart w:id="16" w:name="_Toc230190330"/>
      <w:r w:rsidRPr="00E36C1F">
        <w:t>4.3 Justice in Healthcare</w:t>
      </w:r>
      <w:bookmarkEnd w:id="16"/>
    </w:p>
    <w:p w:rsidR="008B10A2" w:rsidRDefault="000F69A3" w:rsidP="00CC1C19">
      <w:pPr>
        <w:spacing w:after="240"/>
      </w:pPr>
      <w:r>
        <w:t>The principle of justice in healthcare encompasses both procedural fairness—the equitable application of rules and processes—and distributive justice, which concerns the fair allocation of healthcare resources and opportunities. Justice demands that patients receive care on the basis of clinical need, rather than ability to pay, social status, race, gender, or other morally irrelevant characteristics.</w:t>
      </w:r>
    </w:p>
    <w:p w:rsidR="008B10A2" w:rsidRDefault="000F69A3" w:rsidP="00CC1C19">
      <w:pPr>
        <w:spacing w:after="240"/>
      </w:pPr>
      <w:r>
        <w:t xml:space="preserve">The Tuskegee Syphilis Study (1932–1972) stands as the most notorious example of justice violations in medical research in the United States. In this study, 399 African American men with syphilis were enrolled without genuine informed consent, told they were being treated for bad blood, and denied effective antibiotic treatment even after penicillin was established as a cure, in order to observe the natural progression of the disease. The study was only halted after a journalist </w:t>
      </w:r>
      <w:r>
        <w:lastRenderedPageBreak/>
        <w:t>exposed it in 1972, and it has had lasting effects on levels of medical distrust in African American communities (Jones, 1993).</w:t>
      </w:r>
    </w:p>
    <w:p w:rsidR="008B10A2" w:rsidRDefault="000F69A3" w:rsidP="00CC1C19">
      <w:pPr>
        <w:spacing w:after="240"/>
      </w:pPr>
      <w:r>
        <w:t>The Tuskegee case illustrates how justice violations in research are compounded by racism and exploitation, and underscores the necessity of robust ethical oversight mechanisms. In response to Tuskegee and other scandals, the Belmont Report (1979) established the principles of respect for persons, beneficence, and justice as the cornerstone of research ethics in the United States, leading to the creation of Institutional Review Boards (IRBs) to review all research involving human subjects.</w:t>
      </w:r>
    </w:p>
    <w:p w:rsidR="008B10A2" w:rsidRDefault="000F69A3" w:rsidP="00CC1C19">
      <w:pPr>
        <w:spacing w:after="240"/>
      </w:pPr>
      <w:r>
        <w:t>Healthcare resource allocation presents recurrent justice dilemmas. During the COVID-19 pandemic, overwhelmed intensive care units in many countries were forced to develop explicit criteria for allocating scarce ventilators and ICU beds. These crisis standards of care required clinicians and ethicists to develop and apply frameworks that sought to maximize benefit at the population level, while maintaining procedural fairness and attending to the needs of the most vulnerable (White &amp; Lo, 2020). These frameworks highlighted the tension between utilitarian approaches that prioritize aggregate outcomes and egalitarian approaches that reject differential treatment based on predicted prognosis.</w:t>
      </w:r>
    </w:p>
    <w:p w:rsidR="008B10A2" w:rsidRPr="00E36C1F" w:rsidRDefault="000F69A3" w:rsidP="00CC1C19">
      <w:pPr>
        <w:pStyle w:val="Heading2"/>
      </w:pPr>
      <w:bookmarkStart w:id="17" w:name="_Toc230190331"/>
      <w:r w:rsidRPr="00E36C1F">
        <w:t>4.4 Confidentiality and Professional Responsibility</w:t>
      </w:r>
      <w:bookmarkEnd w:id="17"/>
    </w:p>
    <w:p w:rsidR="00CC1C19" w:rsidRDefault="00CC1C19" w:rsidP="00CC1C19">
      <w:r>
        <w:t>There are two aspects to justice in health care: distributive justice is about equitable distribution of healthcare resources and opportunities; procedural justice is about equitable application of rules and procedures. Justice requires treatment be provided based on clinical need not on the ability to pay, social status, race, gender, or other characteristics that have nothing to do with the merits of the treatment.</w:t>
      </w:r>
    </w:p>
    <w:p w:rsidR="00CC1C19" w:rsidRDefault="00CC1C19" w:rsidP="00CC1C19">
      <w:r>
        <w:lastRenderedPageBreak/>
        <w:t>The most notorious case of the violation of justice in medical research in the United States is the Tuskegee Syphilis Study of 1932-72. This study recruited 399 African American men with syphilis, whose involvement it claimed to be without informed consent, and informed them that the study was for the purpose of observing the natural course of the disease, but they were denied access to an effective treatment of the disease, penicillin, even though it was known to cure the disease. The study was only discontinued when a journalist uncovered it in 1972 and it continues to impact medical mistrust in black communities to this day (Jones, 1993).</w:t>
      </w:r>
    </w:p>
    <w:p w:rsidR="00CC1C19" w:rsidRDefault="00CC1C19" w:rsidP="00CC1C19">
      <w:r>
        <w:t>The Tuskegee case serves as an example of how the failure to respect the rights to informed consent and justice in research can be exacerbated by racism and exploitation and highlights the importance of strong ethical oversight mechanisms. The Belmont Report (1979) laid the foundation for research ethics in the United States with the principles of respect for persons, beneficence, and justice as the foundation for research ethics, and as a result of these reports, all research involving human subjects must be reviewed by an Institutional Review Board (IRB).</w:t>
      </w:r>
    </w:p>
    <w:p w:rsidR="00CC1C19" w:rsidRDefault="00CC1C19" w:rsidP="00CC1C19">
      <w:r>
        <w:t xml:space="preserve">There are recurring justice issues in the allocation of healthcare resources. In many countries during the COVID-19 pandemic, intensive care units (ICUs) were over-filled and had to establish explicit allocation criteria for limited resources such as ventilators and ICU beds. Under the pressure of these crisis situations, both clinicians and ethicists had to create and employ frameworks which balanced the need to </w:t>
      </w:r>
      <w:proofErr w:type="spellStart"/>
      <w:r>
        <w:t>maximise</w:t>
      </w:r>
      <w:proofErr w:type="spellEnd"/>
      <w:r>
        <w:t xml:space="preserve"> benefit at the population level with procedural fairness and consideration for those at most risk (White &amp; Lo, 2020). These frameworks emphasized the conflict between utilitarian methods that emphasize cumulative results and egalitarian methods that are opposed to differential treatment based on foreseen prognosis.</w:t>
      </w:r>
    </w:p>
    <w:p w:rsidR="00CC1C19" w:rsidRDefault="00CC1C19" w:rsidP="00CC1C19">
      <w:r>
        <w:t>The evaluation of the client is handled with confidentiality and professional responsibility.</w:t>
      </w:r>
    </w:p>
    <w:p w:rsidR="00CC1C19" w:rsidRDefault="00CC1C19" w:rsidP="00CC1C19">
      <w:r>
        <w:lastRenderedPageBreak/>
        <w:t>Medical confidentiality is an ethical principle that promotes trust in the therapeutic relationship, fosters open communication from the patient and upholds the patient's privacy. If there is no reasonable assurance of confidentiality, patients can refuse to provide information that is essential for diagnosis and/or treatment, which can have serious implications for their health and safety.</w:t>
      </w:r>
    </w:p>
    <w:p w:rsidR="00CC1C19" w:rsidRDefault="00CC1C19" w:rsidP="00CC1C19">
      <w:r>
        <w:t xml:space="preserve">But there are boundaries to confidentiality. In California, mental health professionals have a legal and ethical duty to inform specific third parties of any known threats by </w:t>
      </w:r>
      <w:proofErr w:type="spellStart"/>
      <w:r>
        <w:t>patients.In</w:t>
      </w:r>
      <w:proofErr w:type="spellEnd"/>
      <w:r>
        <w:t xml:space="preserve"> California, mental health professionals are legally and ethically responsible to warn specific third parties if patients make known threats. </w:t>
      </w:r>
      <w:proofErr w:type="spellStart"/>
      <w:r>
        <w:t>Prosenjit</w:t>
      </w:r>
      <w:proofErr w:type="spellEnd"/>
      <w:r>
        <w:t xml:space="preserve"> </w:t>
      </w:r>
      <w:proofErr w:type="spellStart"/>
      <w:r>
        <w:t>Poddar</w:t>
      </w:r>
      <w:proofErr w:type="spellEnd"/>
      <w:r>
        <w:t xml:space="preserve">, a student at the university who had told his university therapist that he was going to kill Tatiana </w:t>
      </w:r>
      <w:proofErr w:type="spellStart"/>
      <w:r>
        <w:t>Tarasoff</w:t>
      </w:r>
      <w:proofErr w:type="spellEnd"/>
      <w:r>
        <w:t xml:space="preserve">, was the killer. The therapist broke confidentiality and alerted campus police, who briefly arrested </w:t>
      </w:r>
      <w:proofErr w:type="spellStart"/>
      <w:r>
        <w:t>Poddar</w:t>
      </w:r>
      <w:proofErr w:type="spellEnd"/>
      <w:r>
        <w:t xml:space="preserve"> but let him go. The California Supreme Court determined that the therapist was responsible for directly informing the family of </w:t>
      </w:r>
      <w:proofErr w:type="spellStart"/>
      <w:r>
        <w:t>Tarasoff</w:t>
      </w:r>
      <w:proofErr w:type="spellEnd"/>
      <w:r>
        <w:t xml:space="preserve"> (</w:t>
      </w:r>
      <w:proofErr w:type="spellStart"/>
      <w:r>
        <w:t>Appelbaum</w:t>
      </w:r>
      <w:proofErr w:type="spellEnd"/>
      <w:r>
        <w:t>, 1994).</w:t>
      </w:r>
    </w:p>
    <w:p w:rsidR="00CC1C19" w:rsidRDefault="00CC1C19" w:rsidP="00CC1C19">
      <w:r>
        <w:t xml:space="preserve">The </w:t>
      </w:r>
      <w:proofErr w:type="spellStart"/>
      <w:r>
        <w:t>Tarasoff</w:t>
      </w:r>
      <w:proofErr w:type="spellEnd"/>
      <w:r>
        <w:t xml:space="preserve"> case has been a significant and controversial case. It demands mental health practitioners to strike a balance between the therapeutic need for confidentiality and the obligation to safeguard third parties and this balance keeps changing as the discussion regarding gun violence, domestic abuse and infectious diseases keep evolving. The tension surfaced in the 1980s during the HIV epidemic, when questions emerged as to whether or not clinicians have a duty to inform an at-risk sexual partner of their patient's HIV status (</w:t>
      </w:r>
      <w:proofErr w:type="spellStart"/>
      <w:r>
        <w:t>Gostin</w:t>
      </w:r>
      <w:proofErr w:type="spellEnd"/>
      <w:r>
        <w:t xml:space="preserve"> &amp; Hodge, 1998).</w:t>
      </w:r>
    </w:p>
    <w:p w:rsidR="008B10A2" w:rsidRDefault="00CC1C19" w:rsidP="00CC1C19">
      <w:pPr>
        <w:spacing w:after="240"/>
      </w:pPr>
      <w:r>
        <w:t xml:space="preserve">Confidentiality is not the only aspect of professional responsibility. It covers the responsibility for </w:t>
      </w:r>
      <w:proofErr w:type="spellStart"/>
      <w:r>
        <w:t>candour</w:t>
      </w:r>
      <w:proofErr w:type="spellEnd"/>
      <w:r>
        <w:t xml:space="preserve"> – to be truthful with patients about errors, adverse events and uncertainty – and the management of conflict of interest. Historically the culture of medicine has been one that does not promote disclosure of errors, though it is known that open disclosure brings about less patient distress, learning, and possibly decreases litigation (Gallagher et al., 2003). After the Mid </w:t>
      </w:r>
      <w:r>
        <w:lastRenderedPageBreak/>
        <w:t xml:space="preserve">Staffordshire NHS Foundation Trust scandal, where there had been a systematic failure of care which was hidden from patients and the public (Francis, 2013), professional regulations in several countries have included duty of </w:t>
      </w:r>
      <w:proofErr w:type="spellStart"/>
      <w:r>
        <w:t>candour</w:t>
      </w:r>
      <w:proofErr w:type="spellEnd"/>
      <w:r>
        <w:t xml:space="preserve"> requirements</w:t>
      </w:r>
      <w:r w:rsidR="000F69A3">
        <w:t>.</w:t>
      </w:r>
    </w:p>
    <w:p w:rsidR="008B10A2" w:rsidRDefault="000F69A3" w:rsidP="00CC1C19">
      <w:r>
        <w:br w:type="page"/>
      </w:r>
    </w:p>
    <w:p w:rsidR="008B10A2" w:rsidRPr="00E36C1F" w:rsidRDefault="000E5AAF" w:rsidP="00CC1C19">
      <w:pPr>
        <w:pStyle w:val="Heading1"/>
      </w:pPr>
      <w:bookmarkStart w:id="18" w:name="_Toc230190332"/>
      <w:r>
        <w:lastRenderedPageBreak/>
        <w:t xml:space="preserve">5. </w:t>
      </w:r>
      <w:r w:rsidR="000F69A3" w:rsidRPr="00E36C1F">
        <w:t>Discussion</w:t>
      </w:r>
      <w:bookmarkEnd w:id="18"/>
    </w:p>
    <w:p w:rsidR="008B10A2" w:rsidRDefault="00CC1C19" w:rsidP="00CC1C19">
      <w:pPr>
        <w:spacing w:after="240"/>
      </w:pPr>
      <w:r>
        <w:t xml:space="preserve">The results identify a healthcare ethics that remains fraught with conflict among principles, is changing, and is complicated by the nature of clinical healthcare. This section </w:t>
      </w:r>
      <w:proofErr w:type="spellStart"/>
      <w:r>
        <w:t>summarises</w:t>
      </w:r>
      <w:proofErr w:type="spellEnd"/>
      <w:r>
        <w:t xml:space="preserve"> the key findings from the analysis and explores their implications for healthcare professionals, institutions and policies</w:t>
      </w:r>
      <w:r w:rsidR="000F69A3">
        <w:t>.</w:t>
      </w:r>
    </w:p>
    <w:p w:rsidR="008B10A2" w:rsidRPr="00E36C1F" w:rsidRDefault="000F69A3" w:rsidP="00CC1C19">
      <w:pPr>
        <w:pStyle w:val="Heading2"/>
      </w:pPr>
      <w:bookmarkStart w:id="19" w:name="_Toc230190333"/>
      <w:r w:rsidRPr="00E36C1F">
        <w:t>5.1 The Challenge of Principle Conflict</w:t>
      </w:r>
      <w:bookmarkEnd w:id="19"/>
    </w:p>
    <w:p w:rsidR="00CC1C19" w:rsidRDefault="00CC1C19" w:rsidP="00CC1C19">
      <w:r>
        <w:t xml:space="preserve">Perhaps the most common principle found in the literature and case analysis is that principles are compelling, but at the same time they often are in conflict. The </w:t>
      </w:r>
      <w:proofErr w:type="spellStart"/>
      <w:r>
        <w:t>Dax</w:t>
      </w:r>
      <w:proofErr w:type="spellEnd"/>
      <w:r>
        <w:t xml:space="preserve"> Cowart case is an example of the competing principles of autonomy and beneficence that can be encountered in clinical practice in the most extreme form: a competent patient's right to refuse treatment and a clinician's obligation to maintain life and improve the patient's wellbeing. The </w:t>
      </w:r>
      <w:proofErr w:type="spellStart"/>
      <w:r>
        <w:t>Tarasoff</w:t>
      </w:r>
      <w:proofErr w:type="spellEnd"/>
      <w:r>
        <w:t xml:space="preserve"> case is a balancing act between protecting and confidentiality. Allocation of resources is a problem that conflicts individual justice with collective justice.</w:t>
      </w:r>
    </w:p>
    <w:p w:rsidR="00CC1C19" w:rsidRDefault="00CC1C19" w:rsidP="00CC1C19">
      <w:r>
        <w:t>Beauchamp and Childress (2019) recognize that their principles are prima facie obligations, they bind the individual in the absence of more compelling obligations in a given circumstance. If principles are in conflict, it is necessary to specify (narrow the principle) as well as balance (weigh conflicting obligations). It is a process that is inherently context dependent and can't be boiled down to an algorithm. It requires the practical wisdom (</w:t>
      </w:r>
      <w:proofErr w:type="spellStart"/>
      <w:r>
        <w:t>phronesis</w:t>
      </w:r>
      <w:proofErr w:type="spellEnd"/>
      <w:r>
        <w:t>) that Aristotle described as the ability to perceive “the characteristic of the situation that is of moral significance” and then “to act so as to be suitable.”</w:t>
      </w:r>
    </w:p>
    <w:p w:rsidR="008B10A2" w:rsidRDefault="00CC1C19" w:rsidP="00CC1C19">
      <w:pPr>
        <w:spacing w:after="240"/>
      </w:pPr>
      <w:r>
        <w:t xml:space="preserve">Proponents of the </w:t>
      </w:r>
      <w:proofErr w:type="spellStart"/>
      <w:r>
        <w:t>principlism</w:t>
      </w:r>
      <w:proofErr w:type="spellEnd"/>
      <w:r>
        <w:t xml:space="preserve"> approach contend that it is vague and imprecise in situations where principles come into conflict and that it does not offer any substantive resolution but just </w:t>
      </w:r>
      <w:r>
        <w:lastRenderedPageBreak/>
        <w:t>procedural mechanisms to address these situations (</w:t>
      </w:r>
      <w:proofErr w:type="spellStart"/>
      <w:r>
        <w:t>Clouser</w:t>
      </w:r>
      <w:proofErr w:type="spellEnd"/>
      <w:r>
        <w:t xml:space="preserve"> &amp; </w:t>
      </w:r>
      <w:proofErr w:type="spellStart"/>
      <w:r>
        <w:t>Gert</w:t>
      </w:r>
      <w:proofErr w:type="spellEnd"/>
      <w:r>
        <w:t>, 1990). If there is a true moral disaster, with nothing right that does harm, then this criticism is valid. The options that are suggested, however, which take only one principle (utility, rights, virtue) are arguably just as inadequate at capturing the full richness of moral life in healthcare</w:t>
      </w:r>
      <w:r w:rsidR="000F69A3">
        <w:t>.</w:t>
      </w:r>
    </w:p>
    <w:p w:rsidR="008B10A2" w:rsidRPr="00E36C1F" w:rsidRDefault="000F69A3" w:rsidP="00CC1C19">
      <w:pPr>
        <w:pStyle w:val="Heading2"/>
      </w:pPr>
      <w:bookmarkStart w:id="20" w:name="_Toc230190334"/>
      <w:r w:rsidRPr="00E36C1F">
        <w:t>5.2 The Role of Institutional Mechanisms</w:t>
      </w:r>
      <w:bookmarkEnd w:id="20"/>
    </w:p>
    <w:p w:rsidR="00CC1C19" w:rsidRDefault="00CC1C19" w:rsidP="00CC1C19">
      <w:r>
        <w:t>The primary importance of institutional structures to the facilitation of ethical decision making is highlighted. Clinical ethics committees (CECs), which were first formed in the United States in the 1970s after the Quinlan case, serve as a place for interdisciplinary discussion of difficult cases, for developing policy and for teaching ethics. The research literature is consistent in verifying the quality of the decisions made by the health care team and to show that moral distress can occur for health care workers, especially during end-of-life care, and that CECs can lessen that moral distress (Hurst et al., 2007).</w:t>
      </w:r>
    </w:p>
    <w:p w:rsidR="00CC1C19" w:rsidRDefault="00CC1C19" w:rsidP="00CC1C19">
      <w:r>
        <w:t>In research, Institutional Review Boards (IRB) and their international equivalent, institutional human research protection boards (IRPBs), have a similar function of assessing research protocols for adherence to ethical guidelines before the research begins. The effectiveness of IRBs, however, has been called into question because critics believe they are not sufficiently independent, not well-resourced enough and are too subject to being rubber-stamped without careful ethical review (Stark, 2012).</w:t>
      </w:r>
    </w:p>
    <w:p w:rsidR="008B10A2" w:rsidRDefault="00CC1C19" w:rsidP="00CC1C19">
      <w:pPr>
        <w:spacing w:after="240"/>
      </w:pPr>
      <w:r>
        <w:t xml:space="preserve">Ethical practice is influenced by the law. In England and Wales, the Mental Capacity Act 2005 is a statutory framework for decision making on behalf of an incapacitated patient, it has introduced the concept of best interests and the seeking of independent advocacy. Similar laws are found in most jurisdictions, but are enforced differently. For healthcare professionals to operate in an </w:t>
      </w:r>
      <w:r>
        <w:lastRenderedPageBreak/>
        <w:t>ethically appropriate manner, they need to be aware of the legal framework within their jurisdiction, and they need to know that legal compliance is not enough to make healthcare practice ethically appropriate</w:t>
      </w:r>
      <w:r w:rsidR="000F69A3">
        <w:t>.</w:t>
      </w:r>
    </w:p>
    <w:p w:rsidR="008B10A2" w:rsidRPr="00E36C1F" w:rsidRDefault="000F69A3" w:rsidP="00CC1C19">
      <w:pPr>
        <w:pStyle w:val="Heading2"/>
      </w:pPr>
      <w:bookmarkStart w:id="21" w:name="_Toc230190335"/>
      <w:r w:rsidRPr="00E36C1F">
        <w:t>5.3 Communication and Ethical Practice</w:t>
      </w:r>
      <w:bookmarkEnd w:id="21"/>
    </w:p>
    <w:p w:rsidR="00CC1C19" w:rsidRDefault="00CC1C19" w:rsidP="00CC1C19">
      <w:r>
        <w:t>Communication is an integral part of ethical health care practice, as indicated by the literature. Informed consent is not a one-way street, but a continuing conversation, a process of reflection and a joint decision-making process. Regardless of patients' purported consent to a plan, studies of patient-provider communication indicate that many would leave consultation without understanding what is going on with their diagnosis, prognosis, or treatment options (Epstein &amp; Street, 2007).</w:t>
      </w:r>
    </w:p>
    <w:p w:rsidR="008B10A2" w:rsidRDefault="00CC1C19" w:rsidP="00CC1C19">
      <w:pPr>
        <w:spacing w:after="240"/>
      </w:pPr>
      <w:r>
        <w:t>Ethical communication is growing in importance and one aspect of it is cultural competence. In multi-cultural societies, health professionals come across patients who have a different cultural background to themselves, affecting their perception of illness, treatment and decision making. The respect for cultural difference must be coupled with the awareness of possible cultural essentialism (the belief that all of the members of a cultural group share the same ideas). With ethical practice comes the challenge of tapping into the patient's values and preferences, not assuming them based on patient culture (</w:t>
      </w:r>
      <w:proofErr w:type="spellStart"/>
      <w:r>
        <w:t>Kleinman</w:t>
      </w:r>
      <w:proofErr w:type="spellEnd"/>
      <w:r>
        <w:t>, Eisenberg, &amp; Good, 1978)</w:t>
      </w:r>
      <w:r w:rsidR="000F69A3">
        <w:t>.</w:t>
      </w:r>
    </w:p>
    <w:p w:rsidR="008B10A2" w:rsidRPr="00E36C1F" w:rsidRDefault="000F69A3" w:rsidP="00CC1C19">
      <w:pPr>
        <w:pStyle w:val="Heading2"/>
      </w:pPr>
      <w:bookmarkStart w:id="22" w:name="_Toc230190336"/>
      <w:r w:rsidRPr="00E36C1F">
        <w:t>5.4 Moral Distress and Professional Wellbeing</w:t>
      </w:r>
      <w:bookmarkEnd w:id="22"/>
    </w:p>
    <w:p w:rsidR="00CC1C19" w:rsidRDefault="00CC1C19" w:rsidP="00CC1C19">
      <w:r>
        <w:t>Moral distress refers to the distress suffered when one is aware of the morally proper action to take but is unable to do so (</w:t>
      </w:r>
      <w:proofErr w:type="spellStart"/>
      <w:r>
        <w:t>Jameton</w:t>
      </w:r>
      <w:proofErr w:type="spellEnd"/>
      <w:r>
        <w:t>, 1984), and is a problem in healthcare, especially among nurses and allied health professions (AHP) (</w:t>
      </w:r>
      <w:proofErr w:type="spellStart"/>
      <w:r>
        <w:t>Jameton</w:t>
      </w:r>
      <w:proofErr w:type="spellEnd"/>
      <w:r>
        <w:t xml:space="preserve">, 1984). Moral distress can stem from situations </w:t>
      </w:r>
      <w:r>
        <w:lastRenderedPageBreak/>
        <w:t>where one is asked to care for someone in a way that is believed to be futile or harmful, seeing unethical practices from colleagues, and facing institutional pressures that can diminish professional integrity.</w:t>
      </w:r>
    </w:p>
    <w:p w:rsidR="008B10A2" w:rsidRDefault="00CC1C19" w:rsidP="00CC1C19">
      <w:pPr>
        <w:spacing w:after="240"/>
      </w:pPr>
      <w:r>
        <w:t xml:space="preserve">Burnout, the intent to leave the profession and diminished patient care have been linked to moral distress. Ethics education, reflection practice forums, clinical ethics consultation, and organizational commitment to ethical work environments are listed as organizational responses (Epstein &amp; </w:t>
      </w:r>
      <w:proofErr w:type="spellStart"/>
      <w:r>
        <w:t>Hamric</w:t>
      </w:r>
      <w:proofErr w:type="spellEnd"/>
      <w:r>
        <w:t xml:space="preserve">, 2009). The interventions </w:t>
      </w:r>
      <w:proofErr w:type="spellStart"/>
      <w:r>
        <w:t>recognise</w:t>
      </w:r>
      <w:proofErr w:type="spellEnd"/>
      <w:r>
        <w:t xml:space="preserve"> that professionals' </w:t>
      </w:r>
      <w:proofErr w:type="spellStart"/>
      <w:r>
        <w:t>behaviour</w:t>
      </w:r>
      <w:proofErr w:type="spellEnd"/>
      <w:r>
        <w:t xml:space="preserve"> is not exclusively a function of their personal ethics, but of the </w:t>
      </w:r>
      <w:proofErr w:type="spellStart"/>
      <w:r>
        <w:t>organisation</w:t>
      </w:r>
      <w:proofErr w:type="spellEnd"/>
      <w:r>
        <w:t xml:space="preserve"> and culture within which they operate</w:t>
      </w:r>
      <w:r w:rsidR="000F69A3">
        <w:t>.</w:t>
      </w:r>
    </w:p>
    <w:p w:rsidR="008B10A2" w:rsidRPr="00E36C1F" w:rsidRDefault="000F69A3" w:rsidP="00CC1C19">
      <w:pPr>
        <w:pStyle w:val="Heading2"/>
      </w:pPr>
      <w:bookmarkStart w:id="23" w:name="_Toc230190337"/>
      <w:r w:rsidRPr="00E36C1F">
        <w:t>5.5 Recommendations</w:t>
      </w:r>
      <w:bookmarkEnd w:id="23"/>
    </w:p>
    <w:p w:rsidR="008B10A2" w:rsidRDefault="00CC1C19" w:rsidP="00CC1C19">
      <w:pPr>
        <w:spacing w:after="240"/>
      </w:pPr>
      <w:r>
        <w:t>This report recommends the following ways of improving the ethical decision-making process in healthcare, based on findings and discussion</w:t>
      </w:r>
      <w:r w:rsidR="000F69A3">
        <w:t>:</w:t>
      </w:r>
    </w:p>
    <w:p w:rsidR="00CC1C19" w:rsidRDefault="00CC1C19" w:rsidP="00CC1C19">
      <w:r>
        <w:t>Healthcare organizations must make it a priority to provide staff with complete ethics training during their training and career development, and focus on the ability to use practical reasoning and analyze case studies.</w:t>
      </w:r>
    </w:p>
    <w:p w:rsidR="00CC1C19" w:rsidRDefault="00CC1C19" w:rsidP="00CC1C19">
      <w:r>
        <w:t>Second, clinical ethics committees should be resourced and empowered to offer timely consultation on complex cases, and should include an interdisciplinary and diverse membership, reflective of the type of population they serve.</w:t>
      </w:r>
    </w:p>
    <w:p w:rsidR="00CC1C19" w:rsidRDefault="00CC1C19" w:rsidP="00CC1C19">
      <w:r>
        <w:t>Third, informed consent processes need to be changed to include continued dialogue rather than a single document, and should include decision aids, patient educators and interpretation services to help the patient to understand.</w:t>
      </w:r>
    </w:p>
    <w:p w:rsidR="00CC1C19" w:rsidRDefault="00CC1C19" w:rsidP="00CC1C19">
      <w:r>
        <w:lastRenderedPageBreak/>
        <w:t xml:space="preserve">Fourth, there should be clear policies and principles on duty of </w:t>
      </w:r>
      <w:proofErr w:type="spellStart"/>
      <w:r>
        <w:t>candour</w:t>
      </w:r>
      <w:proofErr w:type="spellEnd"/>
      <w:r>
        <w:t xml:space="preserve"> and error disclosure, alongside a culture of leadership that values transparency over self-protection within healthcare </w:t>
      </w:r>
      <w:proofErr w:type="spellStart"/>
      <w:r>
        <w:t>organisations</w:t>
      </w:r>
      <w:proofErr w:type="spellEnd"/>
      <w:r>
        <w:t>.</w:t>
      </w:r>
    </w:p>
    <w:p w:rsidR="008B10A2" w:rsidRDefault="00CC1C19" w:rsidP="00CC1C19">
      <w:pPr>
        <w:spacing w:after="240"/>
      </w:pPr>
      <w:r>
        <w:t>Fifth, moral distress ought to be seen as a vital organizational concern and tackled by institutionally embedding structural interventions, such as workload management, moral supports, and fostering psychological safety</w:t>
      </w:r>
      <w:r w:rsidR="000F69A3">
        <w:t>.</w:t>
      </w:r>
    </w:p>
    <w:p w:rsidR="008B10A2" w:rsidRDefault="000F69A3" w:rsidP="00CC1C19">
      <w:r>
        <w:br w:type="page"/>
      </w:r>
    </w:p>
    <w:p w:rsidR="008B10A2" w:rsidRPr="00E36C1F" w:rsidRDefault="000E5AAF" w:rsidP="00CC1C19">
      <w:pPr>
        <w:pStyle w:val="Heading1"/>
      </w:pPr>
      <w:bookmarkStart w:id="24" w:name="_Toc230190338"/>
      <w:r>
        <w:lastRenderedPageBreak/>
        <w:t xml:space="preserve">6. </w:t>
      </w:r>
      <w:r w:rsidR="000F69A3" w:rsidRPr="00E36C1F">
        <w:t>Conclusion</w:t>
      </w:r>
      <w:bookmarkEnd w:id="24"/>
    </w:p>
    <w:p w:rsidR="008B10A2" w:rsidRDefault="00CC1C19" w:rsidP="00CC1C19">
      <w:pPr>
        <w:spacing w:after="240"/>
      </w:pPr>
      <w:r>
        <w:t>This report has explored the significance of ethical decision-making in health care practice by engaging with a detailed analysis of theory, empirical literature and the analysis of some significant case studies. The evidence provided in the book is very strong for the main thesis that moral competence is a central rather than peripheral part of health care</w:t>
      </w:r>
      <w:r w:rsidR="000F69A3">
        <w:t>.</w:t>
      </w:r>
    </w:p>
    <w:p w:rsidR="008B10A2" w:rsidRDefault="000F69A3" w:rsidP="00CC1C19">
      <w:pPr>
        <w:spacing w:after="240"/>
      </w:pPr>
      <w:r>
        <w:t xml:space="preserve">The four principles of autonomy, beneficence, non-maleficence, and justice provide an indispensable framework for identifying and analyzing moral dimensions in clinical encounters. However, the application of these principles to real-world dilemmas is invariably context-dependent, requiring practical wisdom, interdisciplinary collaboration, and institutional support. The cases of </w:t>
      </w:r>
      <w:proofErr w:type="spellStart"/>
      <w:r>
        <w:t>Dax</w:t>
      </w:r>
      <w:proofErr w:type="spellEnd"/>
      <w:r>
        <w:t xml:space="preserve"> Cowart, Terri </w:t>
      </w:r>
      <w:proofErr w:type="spellStart"/>
      <w:r>
        <w:t>Schiavo</w:t>
      </w:r>
      <w:proofErr w:type="spellEnd"/>
      <w:r>
        <w:t xml:space="preserve">, Tatiana </w:t>
      </w:r>
      <w:proofErr w:type="spellStart"/>
      <w:r>
        <w:t>Tarasoff</w:t>
      </w:r>
      <w:proofErr w:type="spellEnd"/>
      <w:r>
        <w:t>, and the Tuskegee syphilis study each illuminate specific dimensions of this complexity and underscore the real human stakes of ethical failure in healthcare.</w:t>
      </w:r>
    </w:p>
    <w:p w:rsidR="008B10A2" w:rsidRDefault="000F69A3" w:rsidP="00CC1C19">
      <w:pPr>
        <w:spacing w:after="240"/>
      </w:pPr>
      <w:r>
        <w:t>The analysis also reveals that ethical challenges in healthcare are not solely matters of individual professional conduct but are shaped by organizational cultures, legal frameworks, resource constraints, and structural inequalities. Addressing these challenges requires not only that individual clinicians cultivate ethical character and reasoning skills, but also that healthcare institutions create environments that support, rather than undermine, ethical practice.</w:t>
      </w:r>
    </w:p>
    <w:p w:rsidR="008B10A2" w:rsidRDefault="000F69A3" w:rsidP="00CC1C19">
      <w:pPr>
        <w:spacing w:after="240"/>
      </w:pPr>
      <w:r>
        <w:t xml:space="preserve">As medical technology advances, new ethical challenges will continue to emerge—from artificial intelligence in diagnosis to genetic editing and genomic privacy—demanding that the bioethical enterprise remain dynamic, self-critical, and responsive to evolving social values. The enduring importance of ethical decision-making in healthcare lies in its recognition that patients are not </w:t>
      </w:r>
      <w:r>
        <w:lastRenderedPageBreak/>
        <w:t>merely biological organisms but persons whose dignity, autonomy, and welfare must always remain at the center of medical practice.</w:t>
      </w:r>
    </w:p>
    <w:p w:rsidR="00CC1C19" w:rsidRDefault="00CC1C19" w:rsidP="00CC1C19">
      <w:r>
        <w:t xml:space="preserve">The four principles of autonomy, beneficence, non-maleficence, and justice are essential to recognizing and studying the moral aspects of clinical situations. But these principles always have to be used in practice and adapted to individual contexts and dilemmas, which will inevitably involve cross-disciplinary interaction, as well as institutional support and practical wisdom. Each of these cases - </w:t>
      </w:r>
      <w:proofErr w:type="spellStart"/>
      <w:r>
        <w:t>Dax</w:t>
      </w:r>
      <w:proofErr w:type="spellEnd"/>
      <w:r>
        <w:t xml:space="preserve"> Cowart, Terri </w:t>
      </w:r>
      <w:proofErr w:type="spellStart"/>
      <w:r>
        <w:t>Schiavo</w:t>
      </w:r>
      <w:proofErr w:type="spellEnd"/>
      <w:r>
        <w:t xml:space="preserve">, Tatiana </w:t>
      </w:r>
      <w:proofErr w:type="spellStart"/>
      <w:r>
        <w:t>Tarasoff</w:t>
      </w:r>
      <w:proofErr w:type="spellEnd"/>
      <w:r>
        <w:t xml:space="preserve"> and the Tuskegee syphilis study - provides a different aspect of this complexity and the human cost of the ethical wrongdoing involved in the health care environment.</w:t>
      </w:r>
    </w:p>
    <w:p w:rsidR="00CC1C19" w:rsidRDefault="00CC1C19" w:rsidP="00CC1C19">
      <w:r>
        <w:t>Furthermore, the analysis suggests that ethical issues in healthcare are not simply related to individual practitioners' ethical standards but also influence by organizational cultures, legality, limited resources and structural inequality. Individual clinicians need to develop the ethical character and ethical reasoning skills to overcome these challenges, but also the healthcare institutions have to provide the environment that facilitates, rather than undermines, ethical practice.</w:t>
      </w:r>
    </w:p>
    <w:p w:rsidR="008B10A2" w:rsidRDefault="00CC1C19" w:rsidP="00CC1C19">
      <w:r>
        <w:t>With the progress of medical technology, new bioethical issues will continue to arise, starting from artificial intelligence in diagnosis to genetic editing and genomic privacy issues, which will require the bioethical enterprise to stay dynamic, self-critical and responsive to new social values. Ethical decision making is a continuing value in health care because patients are first persons, with a dignity and autonomy that must always be respected in health care, rather than just a biological entity.</w:t>
      </w:r>
    </w:p>
    <w:p w:rsidR="00CC1C19" w:rsidRDefault="00CC1C19" w:rsidP="00CC1C19">
      <w:pPr>
        <w:jc w:val="left"/>
        <w:rPr>
          <w:b/>
          <w:bCs/>
          <w:sz w:val="32"/>
          <w:szCs w:val="28"/>
        </w:rPr>
      </w:pPr>
      <w:r>
        <w:br w:type="page"/>
      </w:r>
    </w:p>
    <w:p w:rsidR="008B10A2" w:rsidRPr="00E36C1F" w:rsidRDefault="000F69A3" w:rsidP="00CC1C19">
      <w:pPr>
        <w:pStyle w:val="Heading1"/>
      </w:pPr>
      <w:bookmarkStart w:id="25" w:name="_Toc230190339"/>
      <w:r w:rsidRPr="00E36C1F">
        <w:lastRenderedPageBreak/>
        <w:t>References</w:t>
      </w:r>
      <w:bookmarkEnd w:id="25"/>
    </w:p>
    <w:p w:rsidR="008B10A2" w:rsidRDefault="000F69A3" w:rsidP="00CC1C19">
      <w:pPr>
        <w:spacing w:after="240"/>
      </w:pPr>
      <w:proofErr w:type="spellStart"/>
      <w:r>
        <w:t>Appelbaum</w:t>
      </w:r>
      <w:proofErr w:type="spellEnd"/>
      <w:r>
        <w:t>, P. S. (1994). Almost a revolution: Mental health law and the limits of change. Oxford University Press.</w:t>
      </w:r>
    </w:p>
    <w:p w:rsidR="008B10A2" w:rsidRDefault="000F69A3" w:rsidP="00CC1C19">
      <w:pPr>
        <w:spacing w:after="240"/>
      </w:pPr>
      <w:r>
        <w:t xml:space="preserve">Beauchamp, T. L., &amp; Childress, J. F. (2019). Principles of biomedical ethics (8th </w:t>
      </w:r>
      <w:proofErr w:type="gramStart"/>
      <w:r>
        <w:t>ed</w:t>
      </w:r>
      <w:proofErr w:type="gramEnd"/>
      <w:r>
        <w:t>.). Oxford University Press.</w:t>
      </w:r>
    </w:p>
    <w:p w:rsidR="008B10A2" w:rsidRDefault="000F69A3" w:rsidP="00CC1C19">
      <w:pPr>
        <w:spacing w:after="240"/>
      </w:pPr>
      <w:r>
        <w:t xml:space="preserve">Berg, J. W., </w:t>
      </w:r>
      <w:proofErr w:type="spellStart"/>
      <w:r>
        <w:t>Appelbaum</w:t>
      </w:r>
      <w:proofErr w:type="spellEnd"/>
      <w:r>
        <w:t xml:space="preserve">, P. S., </w:t>
      </w:r>
      <w:proofErr w:type="spellStart"/>
      <w:r>
        <w:t>Lidz</w:t>
      </w:r>
      <w:proofErr w:type="spellEnd"/>
      <w:r>
        <w:t xml:space="preserve">, C. W., &amp; Parker, L. S. (2001). Informed consent: Legal theory and clinical practice (2nd </w:t>
      </w:r>
      <w:proofErr w:type="gramStart"/>
      <w:r>
        <w:t>ed</w:t>
      </w:r>
      <w:proofErr w:type="gramEnd"/>
      <w:r>
        <w:t>.). Oxford University Press.</w:t>
      </w:r>
    </w:p>
    <w:p w:rsidR="008B10A2" w:rsidRDefault="000F69A3" w:rsidP="00CC1C19">
      <w:pPr>
        <w:spacing w:after="240"/>
      </w:pPr>
      <w:r>
        <w:t xml:space="preserve">Caplan, A. L., McCartney, J. J., &amp; </w:t>
      </w:r>
      <w:proofErr w:type="spellStart"/>
      <w:r>
        <w:t>Sisti</w:t>
      </w:r>
      <w:proofErr w:type="spellEnd"/>
      <w:r>
        <w:t xml:space="preserve">, D. A. (Eds.). (2006). </w:t>
      </w:r>
      <w:proofErr w:type="gramStart"/>
      <w:r>
        <w:t>The</w:t>
      </w:r>
      <w:proofErr w:type="gramEnd"/>
      <w:r>
        <w:t xml:space="preserve"> case of Terri </w:t>
      </w:r>
      <w:proofErr w:type="spellStart"/>
      <w:r>
        <w:t>Schiavo</w:t>
      </w:r>
      <w:proofErr w:type="spellEnd"/>
      <w:r>
        <w:t>: Ethics at the end of life. Prometheus Books.</w:t>
      </w:r>
    </w:p>
    <w:p w:rsidR="008B10A2" w:rsidRDefault="000F69A3" w:rsidP="00CC1C19">
      <w:pPr>
        <w:spacing w:after="240"/>
      </w:pPr>
      <w:r>
        <w:t xml:space="preserve">Charles, C., </w:t>
      </w:r>
      <w:proofErr w:type="spellStart"/>
      <w:r>
        <w:t>Gafni</w:t>
      </w:r>
      <w:proofErr w:type="spellEnd"/>
      <w:r>
        <w:t xml:space="preserve">, A., &amp; Whelan, T. (1997). Shared decision-making in the medical encounter: What does it mean? (Or it takes at least two to tango). Social Science &amp; Medicine, 44(5), 681–692. </w:t>
      </w:r>
      <w:hyperlink r:id="rId8" w:history="1">
        <w:r w:rsidR="00A03EF5" w:rsidRPr="005024EA">
          <w:rPr>
            <w:rStyle w:val="Hyperlink"/>
          </w:rPr>
          <w:t>https://doi.org/10.1016/S0277-9536(96)00221-3</w:t>
        </w:r>
      </w:hyperlink>
      <w:r w:rsidR="00A03EF5">
        <w:t xml:space="preserve"> </w:t>
      </w:r>
    </w:p>
    <w:p w:rsidR="008B10A2" w:rsidRDefault="000F69A3" w:rsidP="00CC1C19">
      <w:pPr>
        <w:spacing w:after="240"/>
      </w:pPr>
      <w:proofErr w:type="spellStart"/>
      <w:r>
        <w:t>Clouser</w:t>
      </w:r>
      <w:proofErr w:type="spellEnd"/>
      <w:r>
        <w:t xml:space="preserve">, K. D., &amp; </w:t>
      </w:r>
      <w:proofErr w:type="spellStart"/>
      <w:r>
        <w:t>Gert</w:t>
      </w:r>
      <w:proofErr w:type="spellEnd"/>
      <w:r>
        <w:t xml:space="preserve">, B. (1990). A critique of </w:t>
      </w:r>
      <w:proofErr w:type="spellStart"/>
      <w:r>
        <w:t>principlism</w:t>
      </w:r>
      <w:proofErr w:type="spellEnd"/>
      <w:r>
        <w:t xml:space="preserve">. Journal of Medicine and Philosophy, 15(2), 219–236. </w:t>
      </w:r>
      <w:hyperlink r:id="rId9" w:history="1">
        <w:r w:rsidR="00A03EF5" w:rsidRPr="005024EA">
          <w:rPr>
            <w:rStyle w:val="Hyperlink"/>
          </w:rPr>
          <w:t>https://doi.org/10.1093/jmp/15.2.219</w:t>
        </w:r>
      </w:hyperlink>
      <w:r w:rsidR="00A03EF5">
        <w:t xml:space="preserve"> </w:t>
      </w:r>
    </w:p>
    <w:p w:rsidR="008B10A2" w:rsidRDefault="000F69A3" w:rsidP="00CC1C19">
      <w:pPr>
        <w:spacing w:after="240"/>
      </w:pPr>
      <w:r>
        <w:t xml:space="preserve">Epstein, R. M., &amp; </w:t>
      </w:r>
      <w:proofErr w:type="spellStart"/>
      <w:r>
        <w:t>Hamric</w:t>
      </w:r>
      <w:proofErr w:type="spellEnd"/>
      <w:r>
        <w:t>, A. B. (2009). Moral distress, moral residue, and the crescendo effect. Journal of Clinical Ethics, 20(4), 330–342.</w:t>
      </w:r>
    </w:p>
    <w:p w:rsidR="008B10A2" w:rsidRDefault="000F69A3" w:rsidP="00CC1C19">
      <w:pPr>
        <w:spacing w:after="240"/>
      </w:pPr>
      <w:r>
        <w:t>Epstein, R. M., &amp; Street, R. L. (2007). Patient-centered communication in cancer care: Promoting healing and reducing suffering. National Cancer Institute.</w:t>
      </w:r>
    </w:p>
    <w:p w:rsidR="008B10A2" w:rsidRDefault="000F69A3" w:rsidP="00CC1C19">
      <w:pPr>
        <w:spacing w:after="240"/>
      </w:pPr>
      <w:proofErr w:type="spellStart"/>
      <w:r>
        <w:lastRenderedPageBreak/>
        <w:t>Faden</w:t>
      </w:r>
      <w:proofErr w:type="spellEnd"/>
      <w:r>
        <w:t>, R. R., &amp; Beauchamp, T. L. (1986). A history and theory of informed consent. Oxford University Press.</w:t>
      </w:r>
    </w:p>
    <w:p w:rsidR="008B10A2" w:rsidRDefault="000F69A3" w:rsidP="00CC1C19">
      <w:pPr>
        <w:spacing w:after="240"/>
      </w:pPr>
      <w:r>
        <w:t>Francis, R. (2013). Report of the Mid Staffordshire NHS Foundation Trust Public Inquiry. The Stationery Office.</w:t>
      </w:r>
    </w:p>
    <w:p w:rsidR="008B10A2" w:rsidRDefault="000F69A3" w:rsidP="00CC1C19">
      <w:pPr>
        <w:spacing w:after="240"/>
      </w:pPr>
      <w:r>
        <w:t xml:space="preserve">Gallagher, T. H., Waterman, A. D., </w:t>
      </w:r>
      <w:proofErr w:type="spellStart"/>
      <w:r>
        <w:t>Ebers</w:t>
      </w:r>
      <w:proofErr w:type="spellEnd"/>
      <w:r>
        <w:t xml:space="preserve">, A. G., Fraser, V. J., &amp; Levinson, W. (2003). Patients' and physicians' attitudes regarding the disclosure of medical errors. JAMA, 289(8), 1001–1007. </w:t>
      </w:r>
      <w:hyperlink r:id="rId10" w:history="1">
        <w:r w:rsidR="00A03EF5" w:rsidRPr="005024EA">
          <w:rPr>
            <w:rStyle w:val="Hyperlink"/>
          </w:rPr>
          <w:t>https://doi.org/10.1001/jama.289.8.1001</w:t>
        </w:r>
      </w:hyperlink>
      <w:r w:rsidR="00A03EF5">
        <w:t xml:space="preserve"> </w:t>
      </w:r>
    </w:p>
    <w:p w:rsidR="008B10A2" w:rsidRDefault="000F69A3" w:rsidP="00CC1C19">
      <w:pPr>
        <w:spacing w:after="240"/>
      </w:pPr>
      <w:r>
        <w:t>Gilligan, C. (1982). In a different voice: Psychological theory and women's development. Harvard University Press.</w:t>
      </w:r>
    </w:p>
    <w:p w:rsidR="008B10A2" w:rsidRDefault="000F69A3" w:rsidP="00CC1C19">
      <w:pPr>
        <w:spacing w:after="240"/>
      </w:pPr>
      <w:proofErr w:type="spellStart"/>
      <w:r>
        <w:t>Gostin</w:t>
      </w:r>
      <w:proofErr w:type="spellEnd"/>
      <w:r>
        <w:t>, L. O., &amp; Hodge, J. G. (1998). Piercing the veil of secrecy in HIV/AIDS and other sexually transmitted diseases: Theories of privacy and disclosure in partner notification. Duke Journal of Gender Law and Policy, 5, 9–88.</w:t>
      </w:r>
    </w:p>
    <w:p w:rsidR="008B10A2" w:rsidRDefault="000F69A3" w:rsidP="00CC1C19">
      <w:pPr>
        <w:spacing w:after="240"/>
      </w:pPr>
      <w:proofErr w:type="spellStart"/>
      <w:r>
        <w:t>Grisso</w:t>
      </w:r>
      <w:proofErr w:type="spellEnd"/>
      <w:r>
        <w:t xml:space="preserve">, T., &amp; </w:t>
      </w:r>
      <w:proofErr w:type="spellStart"/>
      <w:r>
        <w:t>Appelbaum</w:t>
      </w:r>
      <w:proofErr w:type="spellEnd"/>
      <w:r>
        <w:t>, P. S. (1998). Assessing competence to consent to treatment: A guide for physicians and other health professionals. Oxford University Press.</w:t>
      </w:r>
    </w:p>
    <w:p w:rsidR="008B10A2" w:rsidRDefault="000F69A3" w:rsidP="00CC1C19">
      <w:pPr>
        <w:spacing w:after="240"/>
      </w:pPr>
      <w:r>
        <w:t xml:space="preserve">Hurst, S. A., Reiter-Theil, S., </w:t>
      </w:r>
      <w:proofErr w:type="spellStart"/>
      <w:r>
        <w:t>Slowther</w:t>
      </w:r>
      <w:proofErr w:type="spellEnd"/>
      <w:r>
        <w:t xml:space="preserve">, A., </w:t>
      </w:r>
      <w:proofErr w:type="spellStart"/>
      <w:r>
        <w:t>Pegoraro</w:t>
      </w:r>
      <w:proofErr w:type="spellEnd"/>
      <w:r>
        <w:t xml:space="preserve">, R., </w:t>
      </w:r>
      <w:proofErr w:type="spellStart"/>
      <w:r>
        <w:t>Foerde</w:t>
      </w:r>
      <w:proofErr w:type="spellEnd"/>
      <w:r>
        <w:t xml:space="preserve">, R., &amp; </w:t>
      </w:r>
      <w:proofErr w:type="spellStart"/>
      <w:r>
        <w:t>Danis</w:t>
      </w:r>
      <w:proofErr w:type="spellEnd"/>
      <w:r>
        <w:t xml:space="preserve">, M. (2007). Should ethics consultants help resolve clinician-patient disagreements about medical intervention? Journal of Medical Ethics, 33(5), 253–258. </w:t>
      </w:r>
      <w:hyperlink r:id="rId11" w:history="1">
        <w:r w:rsidR="00A03EF5" w:rsidRPr="005024EA">
          <w:rPr>
            <w:rStyle w:val="Hyperlink"/>
          </w:rPr>
          <w:t>https://doi.org/10.1136/jme.2006.016410</w:t>
        </w:r>
      </w:hyperlink>
      <w:r w:rsidR="00A03EF5">
        <w:t xml:space="preserve"> </w:t>
      </w:r>
    </w:p>
    <w:p w:rsidR="008B10A2" w:rsidRDefault="000F69A3" w:rsidP="00CC1C19">
      <w:pPr>
        <w:spacing w:after="240"/>
      </w:pPr>
      <w:proofErr w:type="spellStart"/>
      <w:r>
        <w:t>Jameton</w:t>
      </w:r>
      <w:proofErr w:type="spellEnd"/>
      <w:r>
        <w:t>, A. (1984). Nursing practice: The ethical issues. Prentice-Hall.</w:t>
      </w:r>
    </w:p>
    <w:p w:rsidR="008B10A2" w:rsidRDefault="000F69A3" w:rsidP="00CC1C19">
      <w:pPr>
        <w:spacing w:after="240"/>
      </w:pPr>
      <w:r>
        <w:t xml:space="preserve">Jones, J. H. (1993). Bad blood: The Tuskegee syphilis experiment (new and expanded </w:t>
      </w:r>
      <w:proofErr w:type="gramStart"/>
      <w:r>
        <w:t>ed</w:t>
      </w:r>
      <w:proofErr w:type="gramEnd"/>
      <w:r>
        <w:t>.). Free Press.</w:t>
      </w:r>
    </w:p>
    <w:p w:rsidR="008B10A2" w:rsidRDefault="000F69A3" w:rsidP="00CC1C19">
      <w:pPr>
        <w:spacing w:after="240"/>
      </w:pPr>
      <w:proofErr w:type="spellStart"/>
      <w:r>
        <w:lastRenderedPageBreak/>
        <w:t>Jonsen</w:t>
      </w:r>
      <w:proofErr w:type="spellEnd"/>
      <w:r>
        <w:t>, A. R. (2000). A short history of medical ethics. Oxford University Press.</w:t>
      </w:r>
    </w:p>
    <w:p w:rsidR="008B10A2" w:rsidRDefault="000F69A3" w:rsidP="00CC1C19">
      <w:pPr>
        <w:spacing w:after="240"/>
      </w:pPr>
      <w:proofErr w:type="spellStart"/>
      <w:r>
        <w:t>Jonsen</w:t>
      </w:r>
      <w:proofErr w:type="spellEnd"/>
      <w:r>
        <w:t xml:space="preserve">, A. R., &amp; </w:t>
      </w:r>
      <w:proofErr w:type="spellStart"/>
      <w:r>
        <w:t>Toulmin</w:t>
      </w:r>
      <w:proofErr w:type="spellEnd"/>
      <w:r>
        <w:t>, S. (1988). The abuse of casuistry: A history of moral reasoning. University of California Press.</w:t>
      </w:r>
    </w:p>
    <w:p w:rsidR="008B10A2" w:rsidRDefault="000F69A3" w:rsidP="00CC1C19">
      <w:pPr>
        <w:spacing w:after="240"/>
      </w:pPr>
      <w:proofErr w:type="spellStart"/>
      <w:r>
        <w:t>Kleinman</w:t>
      </w:r>
      <w:proofErr w:type="spellEnd"/>
      <w:r>
        <w:t xml:space="preserve">, A., Eisenberg, L., &amp; Good, B. (1978). Culture, illness, and care: Clinical lessons from anthropologic and cross-cultural research. Annals of Internal Medicine, 88(2), 251–258. </w:t>
      </w:r>
      <w:hyperlink r:id="rId12" w:history="1">
        <w:r w:rsidR="00A03EF5" w:rsidRPr="005024EA">
          <w:rPr>
            <w:rStyle w:val="Hyperlink"/>
          </w:rPr>
          <w:t>https://doi.org/10.7326/0003-4819-88-2-251</w:t>
        </w:r>
      </w:hyperlink>
      <w:r w:rsidR="00A03EF5">
        <w:t xml:space="preserve"> </w:t>
      </w:r>
    </w:p>
    <w:p w:rsidR="008B10A2" w:rsidRDefault="000F69A3" w:rsidP="00CC1C19">
      <w:pPr>
        <w:spacing w:after="240"/>
      </w:pPr>
      <w:proofErr w:type="spellStart"/>
      <w:r>
        <w:t>Noddings</w:t>
      </w:r>
      <w:proofErr w:type="spellEnd"/>
      <w:r>
        <w:t>, N. (1984). Caring: A feminine approach to ethics and moral education. University of California Press.</w:t>
      </w:r>
    </w:p>
    <w:p w:rsidR="008B10A2" w:rsidRDefault="000F69A3" w:rsidP="00CC1C19">
      <w:pPr>
        <w:spacing w:after="240"/>
      </w:pPr>
      <w:r>
        <w:t xml:space="preserve">O'Neill, O. (2003). Some limits of informed consent. Journal of Medical Ethics, 29(1), 4–7. </w:t>
      </w:r>
      <w:hyperlink r:id="rId13" w:history="1">
        <w:r w:rsidR="00A03EF5" w:rsidRPr="005024EA">
          <w:rPr>
            <w:rStyle w:val="Hyperlink"/>
          </w:rPr>
          <w:t>https://doi.org/10.1136/jme.29.1.4</w:t>
        </w:r>
      </w:hyperlink>
      <w:r w:rsidR="00A03EF5">
        <w:t xml:space="preserve"> </w:t>
      </w:r>
    </w:p>
    <w:p w:rsidR="008B10A2" w:rsidRDefault="000F69A3" w:rsidP="00CC1C19">
      <w:pPr>
        <w:spacing w:after="240"/>
      </w:pPr>
      <w:r>
        <w:t xml:space="preserve">Pellegrino, E. D., &amp; </w:t>
      </w:r>
      <w:proofErr w:type="spellStart"/>
      <w:r>
        <w:t>Thomasma</w:t>
      </w:r>
      <w:proofErr w:type="spellEnd"/>
      <w:r>
        <w:t>, D. C. (1993). The virtues in medical practice. Oxford University Press.</w:t>
      </w:r>
    </w:p>
    <w:p w:rsidR="008B10A2" w:rsidRDefault="000F69A3" w:rsidP="00CC1C19">
      <w:pPr>
        <w:spacing w:after="240"/>
      </w:pPr>
      <w:r>
        <w:t xml:space="preserve">Quill, T. E. (1993). The ambiguity of clinical intentions. New England Journal of Medicine, 329(14), 1039–1040. </w:t>
      </w:r>
      <w:hyperlink r:id="rId14" w:history="1">
        <w:r w:rsidR="00A03EF5" w:rsidRPr="005024EA">
          <w:rPr>
            <w:rStyle w:val="Hyperlink"/>
          </w:rPr>
          <w:t>https://doi.org/10.1056/NEJM199309303291410</w:t>
        </w:r>
      </w:hyperlink>
      <w:r w:rsidR="00A03EF5">
        <w:t xml:space="preserve"> </w:t>
      </w:r>
    </w:p>
    <w:p w:rsidR="008B10A2" w:rsidRDefault="000F69A3" w:rsidP="00CC1C19">
      <w:pPr>
        <w:spacing w:after="240"/>
      </w:pPr>
      <w:r>
        <w:t>Quill, T. E., Dresser, R., &amp; Brock, D. W. (1997). The rule of double effect—</w:t>
      </w:r>
      <w:proofErr w:type="gramStart"/>
      <w:r>
        <w:t>A</w:t>
      </w:r>
      <w:proofErr w:type="gramEnd"/>
      <w:r>
        <w:t xml:space="preserve"> critique of its role in end-of-life decision making. New England Journal of Medicine, 337(24), 1768–1771. </w:t>
      </w:r>
      <w:hyperlink r:id="rId15" w:history="1">
        <w:r w:rsidR="00A03EF5" w:rsidRPr="005024EA">
          <w:rPr>
            <w:rStyle w:val="Hyperlink"/>
          </w:rPr>
          <w:t>https://doi.org/10.1056/NEJM199712113372413</w:t>
        </w:r>
      </w:hyperlink>
      <w:r w:rsidR="00A03EF5">
        <w:t xml:space="preserve"> </w:t>
      </w:r>
    </w:p>
    <w:p w:rsidR="008B10A2" w:rsidRDefault="000F69A3" w:rsidP="00CC1C19">
      <w:pPr>
        <w:spacing w:after="240"/>
      </w:pPr>
      <w:proofErr w:type="spellStart"/>
      <w:r>
        <w:t>Silveira</w:t>
      </w:r>
      <w:proofErr w:type="spellEnd"/>
      <w:r>
        <w:t xml:space="preserve">, M. J., Kim, S. Y. H., &amp; </w:t>
      </w:r>
      <w:proofErr w:type="spellStart"/>
      <w:r>
        <w:t>Langa</w:t>
      </w:r>
      <w:proofErr w:type="spellEnd"/>
      <w:r>
        <w:t xml:space="preserve">, K. M. (2010). Advance directives and outcomes of surrogate decision making before death. New England Journal of Medicine, 362(13), 1211–1218. </w:t>
      </w:r>
      <w:hyperlink r:id="rId16" w:history="1">
        <w:r w:rsidR="00A03EF5" w:rsidRPr="005024EA">
          <w:rPr>
            <w:rStyle w:val="Hyperlink"/>
          </w:rPr>
          <w:t>https://doi.org/10.1056/NEJMsa0907901</w:t>
        </w:r>
      </w:hyperlink>
      <w:r w:rsidR="00A03EF5">
        <w:t xml:space="preserve"> </w:t>
      </w:r>
    </w:p>
    <w:p w:rsidR="008B10A2" w:rsidRDefault="000F69A3" w:rsidP="00CC1C19">
      <w:pPr>
        <w:spacing w:after="240"/>
      </w:pPr>
      <w:r>
        <w:lastRenderedPageBreak/>
        <w:t>Stark, L. (2012). Behind closed doors: IRBs and the making of ethical research. University of Chicago Press.</w:t>
      </w:r>
    </w:p>
    <w:p w:rsidR="008B10A2" w:rsidRDefault="000F69A3" w:rsidP="00CC1C19">
      <w:pPr>
        <w:spacing w:after="240"/>
      </w:pPr>
      <w:r>
        <w:t xml:space="preserve">Tong, R. (1998). The ethics of care: A feminist virtue ethics of care for healthcare practitioners. Journal of Medicine and Philosophy, 23(2), 131–152. </w:t>
      </w:r>
      <w:hyperlink r:id="rId17" w:history="1">
        <w:r w:rsidR="00A03EF5" w:rsidRPr="005024EA">
          <w:rPr>
            <w:rStyle w:val="Hyperlink"/>
          </w:rPr>
          <w:t>https://doi.org/10.1076/jmep.23.2.131.8950</w:t>
        </w:r>
      </w:hyperlink>
      <w:r w:rsidR="00A03EF5">
        <w:t xml:space="preserve"> </w:t>
      </w:r>
    </w:p>
    <w:p w:rsidR="008B10A2" w:rsidRDefault="000F69A3" w:rsidP="00CC1C19">
      <w:pPr>
        <w:spacing w:after="240"/>
      </w:pPr>
      <w:r>
        <w:t xml:space="preserve">White, D. B., &amp; Lo, B. (2020). A framework for rationing ventilators and critical care beds during the COVID-19 pandemic. JAMA, 323(18), 1773–1774. </w:t>
      </w:r>
      <w:hyperlink r:id="rId18" w:history="1">
        <w:r w:rsidR="00A03EF5" w:rsidRPr="005024EA">
          <w:rPr>
            <w:rStyle w:val="Hyperlink"/>
          </w:rPr>
          <w:t>https://doi.org/10.1001/jama.2020.5046</w:t>
        </w:r>
      </w:hyperlink>
      <w:r w:rsidR="00A03EF5">
        <w:t xml:space="preserve"> </w:t>
      </w:r>
    </w:p>
    <w:p w:rsidR="008B10A2" w:rsidRDefault="000F69A3" w:rsidP="00CC1C19">
      <w:pPr>
        <w:spacing w:after="240"/>
      </w:pPr>
      <w:r>
        <w:t xml:space="preserve">White, B. C., &amp; </w:t>
      </w:r>
      <w:proofErr w:type="spellStart"/>
      <w:r>
        <w:t>Zimbelman</w:t>
      </w:r>
      <w:proofErr w:type="spellEnd"/>
      <w:r>
        <w:t xml:space="preserve">, J. (1998). Abandoning informed consent: An idea whose time has not yet come. Journal of Medicine and Philosophy, 23(5), 477–499. </w:t>
      </w:r>
      <w:hyperlink r:id="rId19" w:history="1">
        <w:r w:rsidR="00A03EF5" w:rsidRPr="005024EA">
          <w:rPr>
            <w:rStyle w:val="Hyperlink"/>
          </w:rPr>
          <w:t>https://doi.org/10.1076/jmep.23.5.477.2572</w:t>
        </w:r>
      </w:hyperlink>
      <w:r w:rsidR="00A03EF5">
        <w:t xml:space="preserve"> </w:t>
      </w:r>
    </w:p>
    <w:p w:rsidR="008B10A2" w:rsidRDefault="000F69A3" w:rsidP="00CC1C19">
      <w:r>
        <w:br w:type="page"/>
      </w:r>
    </w:p>
    <w:p w:rsidR="008B10A2" w:rsidRPr="00E36C1F" w:rsidRDefault="000F69A3" w:rsidP="00CC1C19">
      <w:pPr>
        <w:pStyle w:val="Heading1"/>
      </w:pPr>
      <w:bookmarkStart w:id="26" w:name="_Toc230190340"/>
      <w:r w:rsidRPr="00E36C1F">
        <w:lastRenderedPageBreak/>
        <w:t>Appendices</w:t>
      </w:r>
      <w:bookmarkEnd w:id="26"/>
    </w:p>
    <w:p w:rsidR="008B10A2" w:rsidRPr="00E36C1F" w:rsidRDefault="000F69A3" w:rsidP="00CC1C19">
      <w:pPr>
        <w:pStyle w:val="Heading2"/>
      </w:pPr>
      <w:bookmarkStart w:id="27" w:name="_Toc230190341"/>
      <w:r w:rsidRPr="00E36C1F">
        <w:t>Appendix A: Summary of Key Bioethical Cases</w:t>
      </w:r>
      <w:bookmarkEnd w:id="27"/>
    </w:p>
    <w:p w:rsidR="008B10A2" w:rsidRDefault="000F69A3" w:rsidP="00CC1C19">
      <w:pPr>
        <w:spacing w:after="240"/>
      </w:pPr>
      <w:r>
        <w:t>The following table provides a brief summary of the major cases referenced in this report, along with the ethical principle(s) primarily implicated in each.</w:t>
      </w:r>
    </w:p>
    <w:p w:rsidR="008B10A2" w:rsidRDefault="000F69A3" w:rsidP="00CC1C19">
      <w:pPr>
        <w:spacing w:after="120"/>
      </w:pPr>
      <w:r>
        <w:rPr>
          <w:b/>
          <w:bCs/>
        </w:rPr>
        <w:t>Case</w:t>
      </w:r>
    </w:p>
    <w:p w:rsidR="008B10A2" w:rsidRDefault="000F69A3" w:rsidP="00CC1C19">
      <w:pPr>
        <w:spacing w:after="240"/>
      </w:pPr>
      <w:proofErr w:type="spellStart"/>
      <w:r>
        <w:t>Dax</w:t>
      </w:r>
      <w:proofErr w:type="spellEnd"/>
      <w:r>
        <w:t xml:space="preserve"> Cowart (1973): Patient autonomy, informed refusal, and paternalism. A severely burned patient's repeated competent refusals of treatment were overridden by physicians. The case is foundational in debates about the limits of paternalism and the right to refuse treatment.</w:t>
      </w:r>
    </w:p>
    <w:p w:rsidR="008B10A2" w:rsidRDefault="000F69A3" w:rsidP="00CC1C19">
      <w:pPr>
        <w:spacing w:after="240"/>
      </w:pPr>
      <w:r>
        <w:t>Tuskegee Syphilis Study (1932–1972): Justice, informed consent, and research ethics. African American men with syphilis were denied treatment and deceived about their participation in a study. Led directly to the Belmont Report and contemporary research ethics frameworks.</w:t>
      </w:r>
    </w:p>
    <w:p w:rsidR="008B10A2" w:rsidRDefault="000F69A3" w:rsidP="00CC1C19">
      <w:pPr>
        <w:spacing w:after="240"/>
      </w:pPr>
      <w:proofErr w:type="spellStart"/>
      <w:r>
        <w:t>Tarasoff</w:t>
      </w:r>
      <w:proofErr w:type="spellEnd"/>
      <w:r>
        <w:t xml:space="preserve"> v. Regents of UC (1976): Confidentiality and the duty to protect. The California Supreme Court ruled that mental health professionals must warn identifiable third parties of credible threats made by their patients, establishing the duty to protect.</w:t>
      </w:r>
    </w:p>
    <w:p w:rsidR="008B10A2" w:rsidRDefault="000F69A3" w:rsidP="00CC1C19">
      <w:pPr>
        <w:spacing w:after="240"/>
      </w:pPr>
      <w:r>
        <w:t xml:space="preserve">Terri </w:t>
      </w:r>
      <w:proofErr w:type="spellStart"/>
      <w:r>
        <w:t>Schiavo</w:t>
      </w:r>
      <w:proofErr w:type="spellEnd"/>
      <w:r>
        <w:t xml:space="preserve"> (2005): Surrogate decision-making and end-of-life care. A prolonged legal and public controversy over the withdrawal of artificial nutrition from a woman in a persistent vegetative state. Highlighted the importance of advance directives and surrogate decision-making standards.</w:t>
      </w:r>
    </w:p>
    <w:p w:rsidR="008B10A2" w:rsidRPr="00E36C1F" w:rsidRDefault="000F69A3" w:rsidP="00CC1C19">
      <w:pPr>
        <w:pStyle w:val="Heading2"/>
      </w:pPr>
      <w:bookmarkStart w:id="28" w:name="_Toc230190342"/>
      <w:r w:rsidRPr="00E36C1F">
        <w:t>Appendix B: The Four Principles at a Glance</w:t>
      </w:r>
      <w:bookmarkEnd w:id="28"/>
    </w:p>
    <w:p w:rsidR="008B10A2" w:rsidRDefault="000F69A3" w:rsidP="00CC1C19">
      <w:pPr>
        <w:spacing w:after="240"/>
      </w:pPr>
      <w:r>
        <w:lastRenderedPageBreak/>
        <w:t>Autonomy: The right of competent patients to make informed, voluntary decisions about their own healthcare, free from coercion or undue influence.</w:t>
      </w:r>
    </w:p>
    <w:p w:rsidR="008B10A2" w:rsidRDefault="000F69A3" w:rsidP="00CC1C19">
      <w:pPr>
        <w:spacing w:after="240"/>
      </w:pPr>
      <w:r>
        <w:t>Beneficence: The obligation to act in the best interest of the patient, actively promoting their health and wellbeing.</w:t>
      </w:r>
    </w:p>
    <w:p w:rsidR="008B10A2" w:rsidRDefault="000F69A3" w:rsidP="00CC1C19">
      <w:pPr>
        <w:spacing w:after="240"/>
      </w:pPr>
      <w:r>
        <w:t xml:space="preserve">Non-Maleficence: The duty to avoid causing unnecessary harm, summarized in the Hippocratic principle </w:t>
      </w:r>
      <w:proofErr w:type="spellStart"/>
      <w:r>
        <w:t>primum</w:t>
      </w:r>
      <w:proofErr w:type="spellEnd"/>
      <w:r>
        <w:t xml:space="preserve"> non </w:t>
      </w:r>
      <w:proofErr w:type="spellStart"/>
      <w:r>
        <w:t>nocere</w:t>
      </w:r>
      <w:proofErr w:type="spellEnd"/>
      <w:r>
        <w:t xml:space="preserve"> (first, do no harm).</w:t>
      </w:r>
    </w:p>
    <w:p w:rsidR="008B10A2" w:rsidRDefault="000F69A3" w:rsidP="00CC1C19">
      <w:pPr>
        <w:spacing w:after="240"/>
      </w:pPr>
      <w:r>
        <w:t>Justice: The obligation to distribute healthcare benefits and burdens fairly, and to treat patients equitably regardless of personal characteristics.</w:t>
      </w:r>
    </w:p>
    <w:p w:rsidR="008B10A2" w:rsidRPr="00E36C1F" w:rsidRDefault="000F69A3" w:rsidP="00CC1C19">
      <w:pPr>
        <w:pStyle w:val="Heading2"/>
      </w:pPr>
      <w:bookmarkStart w:id="29" w:name="_Toc230190343"/>
      <w:r w:rsidRPr="00E36C1F">
        <w:t>Appendix C: Key Ethical Frameworks</w:t>
      </w:r>
      <w:bookmarkEnd w:id="29"/>
    </w:p>
    <w:p w:rsidR="008B10A2" w:rsidRDefault="000F69A3" w:rsidP="00CC1C19">
      <w:pPr>
        <w:spacing w:after="240"/>
      </w:pPr>
      <w:proofErr w:type="spellStart"/>
      <w:r>
        <w:t>Principlist</w:t>
      </w:r>
      <w:proofErr w:type="spellEnd"/>
      <w:r>
        <w:t xml:space="preserve"> Ethics (Beauchamp &amp; Childress): Four-principle framework emphasizing autonomy, beneficence, non-maleficence, and justice as prima facie obligations.</w:t>
      </w:r>
    </w:p>
    <w:p w:rsidR="008B10A2" w:rsidRDefault="000F69A3" w:rsidP="00CC1C19">
      <w:pPr>
        <w:spacing w:after="240"/>
      </w:pPr>
      <w:r>
        <w:t>Virtue Ethics (Aristotle, Pellegrino): Focuses on the character of the moral agent, emphasizing virtues such as compassion, integrity, and practical wisdom.</w:t>
      </w:r>
    </w:p>
    <w:p w:rsidR="008B10A2" w:rsidRDefault="000F69A3" w:rsidP="00CC1C19">
      <w:pPr>
        <w:spacing w:after="240"/>
      </w:pPr>
      <w:r>
        <w:t>Casuistry (</w:t>
      </w:r>
      <w:proofErr w:type="spellStart"/>
      <w:r>
        <w:t>Jonsen</w:t>
      </w:r>
      <w:proofErr w:type="spellEnd"/>
      <w:r>
        <w:t xml:space="preserve"> &amp; </w:t>
      </w:r>
      <w:proofErr w:type="spellStart"/>
      <w:r>
        <w:t>Toulmin</w:t>
      </w:r>
      <w:proofErr w:type="spellEnd"/>
      <w:r>
        <w:t>): Case-based reasoning that works from specific cases and precedents rather than abstract principles.</w:t>
      </w:r>
    </w:p>
    <w:p w:rsidR="008B10A2" w:rsidRDefault="000F69A3" w:rsidP="00CC1C19">
      <w:pPr>
        <w:spacing w:after="240"/>
      </w:pPr>
      <w:r>
        <w:t xml:space="preserve">Care Ethics (Gilligan, </w:t>
      </w:r>
      <w:proofErr w:type="spellStart"/>
      <w:r>
        <w:t>Noddings</w:t>
      </w:r>
      <w:proofErr w:type="spellEnd"/>
      <w:r>
        <w:t>): Emphasizes relationships, responsiveness, and context, particularly relevant in nursing ethics and feminist bioethics.</w:t>
      </w:r>
    </w:p>
    <w:sectPr w:rsidR="008B10A2">
      <w:headerReference w:type="default" r:id="rId20"/>
      <w:footerReference w:type="default" r:id="rId21"/>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50D" w:rsidRDefault="004D150D">
      <w:pPr>
        <w:spacing w:line="240" w:lineRule="auto"/>
      </w:pPr>
      <w:r>
        <w:separator/>
      </w:r>
    </w:p>
  </w:endnote>
  <w:endnote w:type="continuationSeparator" w:id="0">
    <w:p w:rsidR="004D150D" w:rsidRDefault="004D15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10A2" w:rsidRDefault="000F69A3">
    <w:pPr>
      <w:jc w:val="cente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0F0830">
      <w:rPr>
        <w:noProof/>
        <w:sz w:val="20"/>
        <w:szCs w:val="20"/>
      </w:rPr>
      <w:t>24</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50D" w:rsidRDefault="004D150D">
      <w:pPr>
        <w:spacing w:line="240" w:lineRule="auto"/>
      </w:pPr>
      <w:r>
        <w:separator/>
      </w:r>
    </w:p>
  </w:footnote>
  <w:footnote w:type="continuationSeparator" w:id="0">
    <w:p w:rsidR="004D150D" w:rsidRDefault="004D150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10A2" w:rsidRDefault="000F69A3">
    <w:pPr>
      <w:jc w:val="right"/>
    </w:pPr>
    <w:r>
      <w:rPr>
        <w:sz w:val="20"/>
        <w:szCs w:val="20"/>
      </w:rPr>
      <w:t>ETHICAL DECISION-MAKING IN HEALTHCARE PRACTICE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D6800"/>
    <w:multiLevelType w:val="hybridMultilevel"/>
    <w:tmpl w:val="340C33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4068FC"/>
    <w:multiLevelType w:val="hybridMultilevel"/>
    <w:tmpl w:val="ABEE7F78"/>
    <w:lvl w:ilvl="0" w:tplc="89BA2198">
      <w:start w:val="1"/>
      <w:numFmt w:val="bullet"/>
      <w:lvlText w:val="●"/>
      <w:lvlJc w:val="left"/>
      <w:pPr>
        <w:ind w:left="720" w:hanging="360"/>
      </w:pPr>
    </w:lvl>
    <w:lvl w:ilvl="1" w:tplc="4DA62E50">
      <w:start w:val="1"/>
      <w:numFmt w:val="bullet"/>
      <w:lvlText w:val="○"/>
      <w:lvlJc w:val="left"/>
      <w:pPr>
        <w:ind w:left="1440" w:hanging="360"/>
      </w:pPr>
    </w:lvl>
    <w:lvl w:ilvl="2" w:tplc="02385558">
      <w:start w:val="1"/>
      <w:numFmt w:val="bullet"/>
      <w:lvlText w:val="■"/>
      <w:lvlJc w:val="left"/>
      <w:pPr>
        <w:ind w:left="2160" w:hanging="360"/>
      </w:pPr>
    </w:lvl>
    <w:lvl w:ilvl="3" w:tplc="8FFE97F4">
      <w:start w:val="1"/>
      <w:numFmt w:val="bullet"/>
      <w:lvlText w:val="●"/>
      <w:lvlJc w:val="left"/>
      <w:pPr>
        <w:ind w:left="2880" w:hanging="360"/>
      </w:pPr>
    </w:lvl>
    <w:lvl w:ilvl="4" w:tplc="121E8B94">
      <w:start w:val="1"/>
      <w:numFmt w:val="bullet"/>
      <w:lvlText w:val="○"/>
      <w:lvlJc w:val="left"/>
      <w:pPr>
        <w:ind w:left="3600" w:hanging="360"/>
      </w:pPr>
    </w:lvl>
    <w:lvl w:ilvl="5" w:tplc="2020DD76">
      <w:start w:val="1"/>
      <w:numFmt w:val="bullet"/>
      <w:lvlText w:val="■"/>
      <w:lvlJc w:val="left"/>
      <w:pPr>
        <w:ind w:left="4320" w:hanging="360"/>
      </w:pPr>
    </w:lvl>
    <w:lvl w:ilvl="6" w:tplc="837CC06C">
      <w:start w:val="1"/>
      <w:numFmt w:val="bullet"/>
      <w:lvlText w:val="●"/>
      <w:lvlJc w:val="left"/>
      <w:pPr>
        <w:ind w:left="5040" w:hanging="360"/>
      </w:pPr>
    </w:lvl>
    <w:lvl w:ilvl="7" w:tplc="684ED664">
      <w:start w:val="1"/>
      <w:numFmt w:val="bullet"/>
      <w:lvlText w:val="●"/>
      <w:lvlJc w:val="left"/>
      <w:pPr>
        <w:ind w:left="5760" w:hanging="360"/>
      </w:pPr>
    </w:lvl>
    <w:lvl w:ilvl="8" w:tplc="455E93E0">
      <w:start w:val="1"/>
      <w:numFmt w:val="bullet"/>
      <w:lvlText w:val="●"/>
      <w:lvlJc w:val="left"/>
      <w:pPr>
        <w:ind w:left="6480" w:hanging="360"/>
      </w:pPr>
    </w:lvl>
  </w:abstractNum>
  <w:num w:numId="1">
    <w:abstractNumId w:val="1"/>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0A2"/>
    <w:rsid w:val="000E5AAF"/>
    <w:rsid w:val="000F0830"/>
    <w:rsid w:val="000F69A3"/>
    <w:rsid w:val="004D150D"/>
    <w:rsid w:val="005A6DE3"/>
    <w:rsid w:val="00660E06"/>
    <w:rsid w:val="00881028"/>
    <w:rsid w:val="008B10A2"/>
    <w:rsid w:val="00A03EF5"/>
    <w:rsid w:val="00CC1C19"/>
    <w:rsid w:val="00E36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4EA4D"/>
  <w15:docId w15:val="{E288A9BC-851E-42E3-8731-F2272F2FE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6DE3"/>
    <w:pPr>
      <w:spacing w:line="480" w:lineRule="auto"/>
      <w:jc w:val="both"/>
    </w:pPr>
  </w:style>
  <w:style w:type="paragraph" w:styleId="Heading1">
    <w:name w:val="heading 1"/>
    <w:qFormat/>
    <w:rsid w:val="00E36C1F"/>
    <w:pPr>
      <w:spacing w:before="480" w:after="240" w:line="480" w:lineRule="auto"/>
      <w:outlineLvl w:val="0"/>
    </w:pPr>
    <w:rPr>
      <w:b/>
      <w:bCs/>
      <w:sz w:val="32"/>
      <w:szCs w:val="28"/>
    </w:rPr>
  </w:style>
  <w:style w:type="paragraph" w:styleId="Heading2">
    <w:name w:val="heading 2"/>
    <w:qFormat/>
    <w:rsid w:val="00E36C1F"/>
    <w:pPr>
      <w:spacing w:before="360" w:after="160" w:line="480" w:lineRule="auto"/>
      <w:outlineLvl w:val="1"/>
    </w:pPr>
    <w:rPr>
      <w:b/>
      <w:bCs/>
      <w:sz w:val="28"/>
    </w:rPr>
  </w:style>
  <w:style w:type="paragraph" w:styleId="Heading3">
    <w:name w:val="heading 3"/>
    <w:qFormat/>
    <w:pPr>
      <w:spacing w:before="240" w:after="120"/>
      <w:outlineLvl w:val="2"/>
    </w:pPr>
    <w:rPr>
      <w:b/>
      <w:bCs/>
      <w:i/>
      <w:iCs/>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CC1C19"/>
    <w:pPr>
      <w:keepNext/>
      <w:keepLines/>
      <w:spacing w:before="240" w:after="0" w:line="259" w:lineRule="auto"/>
      <w:outlineLvl w:val="9"/>
    </w:pPr>
    <w:rPr>
      <w:rFonts w:asciiTheme="majorHAnsi" w:eastAsiaTheme="majorEastAsia" w:hAnsiTheme="majorHAnsi" w:cstheme="majorBidi"/>
      <w:b w:val="0"/>
      <w:bCs w:val="0"/>
      <w:color w:val="2E74B5" w:themeColor="accent1" w:themeShade="BF"/>
      <w:szCs w:val="32"/>
    </w:rPr>
  </w:style>
  <w:style w:type="paragraph" w:styleId="TOC1">
    <w:name w:val="toc 1"/>
    <w:basedOn w:val="Normal"/>
    <w:next w:val="Normal"/>
    <w:autoRedefine/>
    <w:uiPriority w:val="39"/>
    <w:unhideWhenUsed/>
    <w:rsid w:val="00CC1C19"/>
    <w:pPr>
      <w:spacing w:after="100"/>
    </w:pPr>
  </w:style>
  <w:style w:type="paragraph" w:styleId="TOC2">
    <w:name w:val="toc 2"/>
    <w:basedOn w:val="Normal"/>
    <w:next w:val="Normal"/>
    <w:autoRedefine/>
    <w:uiPriority w:val="39"/>
    <w:unhideWhenUsed/>
    <w:rsid w:val="00CC1C1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doi.org/10.1016/S0277-9536(96)00221-3" TargetMode="External"/><Relationship Id="rId13" Type="http://schemas.openxmlformats.org/officeDocument/2006/relationships/hyperlink" Target="https://doi.org/10.1136/jme.29.1.4" TargetMode="External"/><Relationship Id="rId18" Type="http://schemas.openxmlformats.org/officeDocument/2006/relationships/hyperlink" Target="https://doi.org/10.1001/jama.2020.5046"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7326/0003-4819-88-2-251" TargetMode="External"/><Relationship Id="rId17" Type="http://schemas.openxmlformats.org/officeDocument/2006/relationships/hyperlink" Target="https://doi.org/10.1076/jmep.23.2.131.8950" TargetMode="External"/><Relationship Id="rId2" Type="http://schemas.openxmlformats.org/officeDocument/2006/relationships/numbering" Target="numbering.xml"/><Relationship Id="rId16" Type="http://schemas.openxmlformats.org/officeDocument/2006/relationships/hyperlink" Target="https://doi.org/10.1056/NEJMsa090790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36/jme.2006.016410" TargetMode="External"/><Relationship Id="rId5" Type="http://schemas.openxmlformats.org/officeDocument/2006/relationships/webSettings" Target="webSettings.xml"/><Relationship Id="rId15" Type="http://schemas.openxmlformats.org/officeDocument/2006/relationships/hyperlink" Target="https://doi.org/10.1056/NEJM199712113372413" TargetMode="External"/><Relationship Id="rId23" Type="http://schemas.openxmlformats.org/officeDocument/2006/relationships/theme" Target="theme/theme1.xml"/><Relationship Id="rId10" Type="http://schemas.openxmlformats.org/officeDocument/2006/relationships/hyperlink" Target="https://doi.org/10.1001/jama.289.8.1001" TargetMode="External"/><Relationship Id="rId19" Type="http://schemas.openxmlformats.org/officeDocument/2006/relationships/hyperlink" Target="https://doi.org/10.1076/jmep.23.5.477.2572" TargetMode="External"/><Relationship Id="rId4" Type="http://schemas.openxmlformats.org/officeDocument/2006/relationships/settings" Target="settings.xml"/><Relationship Id="rId9" Type="http://schemas.openxmlformats.org/officeDocument/2006/relationships/hyperlink" Target="https://doi.org/10.1093/jmp/15.2.219" TargetMode="External"/><Relationship Id="rId14" Type="http://schemas.openxmlformats.org/officeDocument/2006/relationships/hyperlink" Target="https://doi.org/10.1056/NEJM19930930329141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4D4FE-476F-4936-A9FF-E19F3BB86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6826</Words>
  <Characters>38914</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pc</cp:lastModifiedBy>
  <cp:revision>5</cp:revision>
  <dcterms:created xsi:type="dcterms:W3CDTF">2026-05-20T11:55:00Z</dcterms:created>
  <dcterms:modified xsi:type="dcterms:W3CDTF">2026-05-20T12:25:00Z</dcterms:modified>
</cp:coreProperties>
</file>