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6A6A86F" w14:textId="77777777" w:rsidR="00CB519B" w:rsidRDefault="00CB519B" w:rsidP="004E190D">
      <w:pPr>
        <w:pStyle w:val="ListParagraph"/>
        <w:spacing w:line="276" w:lineRule="auto"/>
        <w:ind w:left="0"/>
        <w:rPr>
          <w:lang w:val="en-US"/>
        </w:rPr>
      </w:pPr>
    </w:p>
    <w:p w14:paraId="0B6F8F65" w14:textId="77777777" w:rsidR="00CB519B" w:rsidRPr="00CB519B" w:rsidRDefault="00CB519B" w:rsidP="00CB519B">
      <w:pPr>
        <w:pStyle w:val="ListParagraph"/>
        <w:spacing w:line="276" w:lineRule="auto"/>
        <w:rPr>
          <w:b/>
          <w:bCs/>
          <w:lang w:val="en-GB"/>
        </w:rPr>
      </w:pPr>
      <w:r w:rsidRPr="00CB519B">
        <w:rPr>
          <w:b/>
          <w:bCs/>
          <w:lang w:val="en-GB"/>
        </w:rPr>
        <w:lastRenderedPageBreak/>
        <w:t>SWOT Analysis of the Acropolis of Athens (Greece)</w:t>
      </w:r>
    </w:p>
    <w:p w14:paraId="51DCCA24" w14:textId="77777777" w:rsidR="00CB519B" w:rsidRPr="00CB519B" w:rsidRDefault="00CB519B" w:rsidP="00CB519B">
      <w:pPr>
        <w:pStyle w:val="ListParagraph"/>
        <w:spacing w:line="276" w:lineRule="auto"/>
        <w:rPr>
          <w:b/>
          <w:bCs/>
          <w:lang w:val="en-GB"/>
        </w:rPr>
      </w:pPr>
      <w:r w:rsidRPr="00CB519B">
        <w:rPr>
          <w:b/>
          <w:bCs/>
          <w:lang w:val="en-GB"/>
        </w:rPr>
        <w:t>SWOT Analysis Table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345"/>
        <w:gridCol w:w="2168"/>
        <w:gridCol w:w="2302"/>
        <w:gridCol w:w="2201"/>
      </w:tblGrid>
      <w:tr w:rsidR="00CB519B" w:rsidRPr="00CB519B" w14:paraId="1DE92B99" w14:textId="77777777" w:rsidTr="00CB51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E43A69D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245B9F37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69F7D413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638FC799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Threats</w:t>
            </w:r>
          </w:p>
        </w:tc>
      </w:tr>
      <w:tr w:rsidR="00CB519B" w:rsidRPr="00CB519B" w14:paraId="2F49238E" w14:textId="77777777" w:rsidTr="00CB51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3A5F75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UNESCO World Heritage Site and one of the world's most significant symbols of ancient Greek civilization.</w:t>
            </w:r>
          </w:p>
        </w:tc>
        <w:tc>
          <w:tcPr>
            <w:tcW w:w="0" w:type="auto"/>
            <w:hideMark/>
          </w:tcPr>
          <w:p w14:paraId="7B6CBAEE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Ancient marble structures require continuous restoration and specialized conservation techniques.</w:t>
            </w:r>
          </w:p>
        </w:tc>
        <w:tc>
          <w:tcPr>
            <w:tcW w:w="0" w:type="auto"/>
            <w:hideMark/>
          </w:tcPr>
          <w:p w14:paraId="154C3BD8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Expand digital tourism through Virtual Reality (VR), Augmented Reality (AR), and interactive educational platforms.</w:t>
            </w:r>
          </w:p>
        </w:tc>
        <w:tc>
          <w:tcPr>
            <w:tcW w:w="0" w:type="auto"/>
            <w:hideMark/>
          </w:tcPr>
          <w:p w14:paraId="28A078DB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Air pollution and acid rain accelerate the deterioration of marble monuments.</w:t>
            </w:r>
          </w:p>
        </w:tc>
      </w:tr>
      <w:tr w:rsidR="00CB519B" w:rsidRPr="00CB519B" w14:paraId="753D2F32" w14:textId="77777777" w:rsidTr="00CB51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E5C8B1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Exceptional historical, architectural, and archaeological importance attracts millions of international visitors each year.</w:t>
            </w:r>
          </w:p>
        </w:tc>
        <w:tc>
          <w:tcPr>
            <w:tcW w:w="0" w:type="auto"/>
            <w:hideMark/>
          </w:tcPr>
          <w:p w14:paraId="4150FA6E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High visitor numbers during peak seasons create congestion and reduce visitor experience.</w:t>
            </w:r>
          </w:p>
        </w:tc>
        <w:tc>
          <w:tcPr>
            <w:tcW w:w="0" w:type="auto"/>
            <w:hideMark/>
          </w:tcPr>
          <w:p w14:paraId="5AA4166A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Strengthen partnerships with international universities and cultural institutions for research and conservation.</w:t>
            </w:r>
          </w:p>
        </w:tc>
        <w:tc>
          <w:tcPr>
            <w:tcW w:w="0" w:type="auto"/>
            <w:hideMark/>
          </w:tcPr>
          <w:p w14:paraId="63FCD325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Earthquakes and climate change pose long-term risks to structural stability.</w:t>
            </w:r>
          </w:p>
        </w:tc>
      </w:tr>
      <w:tr w:rsidR="00CB519B" w:rsidRPr="00CB519B" w14:paraId="26FAFE10" w14:textId="77777777" w:rsidTr="00CB51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487B90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Strong contribution to Greece's tourism economy and global cultural reputation.</w:t>
            </w:r>
          </w:p>
        </w:tc>
        <w:tc>
          <w:tcPr>
            <w:tcW w:w="0" w:type="auto"/>
            <w:hideMark/>
          </w:tcPr>
          <w:p w14:paraId="42B91A74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Accessibility challenges for elderly and disabled visitors due to the site's steep terrain.</w:t>
            </w:r>
          </w:p>
        </w:tc>
        <w:tc>
          <w:tcPr>
            <w:tcW w:w="0" w:type="auto"/>
            <w:hideMark/>
          </w:tcPr>
          <w:p w14:paraId="5238B77F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Promote sustainable tourism and community-based cultural initiatives.</w:t>
            </w:r>
          </w:p>
        </w:tc>
        <w:tc>
          <w:tcPr>
            <w:tcW w:w="0" w:type="auto"/>
            <w:hideMark/>
          </w:tcPr>
          <w:p w14:paraId="64E4576E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Vandalism, urban pollution, and excessive tourism may negatively impact the site's preservation.</w:t>
            </w:r>
          </w:p>
        </w:tc>
      </w:tr>
    </w:tbl>
    <w:p w14:paraId="05F18342" w14:textId="77777777" w:rsidR="00CB519B" w:rsidRPr="00CB519B" w:rsidRDefault="00CB519B" w:rsidP="00CB519B">
      <w:pPr>
        <w:pStyle w:val="ListParagraph"/>
        <w:spacing w:line="276" w:lineRule="auto"/>
        <w:rPr>
          <w:lang w:val="en-GB"/>
        </w:rPr>
      </w:pPr>
      <w:r w:rsidRPr="00CB519B">
        <w:rPr>
          <w:lang w:val="en-GB"/>
        </w:rPr>
        <w:pict w14:anchorId="7417C638">
          <v:rect id="_x0000_i1194" style="width:0;height:1.5pt" o:hralign="center" o:hrstd="t" o:hr="t" fillcolor="#a0a0a0" stroked="f"/>
        </w:pict>
      </w:r>
    </w:p>
    <w:p w14:paraId="1D452D7B" w14:textId="77777777" w:rsidR="00CB519B" w:rsidRPr="00CB519B" w:rsidRDefault="00CB519B" w:rsidP="00CB519B">
      <w:pPr>
        <w:pStyle w:val="ListParagraph"/>
        <w:spacing w:line="276" w:lineRule="auto"/>
        <w:rPr>
          <w:b/>
          <w:bCs/>
          <w:lang w:val="en-GB"/>
        </w:rPr>
      </w:pPr>
      <w:r w:rsidRPr="00CB519B">
        <w:rPr>
          <w:b/>
          <w:bCs/>
          <w:lang w:val="en-GB"/>
        </w:rPr>
        <w:t>Linking the SWOT Analysis to Objectives, Strategies, and Actions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106"/>
        <w:gridCol w:w="2237"/>
        <w:gridCol w:w="2392"/>
        <w:gridCol w:w="2281"/>
      </w:tblGrid>
      <w:tr w:rsidR="00CB519B" w:rsidRPr="00CB519B" w14:paraId="219E38E9" w14:textId="77777777" w:rsidTr="00CB519B">
        <w:tc>
          <w:tcPr>
            <w:tcW w:w="0" w:type="auto"/>
            <w:hideMark/>
          </w:tcPr>
          <w:p w14:paraId="01EE8B7F" w14:textId="77777777" w:rsidR="00CB519B" w:rsidRPr="00CB519B" w:rsidRDefault="00CB519B" w:rsidP="00CB519B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CB519B">
              <w:rPr>
                <w:b/>
                <w:bCs/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376A4960" w14:textId="77777777" w:rsidR="00CB519B" w:rsidRPr="00CB519B" w:rsidRDefault="00CB519B" w:rsidP="00CB519B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CB519B">
              <w:rPr>
                <w:b/>
                <w:bCs/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038DB13C" w14:textId="77777777" w:rsidR="00CB519B" w:rsidRPr="00CB519B" w:rsidRDefault="00CB519B" w:rsidP="00CB519B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CB519B">
              <w:rPr>
                <w:b/>
                <w:bCs/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6DD50E9B" w14:textId="77777777" w:rsidR="00CB519B" w:rsidRPr="00CB519B" w:rsidRDefault="00CB519B" w:rsidP="00CB519B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CB519B">
              <w:rPr>
                <w:b/>
                <w:bCs/>
                <w:lang w:val="en-GB"/>
              </w:rPr>
              <w:t>Actions</w:t>
            </w:r>
          </w:p>
        </w:tc>
      </w:tr>
      <w:tr w:rsidR="00CB519B" w:rsidRPr="00CB519B" w14:paraId="26425EC1" w14:textId="77777777" w:rsidTr="00CB519B">
        <w:tc>
          <w:tcPr>
            <w:tcW w:w="0" w:type="auto"/>
            <w:hideMark/>
          </w:tcPr>
          <w:p w14:paraId="4DFA0C00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lastRenderedPageBreak/>
              <w:t>Strength 1:</w:t>
            </w:r>
            <w:r w:rsidRPr="00CB519B">
              <w:rPr>
                <w:lang w:val="en-GB"/>
              </w:rPr>
              <w:t xml:space="preserve"> UNESCO World Heritage status</w:t>
            </w:r>
          </w:p>
        </w:tc>
        <w:tc>
          <w:tcPr>
            <w:tcW w:w="0" w:type="auto"/>
            <w:hideMark/>
          </w:tcPr>
          <w:p w14:paraId="0CAB2F2D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Preserve the Acropolis as a globally recognized cultural heritage site.</w:t>
            </w:r>
          </w:p>
        </w:tc>
        <w:tc>
          <w:tcPr>
            <w:tcW w:w="0" w:type="auto"/>
            <w:hideMark/>
          </w:tcPr>
          <w:p w14:paraId="1E3D764A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Strengthen international heritage conservation partnerships.</w:t>
            </w:r>
          </w:p>
        </w:tc>
        <w:tc>
          <w:tcPr>
            <w:tcW w:w="0" w:type="auto"/>
            <w:hideMark/>
          </w:tcPr>
          <w:p w14:paraId="36EFBD6A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Collaborate with UNESCO, the Greek Ministry of Culture, and international conservation organizations to secure funding and technical expertise.</w:t>
            </w:r>
          </w:p>
        </w:tc>
      </w:tr>
      <w:tr w:rsidR="00CB519B" w:rsidRPr="00CB519B" w14:paraId="239824A2" w14:textId="77777777" w:rsidTr="00CB519B">
        <w:tc>
          <w:tcPr>
            <w:tcW w:w="0" w:type="auto"/>
            <w:hideMark/>
          </w:tcPr>
          <w:p w14:paraId="5B39E462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t>Strength 2:</w:t>
            </w:r>
            <w:r w:rsidRPr="00CB519B">
              <w:rPr>
                <w:lang w:val="en-GB"/>
              </w:rPr>
              <w:t xml:space="preserve"> Historical and architectural significance</w:t>
            </w:r>
          </w:p>
        </w:tc>
        <w:tc>
          <w:tcPr>
            <w:tcW w:w="0" w:type="auto"/>
            <w:hideMark/>
          </w:tcPr>
          <w:p w14:paraId="56FB6E60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Enhance cultural education and heritage appreciation.</w:t>
            </w:r>
          </w:p>
        </w:tc>
        <w:tc>
          <w:tcPr>
            <w:tcW w:w="0" w:type="auto"/>
            <w:hideMark/>
          </w:tcPr>
          <w:p w14:paraId="06C62C80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Promote educational tourism and cultural awareness.</w:t>
            </w:r>
          </w:p>
        </w:tc>
        <w:tc>
          <w:tcPr>
            <w:tcW w:w="0" w:type="auto"/>
            <w:hideMark/>
          </w:tcPr>
          <w:p w14:paraId="7BA5D2E2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Organize guided tours, museum exhibitions, educational workshops, and historical interpretation programs.</w:t>
            </w:r>
          </w:p>
        </w:tc>
      </w:tr>
      <w:tr w:rsidR="00CB519B" w:rsidRPr="00CB519B" w14:paraId="73856D8A" w14:textId="77777777" w:rsidTr="00CB519B">
        <w:tc>
          <w:tcPr>
            <w:tcW w:w="0" w:type="auto"/>
            <w:hideMark/>
          </w:tcPr>
          <w:p w14:paraId="1EC2307F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t>Strength 3:</w:t>
            </w:r>
            <w:r w:rsidRPr="00CB519B">
              <w:rPr>
                <w:lang w:val="en-GB"/>
              </w:rPr>
              <w:t xml:space="preserve"> High tourism demand</w:t>
            </w:r>
          </w:p>
        </w:tc>
        <w:tc>
          <w:tcPr>
            <w:tcW w:w="0" w:type="auto"/>
            <w:hideMark/>
          </w:tcPr>
          <w:p w14:paraId="1ACB4338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Increase tourism benefits while maintaining site integrity.</w:t>
            </w:r>
          </w:p>
        </w:tc>
        <w:tc>
          <w:tcPr>
            <w:tcW w:w="0" w:type="auto"/>
            <w:hideMark/>
          </w:tcPr>
          <w:p w14:paraId="02DE6EF9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Improve visitor management and tourism infrastructure.</w:t>
            </w:r>
          </w:p>
        </w:tc>
        <w:tc>
          <w:tcPr>
            <w:tcW w:w="0" w:type="auto"/>
            <w:hideMark/>
          </w:tcPr>
          <w:p w14:paraId="2A53FFB4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Introduce timed-entry systems, multilingual information services, and enhanced visitor centres.</w:t>
            </w:r>
          </w:p>
        </w:tc>
      </w:tr>
      <w:tr w:rsidR="00CB519B" w:rsidRPr="00CB519B" w14:paraId="51B002F6" w14:textId="77777777" w:rsidTr="00CB519B">
        <w:tc>
          <w:tcPr>
            <w:tcW w:w="0" w:type="auto"/>
            <w:hideMark/>
          </w:tcPr>
          <w:p w14:paraId="60C82D1C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t>Weakness 1:</w:t>
            </w:r>
            <w:r w:rsidRPr="00CB519B">
              <w:rPr>
                <w:lang w:val="en-GB"/>
              </w:rPr>
              <w:t xml:space="preserve"> High conservation costs</w:t>
            </w:r>
          </w:p>
        </w:tc>
        <w:tc>
          <w:tcPr>
            <w:tcW w:w="0" w:type="auto"/>
            <w:hideMark/>
          </w:tcPr>
          <w:p w14:paraId="7A776D40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Ensure long-term preservation of ancient structures.</w:t>
            </w:r>
          </w:p>
        </w:tc>
        <w:tc>
          <w:tcPr>
            <w:tcW w:w="0" w:type="auto"/>
            <w:hideMark/>
          </w:tcPr>
          <w:p w14:paraId="52A72789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Diversify financial support for conservation projects.</w:t>
            </w:r>
          </w:p>
        </w:tc>
        <w:tc>
          <w:tcPr>
            <w:tcW w:w="0" w:type="auto"/>
            <w:hideMark/>
          </w:tcPr>
          <w:p w14:paraId="71A49333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 xml:space="preserve">Obtain government funding, international grants, corporate sponsorships, and allocate tourism revenue to </w:t>
            </w:r>
            <w:r w:rsidRPr="00CB519B">
              <w:rPr>
                <w:lang w:val="en-GB"/>
              </w:rPr>
              <w:lastRenderedPageBreak/>
              <w:t>restoration activities.</w:t>
            </w:r>
          </w:p>
        </w:tc>
      </w:tr>
      <w:tr w:rsidR="00CB519B" w:rsidRPr="00CB519B" w14:paraId="30961FAF" w14:textId="77777777" w:rsidTr="00CB519B">
        <w:tc>
          <w:tcPr>
            <w:tcW w:w="0" w:type="auto"/>
            <w:hideMark/>
          </w:tcPr>
          <w:p w14:paraId="686E85E2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lastRenderedPageBreak/>
              <w:t>Weakness 2:</w:t>
            </w:r>
            <w:r w:rsidRPr="00CB519B">
              <w:rPr>
                <w:lang w:val="en-GB"/>
              </w:rPr>
              <w:t xml:space="preserve"> Visitor congestion</w:t>
            </w:r>
          </w:p>
        </w:tc>
        <w:tc>
          <w:tcPr>
            <w:tcW w:w="0" w:type="auto"/>
            <w:hideMark/>
          </w:tcPr>
          <w:p w14:paraId="73132C3B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Improve visitor experience while protecting archaeological remains.</w:t>
            </w:r>
          </w:p>
        </w:tc>
        <w:tc>
          <w:tcPr>
            <w:tcW w:w="0" w:type="auto"/>
            <w:hideMark/>
          </w:tcPr>
          <w:p w14:paraId="4194BA4F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Implement effective crowd management strategies.</w:t>
            </w:r>
          </w:p>
        </w:tc>
        <w:tc>
          <w:tcPr>
            <w:tcW w:w="0" w:type="auto"/>
            <w:hideMark/>
          </w:tcPr>
          <w:p w14:paraId="01BC51AE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Limit visitor numbers during peak periods, introduce online booking, and encourage off-season tourism.</w:t>
            </w:r>
          </w:p>
        </w:tc>
      </w:tr>
      <w:tr w:rsidR="00CB519B" w:rsidRPr="00CB519B" w14:paraId="69DB752B" w14:textId="77777777" w:rsidTr="00CB519B">
        <w:tc>
          <w:tcPr>
            <w:tcW w:w="0" w:type="auto"/>
            <w:hideMark/>
          </w:tcPr>
          <w:p w14:paraId="0A4A3B25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t>Weakness 3:</w:t>
            </w:r>
            <w:r w:rsidRPr="00CB519B">
              <w:rPr>
                <w:lang w:val="en-GB"/>
              </w:rPr>
              <w:t xml:space="preserve"> Accessibility limitations</w:t>
            </w:r>
          </w:p>
        </w:tc>
        <w:tc>
          <w:tcPr>
            <w:tcW w:w="0" w:type="auto"/>
            <w:hideMark/>
          </w:tcPr>
          <w:p w14:paraId="5CCBB841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Improve access without compromising heritage values.</w:t>
            </w:r>
          </w:p>
        </w:tc>
        <w:tc>
          <w:tcPr>
            <w:tcW w:w="0" w:type="auto"/>
            <w:hideMark/>
          </w:tcPr>
          <w:p w14:paraId="0E689033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Upgrade accessible infrastructure responsibly.</w:t>
            </w:r>
          </w:p>
        </w:tc>
        <w:tc>
          <w:tcPr>
            <w:tcW w:w="0" w:type="auto"/>
            <w:hideMark/>
          </w:tcPr>
          <w:p w14:paraId="5C70AE4C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Install accessible pathways where feasible, improve signage, and provide mobility assistance services.</w:t>
            </w:r>
          </w:p>
        </w:tc>
      </w:tr>
      <w:tr w:rsidR="00CB519B" w:rsidRPr="00CB519B" w14:paraId="32A84D52" w14:textId="77777777" w:rsidTr="00CB519B">
        <w:tc>
          <w:tcPr>
            <w:tcW w:w="0" w:type="auto"/>
            <w:hideMark/>
          </w:tcPr>
          <w:p w14:paraId="232AF17A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t>Opportunity 1:</w:t>
            </w:r>
            <w:r w:rsidRPr="00CB519B">
              <w:rPr>
                <w:lang w:val="en-GB"/>
              </w:rPr>
              <w:t xml:space="preserve"> Digital heritage technologies</w:t>
            </w:r>
          </w:p>
        </w:tc>
        <w:tc>
          <w:tcPr>
            <w:tcW w:w="0" w:type="auto"/>
            <w:hideMark/>
          </w:tcPr>
          <w:p w14:paraId="417E9CA7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Increase global engagement with the Acropolis.</w:t>
            </w:r>
          </w:p>
        </w:tc>
        <w:tc>
          <w:tcPr>
            <w:tcW w:w="0" w:type="auto"/>
            <w:hideMark/>
          </w:tcPr>
          <w:p w14:paraId="314C8983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Invest in innovative digital tourism solutions.</w:t>
            </w:r>
          </w:p>
        </w:tc>
        <w:tc>
          <w:tcPr>
            <w:tcW w:w="0" w:type="auto"/>
            <w:hideMark/>
          </w:tcPr>
          <w:p w14:paraId="60442E12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Develop VR experiences, AR mobile applications, virtual museum tours, and interactive learning resources.</w:t>
            </w:r>
          </w:p>
        </w:tc>
      </w:tr>
      <w:tr w:rsidR="00CB519B" w:rsidRPr="00CB519B" w14:paraId="4B673730" w14:textId="77777777" w:rsidTr="00CB519B">
        <w:tc>
          <w:tcPr>
            <w:tcW w:w="0" w:type="auto"/>
            <w:hideMark/>
          </w:tcPr>
          <w:p w14:paraId="7DAB0206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t>Opportunity 2:</w:t>
            </w:r>
            <w:r w:rsidRPr="00CB519B">
              <w:rPr>
                <w:lang w:val="en-GB"/>
              </w:rPr>
              <w:t xml:space="preserve"> International academic collaboration</w:t>
            </w:r>
          </w:p>
        </w:tc>
        <w:tc>
          <w:tcPr>
            <w:tcW w:w="0" w:type="auto"/>
            <w:hideMark/>
          </w:tcPr>
          <w:p w14:paraId="2479AC13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Advance archaeological research and conservation knowledge.</w:t>
            </w:r>
          </w:p>
        </w:tc>
        <w:tc>
          <w:tcPr>
            <w:tcW w:w="0" w:type="auto"/>
            <w:hideMark/>
          </w:tcPr>
          <w:p w14:paraId="6ACB0D2C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Establish partnerships with research institutions.</w:t>
            </w:r>
          </w:p>
        </w:tc>
        <w:tc>
          <w:tcPr>
            <w:tcW w:w="0" w:type="auto"/>
            <w:hideMark/>
          </w:tcPr>
          <w:p w14:paraId="0AC53AA3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Conduct joint archaeological projects, conservation workshops, and student exchange programs.</w:t>
            </w:r>
          </w:p>
        </w:tc>
      </w:tr>
      <w:tr w:rsidR="00CB519B" w:rsidRPr="00CB519B" w14:paraId="52658D41" w14:textId="77777777" w:rsidTr="00CB519B">
        <w:tc>
          <w:tcPr>
            <w:tcW w:w="0" w:type="auto"/>
            <w:hideMark/>
          </w:tcPr>
          <w:p w14:paraId="51BCFA36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lastRenderedPageBreak/>
              <w:t>Opportunity 3:</w:t>
            </w:r>
            <w:r w:rsidRPr="00CB519B">
              <w:rPr>
                <w:lang w:val="en-GB"/>
              </w:rPr>
              <w:t xml:space="preserve"> Sustainable tourism</w:t>
            </w:r>
          </w:p>
        </w:tc>
        <w:tc>
          <w:tcPr>
            <w:tcW w:w="0" w:type="auto"/>
            <w:hideMark/>
          </w:tcPr>
          <w:p w14:paraId="59D7D849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Promote responsible tourism and local economic development.</w:t>
            </w:r>
          </w:p>
        </w:tc>
        <w:tc>
          <w:tcPr>
            <w:tcW w:w="0" w:type="auto"/>
            <w:hideMark/>
          </w:tcPr>
          <w:p w14:paraId="48914D39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Encourage environmentally sustainable tourism practices.</w:t>
            </w:r>
          </w:p>
        </w:tc>
        <w:tc>
          <w:tcPr>
            <w:tcW w:w="0" w:type="auto"/>
            <w:hideMark/>
          </w:tcPr>
          <w:p w14:paraId="094C6258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Support local businesses, promote eco-friendly transportation, and implement waste reduction initiatives.</w:t>
            </w:r>
          </w:p>
        </w:tc>
      </w:tr>
      <w:tr w:rsidR="00CB519B" w:rsidRPr="00CB519B" w14:paraId="0F35F4CE" w14:textId="77777777" w:rsidTr="00CB519B">
        <w:tc>
          <w:tcPr>
            <w:tcW w:w="0" w:type="auto"/>
            <w:hideMark/>
          </w:tcPr>
          <w:p w14:paraId="1CE8D4CD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t>Threat 1:</w:t>
            </w:r>
            <w:r w:rsidRPr="00CB519B">
              <w:rPr>
                <w:lang w:val="en-GB"/>
              </w:rPr>
              <w:t xml:space="preserve"> Air pollution</w:t>
            </w:r>
          </w:p>
        </w:tc>
        <w:tc>
          <w:tcPr>
            <w:tcW w:w="0" w:type="auto"/>
            <w:hideMark/>
          </w:tcPr>
          <w:p w14:paraId="2B387C50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Reduce environmental damage to the marble structures.</w:t>
            </w:r>
          </w:p>
        </w:tc>
        <w:tc>
          <w:tcPr>
            <w:tcW w:w="0" w:type="auto"/>
            <w:hideMark/>
          </w:tcPr>
          <w:p w14:paraId="3105D99D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Strengthen environmental protection measures.</w:t>
            </w:r>
          </w:p>
        </w:tc>
        <w:tc>
          <w:tcPr>
            <w:tcW w:w="0" w:type="auto"/>
            <w:hideMark/>
          </w:tcPr>
          <w:p w14:paraId="487A19A0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Monitor air quality, carry out regular cleaning, and apply advanced conservation treatments to protect the marble.</w:t>
            </w:r>
          </w:p>
        </w:tc>
      </w:tr>
      <w:tr w:rsidR="00CB519B" w:rsidRPr="00CB519B" w14:paraId="475950E4" w14:textId="77777777" w:rsidTr="00CB519B">
        <w:tc>
          <w:tcPr>
            <w:tcW w:w="0" w:type="auto"/>
            <w:hideMark/>
          </w:tcPr>
          <w:p w14:paraId="23FD48F9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t>Threat 2:</w:t>
            </w:r>
            <w:r w:rsidRPr="00CB519B">
              <w:rPr>
                <w:lang w:val="en-GB"/>
              </w:rPr>
              <w:t xml:space="preserve"> Earthquakes and climate change</w:t>
            </w:r>
          </w:p>
        </w:tc>
        <w:tc>
          <w:tcPr>
            <w:tcW w:w="0" w:type="auto"/>
            <w:hideMark/>
          </w:tcPr>
          <w:p w14:paraId="46E52C88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Improve resilience against natural disasters.</w:t>
            </w:r>
          </w:p>
        </w:tc>
        <w:tc>
          <w:tcPr>
            <w:tcW w:w="0" w:type="auto"/>
            <w:hideMark/>
          </w:tcPr>
          <w:p w14:paraId="60EA4076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Develop disaster preparedness and risk management plans.</w:t>
            </w:r>
          </w:p>
        </w:tc>
        <w:tc>
          <w:tcPr>
            <w:tcW w:w="0" w:type="auto"/>
            <w:hideMark/>
          </w:tcPr>
          <w:p w14:paraId="15B7CDA8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Install structural monitoring systems, conduct regular inspections, and implement emergency response procedures.</w:t>
            </w:r>
          </w:p>
        </w:tc>
      </w:tr>
      <w:tr w:rsidR="00CB519B" w:rsidRPr="00CB519B" w14:paraId="5B3B3C1D" w14:textId="77777777" w:rsidTr="00CB519B">
        <w:tc>
          <w:tcPr>
            <w:tcW w:w="0" w:type="auto"/>
            <w:hideMark/>
          </w:tcPr>
          <w:p w14:paraId="488110C5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b/>
                <w:bCs/>
                <w:lang w:val="en-GB"/>
              </w:rPr>
              <w:t>Threat 3:</w:t>
            </w:r>
            <w:r w:rsidRPr="00CB519B">
              <w:rPr>
                <w:lang w:val="en-GB"/>
              </w:rPr>
              <w:t xml:space="preserve"> Vandalism and overtourism</w:t>
            </w:r>
          </w:p>
        </w:tc>
        <w:tc>
          <w:tcPr>
            <w:tcW w:w="0" w:type="auto"/>
            <w:hideMark/>
          </w:tcPr>
          <w:p w14:paraId="1A6D3C85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Protect the archaeological site and visitors.</w:t>
            </w:r>
          </w:p>
        </w:tc>
        <w:tc>
          <w:tcPr>
            <w:tcW w:w="0" w:type="auto"/>
            <w:hideMark/>
          </w:tcPr>
          <w:p w14:paraId="6BB783D2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Enhance security and visitor regulations.</w:t>
            </w:r>
          </w:p>
        </w:tc>
        <w:tc>
          <w:tcPr>
            <w:tcW w:w="0" w:type="auto"/>
            <w:hideMark/>
          </w:tcPr>
          <w:p w14:paraId="7A48F065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 xml:space="preserve">Increase CCTV surveillance, deploy trained security personnel, enforce stricter </w:t>
            </w:r>
            <w:r w:rsidRPr="00CB519B">
              <w:rPr>
                <w:lang w:val="en-GB"/>
              </w:rPr>
              <w:lastRenderedPageBreak/>
              <w:t>penalties, and establish protected visitor pathways.</w:t>
            </w:r>
          </w:p>
        </w:tc>
      </w:tr>
    </w:tbl>
    <w:p w14:paraId="0A7E1442" w14:textId="77777777" w:rsidR="00CB519B" w:rsidRPr="00CB519B" w:rsidRDefault="00CB519B" w:rsidP="00CB519B">
      <w:pPr>
        <w:pStyle w:val="ListParagraph"/>
        <w:spacing w:line="276" w:lineRule="auto"/>
        <w:rPr>
          <w:lang w:val="en-GB"/>
        </w:rPr>
      </w:pPr>
      <w:r w:rsidRPr="00CB519B">
        <w:rPr>
          <w:lang w:val="en-GB"/>
        </w:rPr>
        <w:lastRenderedPageBreak/>
        <w:pict w14:anchorId="4F1C4AD4">
          <v:rect id="_x0000_i1195" style="width:0;height:1.5pt" o:hralign="center" o:hrstd="t" o:hr="t" fillcolor="#a0a0a0" stroked="f"/>
        </w:pict>
      </w:r>
    </w:p>
    <w:p w14:paraId="21DBD4C9" w14:textId="77777777" w:rsidR="00CB519B" w:rsidRPr="00CB519B" w:rsidRDefault="00CB519B" w:rsidP="00CB519B">
      <w:pPr>
        <w:pStyle w:val="ListParagraph"/>
        <w:spacing w:line="276" w:lineRule="auto"/>
        <w:rPr>
          <w:b/>
          <w:bCs/>
          <w:lang w:val="en-GB"/>
        </w:rPr>
      </w:pPr>
      <w:r w:rsidRPr="00CB519B">
        <w:rPr>
          <w:b/>
          <w:bCs/>
          <w:lang w:val="en-GB"/>
        </w:rPr>
        <w:t>Summary Table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CB519B" w:rsidRPr="00CB519B" w14:paraId="6DFF42D1" w14:textId="77777777" w:rsidTr="00CB51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7EEE53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6589AEAE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Key Focus</w:t>
            </w:r>
          </w:p>
        </w:tc>
      </w:tr>
      <w:tr w:rsidR="00CB519B" w:rsidRPr="00CB519B" w14:paraId="45ACA8A5" w14:textId="77777777" w:rsidTr="00CB51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4B3448F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1C5A0CE0" w14:textId="77777777" w:rsidR="00CB519B" w:rsidRPr="00CB519B" w:rsidRDefault="00CB519B" w:rsidP="00CB519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Preserve the Acropolis' cultural heritage, improve visitor experience, strengthen conservation, support sustainable tourism, and enhance educational value.</w:t>
            </w:r>
          </w:p>
        </w:tc>
      </w:tr>
      <w:tr w:rsidR="00CB519B" w:rsidRPr="00CB519B" w14:paraId="32E544F2" w14:textId="77777777" w:rsidTr="00CB51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BCE8F6C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0E60CEAC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Heritage conservation, digital innovation, sustainable tourism, visitor management, international collaboration, and environmental protection.</w:t>
            </w:r>
          </w:p>
        </w:tc>
      </w:tr>
      <w:tr w:rsidR="00CB519B" w:rsidRPr="00CB519B" w14:paraId="060FED9A" w14:textId="77777777" w:rsidTr="00CB51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92D50D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3C042518" w14:textId="77777777" w:rsidR="00CB519B" w:rsidRPr="00CB519B" w:rsidRDefault="00CB519B" w:rsidP="00CB519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Restoration projects, VR and AR experiences, online ticketing, educational programs, accessibility improvements, pollution monitoring, enhanced security, disaster preparedness, and partnerships with academic institutions.</w:t>
            </w:r>
          </w:p>
        </w:tc>
      </w:tr>
    </w:tbl>
    <w:p w14:paraId="5540354F" w14:textId="77777777" w:rsidR="00CB519B" w:rsidRDefault="00CB519B" w:rsidP="004E190D">
      <w:pPr>
        <w:pStyle w:val="ListParagraph"/>
        <w:spacing w:line="276" w:lineRule="auto"/>
        <w:ind w:left="0"/>
        <w:rPr>
          <w:lang w:val="en-US"/>
        </w:rPr>
      </w:pPr>
    </w:p>
    <w:sectPr w:rsidR="00CB51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58EA920-6BE3-403C-96A7-D12D9101F9C6}"/>
    <w:embedBold r:id="rId2" w:fontKey="{13A9E88A-3902-4A0B-8D9A-18E7434337F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F9692B77-78B3-4527-8514-9B5FB94F25F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2DFAA61D-0C14-46C2-932D-9C541D7AA7C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1E1286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C7917"/>
    <w:rsid w:val="00844EC2"/>
    <w:rsid w:val="008516FE"/>
    <w:rsid w:val="0089075B"/>
    <w:rsid w:val="009231A0"/>
    <w:rsid w:val="00942251"/>
    <w:rsid w:val="009C1D0A"/>
    <w:rsid w:val="00A044F7"/>
    <w:rsid w:val="00A057BE"/>
    <w:rsid w:val="00A437B5"/>
    <w:rsid w:val="00A8150E"/>
    <w:rsid w:val="00B20343"/>
    <w:rsid w:val="00B62C8D"/>
    <w:rsid w:val="00B85EA7"/>
    <w:rsid w:val="00BE5257"/>
    <w:rsid w:val="00BE65DD"/>
    <w:rsid w:val="00C612A4"/>
    <w:rsid w:val="00C80777"/>
    <w:rsid w:val="00CB519B"/>
    <w:rsid w:val="00CC6AD1"/>
    <w:rsid w:val="00CF34F8"/>
    <w:rsid w:val="00DB7FC2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">
    <w:name w:val="List Table 6 Colorful"/>
    <w:basedOn w:val="TableNormal"/>
    <w:uiPriority w:val="51"/>
    <w:rsid w:val="001E128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5Dark-Accent6">
    <w:name w:val="List Table 5 Dark Accent 6"/>
    <w:basedOn w:val="TableNormal"/>
    <w:uiPriority w:val="50"/>
    <w:rsid w:val="001E1286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1Light-Accent2">
    <w:name w:val="Grid Table 1 Light Accent 2"/>
    <w:basedOn w:val="TableNormal"/>
    <w:uiPriority w:val="46"/>
    <w:rsid w:val="00DB7FC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CB519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2026-06-25T14:09:00Z</dcterms:created>
  <dcterms:modified xsi:type="dcterms:W3CDTF">2026-06-25T14:09:00Z</dcterms:modified>
</cp:coreProperties>
</file>